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14:44:20</w:t>
      </w:r>
    </w:p>
    <w:p>
      <w:pPr>
        <w:pStyle w:val="BodyText"/>
      </w:pPr>
      <w:r>
        <w:t xml:space="preserve">Cuenta: Ver18-b</w:t>
      </w:r>
    </w:p>
    <w:p>
      <w:pPr>
        <w:pStyle w:val="BodyText"/>
      </w:pPr>
      <w:r>
        <w:t xml:space="preserve">Usuario: cmhs</w:t>
      </w:r>
    </w:p>
    <w:p>
      <w:pPr>
        <w:pStyle w:val="BodyText"/>
      </w:pPr>
      <w:r>
        <w:t xml:space="preserve">ITEM: Marcador para aceites minerales, en forma de líquido coloreado, que esencialmente comprende marcadores forenses invisibles (no materias colorantes), fracciones hidrocarbonadas (aceite mineral) y una cantidad traza de un tinte. El marcador está destinado a añadirse en pequeñas cantidades a combustibles u otros aceites minerales para verificar su autenticidad y el cumplimiento fiscal sin alterar sus propiedades. El tinte no cumple función de marcador forense y se utiliza para ayudar a distinguir el marcador en cuestión de otros marcadores. No es visualmente perceptible en los productos a los que se ha añadido el marcador.</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38</w:t>
            </w:r>
          </w:p>
        </w:tc>
        <w:tc>
          <w:p>
            <w:pPr>
              <w:pStyle w:val="Compact"/>
              <w:jc w:val="left"/>
            </w:pPr>
            <w:r>
              <w:t xml:space="preserve">Según la RGI 1, la partida 38.11 abarca “los demás aditivos preparados para aceites minerales (incluida la gasolina)”, lo que corresponde a un marcador añadido en pequeñas cantidades a combustibles/aceites para verificación; al tratarse de una mezcla, la RGI 3 b) atribuye el carácter esencial a la función de aditivo, no al tinte en trazas.</w:t>
            </w:r>
          </w:p>
        </w:tc>
      </w:tr>
      <w:tr>
        <w:tc>
          <w:p>
            <w:pPr>
              <w:pStyle w:val="Compact"/>
              <w:jc w:val="right"/>
            </w:pPr>
            <w:r>
              <w:rPr>
                <w:bCs/>
                <w:b/>
              </w:rPr>
              <w:t xml:space="preserve">27</w:t>
            </w:r>
          </w:p>
        </w:tc>
        <w:tc>
          <w:p>
            <w:pPr>
              <w:pStyle w:val="Compact"/>
              <w:jc w:val="left"/>
            </w:pPr>
            <w:r>
              <w:t xml:space="preserve">La partida 27.10 abarca preparaciones de aceites de petróleo con contenido ≥70% en peso en las que los aceites constituyen el elemento base; sin embargo, es genérica frente a la cobertura específica de los aditivos preparados en 38.11, por lo que conforme a la RGI 3 a) prevalece la más específica (38).</w:t>
            </w:r>
          </w:p>
        </w:tc>
      </w:tr>
      <w:tr>
        <w:tc>
          <w:p>
            <w:pPr>
              <w:pStyle w:val="Compact"/>
              <w:jc w:val="right"/>
            </w:pPr>
            <w:r>
              <w:rPr>
                <w:bCs/>
                <w:b/>
              </w:rPr>
              <w:t xml:space="preserve">32</w:t>
            </w:r>
          </w:p>
        </w:tc>
        <w:tc>
          <w:p>
            <w:pPr>
              <w:pStyle w:val="Compact"/>
              <w:jc w:val="left"/>
            </w:pPr>
            <w:r>
              <w:t xml:space="preserve">El Capítulo 32 comprende preparaciones basadas en materias colorantes utilizadas para colorear materiales; aquí el tinte es solo traza para distinguir el marcador y no es perceptible en los combustibles tratados, por lo que según la RGI 3 b) no confiere el carácter esencial (se excluye).</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“LOS TITULOS DE LAS SECCIONES, DE LOS CAPITULOS O DE LOS SUBCAPITULOS SOLO TIENEN UN VALOR INDICATIVO, YA QUE LA CLASIFICACION ESTA DETERMINADA LEGALMENTE POR LOS TEXTOS DE LAS PARTIDAS Y DE LAS NOTAS DE SECCION O DE CAPITULO…” (RGI 1)</w:t>
      </w:r>
      <w:r>
        <w:t xml:space="preserve"> </w:t>
      </w:r>
      <w:r>
        <w:t xml:space="preserve">• “LA PARTIDA CON DESCRIPCION MAS ESPECIFICA TENDRA PRIORIDAD SOBRE LAS PARTIDAS DE ALCANCE MAS GENERICO…” (RGI 3 a))</w:t>
      </w:r>
      <w:r>
        <w:t xml:space="preserve"> </w:t>
      </w:r>
      <w:r>
        <w:t xml:space="preserve">• “LOS PRODUCTOS MEZCLADOS… SE CLASIFICARAN SEGUN LA MATERIA O CON EL ARTICULO QUE LES CONFIERA SU CARACTER ESENCIAL…” (RGI 3 b))</w:t>
      </w:r>
      <w:r>
        <w:t xml:space="preserve"> </w:t>
      </w:r>
      <w:r>
        <w:t xml:space="preserve">• “LA CLASIFICACION DE MERCANCIAS EN LAS SUBPARTIDAS… ESTA DETERMINADA LEGALMENTE POR LOS TEXTOS DE ESTAS SUBPARTIDAS… BIEN ENTENDIDO QUE SOLO PUEDEN COMPARARSE SUBPARTIDAS DEL MISMO NIVEL.” (RGI 6)</w:t>
      </w:r>
    </w:p>
    <w:p>
      <w:pPr>
        <w:numPr>
          <w:ilvl w:val="0"/>
          <w:numId w:val="1001"/>
        </w:numPr>
      </w:pPr>
      <w:r>
        <w:t xml:space="preserve">Capítulo 38 (Productos diversos de las industrias químicas)</w:t>
      </w:r>
      <w:r>
        <w:t xml:space="preserve"> </w:t>
      </w:r>
      <w:r>
        <w:t xml:space="preserve">• Partida 38.11: “Preparaciones antidetonantes, inhibidores de oxidación, aditivos peptizantes, mejoradores de viscosidad, anticorrosivos y demás aditivos preparados para aceites minerales (incluida la gasolina) u otros líquidos utilizados para los mismos fines que los aceites minerales.”</w:t>
      </w:r>
      <w:r>
        <w:t xml:space="preserve"> </w:t>
      </w:r>
      <w:r>
        <w:t xml:space="preserve">• Partida 38.24: “Productos químicos y preparaciones de la industria química o de las industrias conexas (incluidas las mezclas de productos naturales), no expresados ni comprendidos en otra parte.”</w:t>
      </w:r>
      <w:r>
        <w:t xml:space="preserve"> </w:t>
      </w:r>
      <w:r>
        <w:t xml:space="preserve">• Subposición 3824.99: ejemplos de “Preparaciones…” no especificadas (v.gr. “Preparaciones para detectar fallas en materiales…”) que ilustran su carácter residual.</w:t>
      </w:r>
      <w:r>
        <w:t xml:space="preserve"> </w:t>
      </w:r>
      <w:r>
        <w:t xml:space="preserve">• Partida 38.22: “Reactivos de diagnóstico o de laboratorio…; materiales de referencia certificados.”</w:t>
      </w:r>
    </w:p>
    <w:p>
      <w:pPr>
        <w:numPr>
          <w:ilvl w:val="0"/>
          <w:numId w:val="1001"/>
        </w:numPr>
      </w:pPr>
      <w:r>
        <w:t xml:space="preserve">Capítulo 27 (Combustibles minerales, aceites minerales…)</w:t>
      </w:r>
      <w:r>
        <w:t xml:space="preserve"> </w:t>
      </w:r>
      <w:r>
        <w:t xml:space="preserve">• Partida 27.10: “Aceites de petróleo o de mineral bituminoso, excepto los aceites crudos; preparaciones no expresadas ni comprendidas en otra parte, con un contenido de aceites… superior o igual al 70% en peso, en las que estos aceites constituyan el elemento base; desechos de aceites.”</w:t>
      </w:r>
    </w:p>
    <w:p>
      <w:pPr>
        <w:pStyle w:val="FirstParagraph"/>
      </w:pPr>
      <w:r>
        <w:t xml:space="preserve">II. Análisis jurídico-técnico</w:t>
      </w:r>
      <w:r>
        <w:t xml:space="preserve"> </w:t>
      </w:r>
      <w:r>
        <w:t xml:space="preserve">Objeto: “Marker for mineral oils… coloured liquid… essentially comprising invisible forensic markers (not colouring matters), hydrocarbon fractions (mineral oil) and a trace amount of a dye… intended to be added in small quantities to fuels or other mineral oils for verification of their authenticity and fiscal compliance without altering their properties.”</w:t>
      </w:r>
    </w:p>
    <w:p>
      <w:pPr>
        <w:numPr>
          <w:ilvl w:val="0"/>
          <w:numId w:val="1002"/>
        </w:numPr>
        <w:pStyle w:val="Compact"/>
      </w:pPr>
      <w:r>
        <w:t xml:space="preserve">Capítulo aplicable</w:t>
      </w:r>
    </w:p>
    <w:p>
      <w:pPr>
        <w:numPr>
          <w:ilvl w:val="0"/>
          <w:numId w:val="1003"/>
        </w:numPr>
        <w:pStyle w:val="Compact"/>
      </w:pPr>
      <w:r>
        <w:t xml:space="preserve">Por su naturaleza de preparación química compuesta, destinada a ser añadida en pequeñas proporciones a aceites minerales (combustibles o demás aceites minerales) para una finalidad técnica (trazabilidad/identificación), el análisis se dirige al Capítulo 38 (misceláneos químicos) y, en alternativa, al Capítulo 27 (preparaciones a base de aceites minerales).</w:t>
      </w:r>
    </w:p>
    <w:p>
      <w:pPr>
        <w:numPr>
          <w:ilvl w:val="0"/>
          <w:numId w:val="1004"/>
        </w:numPr>
        <w:pStyle w:val="Compact"/>
      </w:pPr>
      <w:r>
        <w:t xml:space="preserve">Partida</w:t>
      </w:r>
    </w:p>
    <w:p>
      <w:pPr>
        <w:numPr>
          <w:ilvl w:val="0"/>
          <w:numId w:val="1005"/>
        </w:numPr>
        <w:pStyle w:val="Compact"/>
      </w:pPr>
      <w:r>
        <w:t xml:space="preserve">La partida 38.11 describe de manera específica “demás aditivos preparados para aceites minerales (incluida la gasolina)” (texto legal). El producto se presenta precisamente como un aditivo funcional para aceites minerales, cuya finalidad no es colorear ni modificar propiedades de rendimiento del combustible, sino permitir su identificación forense y control fiscal; ello no lo excluye del concepto legal de “aditivo preparado”, que el texto de 38.11 formula en términos amplios al incluir “demás aditivos preparados” (RGI 1) .</w:t>
      </w:r>
    </w:p>
    <w:p>
      <w:pPr>
        <w:numPr>
          <w:ilvl w:val="0"/>
          <w:numId w:val="1006"/>
        </w:numPr>
        <w:pStyle w:val="Compact"/>
      </w:pPr>
      <w:r>
        <w:t xml:space="preserve">Subpartida</w:t>
      </w:r>
    </w:p>
    <w:p>
      <w:pPr>
        <w:numPr>
          <w:ilvl w:val="0"/>
          <w:numId w:val="1007"/>
        </w:numPr>
        <w:pStyle w:val="Compact"/>
      </w:pPr>
      <w:r>
        <w:t xml:space="preserve">Aplicando la RGI 6, dentro de la partida 38.11, el bien no es una “preparación antidetonante” (3811.11/3811.19) ni un “aditivo para aceites lubricantes” (3811.21/3811.29). Corresponde, por exclusión y congruencia con su finalidad, a “Los demás” (3811.90) .</w:t>
      </w:r>
    </w:p>
    <w:p>
      <w:pPr>
        <w:numPr>
          <w:ilvl w:val="0"/>
          <w:numId w:val="1008"/>
        </w:numPr>
        <w:pStyle w:val="Compact"/>
      </w:pPr>
      <w:r>
        <w:t xml:space="preserve">Carácter esencial</w:t>
      </w:r>
    </w:p>
    <w:p>
      <w:pPr>
        <w:numPr>
          <w:ilvl w:val="0"/>
          <w:numId w:val="1009"/>
        </w:numPr>
        <w:pStyle w:val="Compact"/>
      </w:pPr>
      <w:r>
        <w:t xml:space="preserve">En cuanto mezcla de fracciones hidrocarbonadas (vehículo) y marcadores forenses (principios activos de identificación), su “carácter esencial” deriva de los marcadores, que confieren la función de marcaje/identificación; el aceite mineral actúa solo como medio portador. Por RGI 3 b), ello confirma la inclusión en la partida que describe el uso/función como “aditivo preparado para aceites minerales”, esto es, 38.11, y no en una partida residual o de base material (27.10, 38.24) .</w:t>
      </w:r>
    </w:p>
    <w:p>
      <w:pPr>
        <w:pStyle w:val="FirstParagraph"/>
      </w:pPr>
      <w:r>
        <w:t xml:space="preserve">III. Exclusión de partidas o capítulos alternativos</w:t>
      </w:r>
    </w:p>
    <w:p>
      <w:pPr>
        <w:numPr>
          <w:ilvl w:val="0"/>
          <w:numId w:val="1010"/>
        </w:numPr>
      </w:pPr>
      <w:r>
        <w:t xml:space="preserve">Partida 27.10 (Cap. 27). Aunque el preparado contenga fracciones de aceite mineral, 27.10 abarca “preparaciones… con… 70% o más… en las que estos aceites constituyan el elemento base”, y además solo “no expresadas ni comprendidas en otra parte” . En el presente caso:</w:t>
      </w:r>
      <w:r>
        <w:t xml:space="preserve"> </w:t>
      </w:r>
      <w:r>
        <w:t xml:space="preserve">a) Existe una partida específica que expresa su función como aditivo (38.11); por RGI 1 y 3 a), esta especificidad prevalece sobre 27.10, que es residual para “preparaciones no expresadas ni comprendidas en otra parte” .</w:t>
      </w:r>
      <w:r>
        <w:t xml:space="preserve"> </w:t>
      </w:r>
      <w:r>
        <w:t xml:space="preserve">b) El aceite mineral no confiere el carácter esencial (es meramente vehículo); la función determinante son los marcadores forenses (RGI 3 b)) .</w:t>
      </w:r>
      <w:r>
        <w:t xml:space="preserve"> </w:t>
      </w:r>
      <w:r>
        <w:t xml:space="preserve">Conclusión: Se descarta 27.10.</w:t>
      </w:r>
    </w:p>
    <w:p>
      <w:pPr>
        <w:numPr>
          <w:ilvl w:val="0"/>
          <w:numId w:val="1010"/>
        </w:numPr>
      </w:pPr>
      <w:r>
        <w:t xml:space="preserve">Partida 38.24 (incluida 3824.99). 38.24 es una partida residual para “productos químicos y preparaciones… no expresados ni comprendidos en otra parte” . Dado que 38.11 describe de forma más específica los “aditivos preparados para aceites minerales”, procede aplicar RGI 3 a) y privilegiar 38.11. Además, ejemplos en 3824.99 (p. ej., “Preparaciones para detectar fallas en materiales…”) muestran la naturaleza residual y heterogénea de 38.24, distinta del supuesto de un aditivo para aceites minerales . Conclusión: Se descarta 3824, incluida su subpartida 3824.99. NOTA IMPORTANTE: Se descarta 3824.99 porque el producto sí está “expresado” en 38.11 como “demás aditivos preparados para aceites minerales”, por lo que 3824.99, de carácter estrictamente residual, no procede (RGI 1 y 3 a)) .</w:t>
      </w:r>
    </w:p>
    <w:p>
      <w:pPr>
        <w:numPr>
          <w:ilvl w:val="0"/>
          <w:numId w:val="1010"/>
        </w:numPr>
      </w:pPr>
      <w:r>
        <w:t xml:space="preserve">Partida 38.22. El producto no es un reactivo de diagnóstico o de laboratorio ni un material de referencia certificado (MRC) según el texto de 38.22; no se utiliza para realizar un análisis, sino que se incorpora como marcador a los aceites para su posterior verificación. 38.22 no resulta aplicable .</w:t>
      </w:r>
    </w:p>
    <w:p>
      <w:pPr>
        <w:pStyle w:val="FirstParagraph"/>
      </w:pPr>
      <w:r>
        <w:t xml:space="preserve">IV. Requisitos documentales</w:t>
      </w:r>
      <w:r>
        <w:t xml:space="preserve"> </w:t>
      </w:r>
      <w:r>
        <w:t xml:space="preserve">Para sustentar la clasificación en punto de revisión, el importador debería aportar:</w:t>
      </w:r>
    </w:p>
    <w:p>
      <w:pPr>
        <w:numPr>
          <w:ilvl w:val="0"/>
          <w:numId w:val="1011"/>
        </w:numPr>
        <w:pStyle w:val="Compact"/>
      </w:pPr>
      <w:r>
        <w:t xml:space="preserve">Ficha técnica y hoja de seguridad (SDS) con composición cuali–cuantitativa y rango de contenido de hidrocarburos/aceite mineral y de marcadores.</w:t>
      </w:r>
    </w:p>
    <w:p>
      <w:pPr>
        <w:numPr>
          <w:ilvl w:val="0"/>
          <w:numId w:val="1011"/>
        </w:numPr>
        <w:pStyle w:val="Compact"/>
      </w:pPr>
      <w:r>
        <w:t xml:space="preserve">Descripción funcional: propósito de uso como “aditivo marcador” para aceites minerales/combustibles; dosis de aplicación; evidencia de que no altera propiedades del combustible.</w:t>
      </w:r>
    </w:p>
    <w:p>
      <w:pPr>
        <w:numPr>
          <w:ilvl w:val="0"/>
          <w:numId w:val="1011"/>
        </w:numPr>
        <w:pStyle w:val="Compact"/>
      </w:pPr>
      <w:r>
        <w:t xml:space="preserve">Procedimiento de detección/lectura del marcador, indicando que el tinte añadido carece de función de marcaje y no confiere color perceptible al producto final.</w:t>
      </w:r>
    </w:p>
    <w:p>
      <w:pPr>
        <w:numPr>
          <w:ilvl w:val="0"/>
          <w:numId w:val="1011"/>
        </w:numPr>
        <w:pStyle w:val="Compact"/>
      </w:pPr>
      <w:r>
        <w:t xml:space="preserve">Certificado de análisis del lote y especificaciones del fabricante.</w:t>
      </w:r>
    </w:p>
    <w:p>
      <w:pPr>
        <w:numPr>
          <w:ilvl w:val="0"/>
          <w:numId w:val="1011"/>
        </w:numPr>
        <w:pStyle w:val="Compact"/>
      </w:pPr>
      <w:r>
        <w:t xml:space="preserve">Información de presentación comercial y modo de empleo (envases, concentración, destino: combustibles u otros aceites minerales).</w:t>
      </w:r>
    </w:p>
    <w:p>
      <w:pPr>
        <w:pStyle w:val="FirstParagraph"/>
      </w:pPr>
      <w:r>
        <w:t xml:space="preserve">V. Conclusión</w:t>
      </w:r>
      <w:r>
        <w:t xml:space="preserve"> </w:t>
      </w:r>
      <w:r>
        <w:t xml:space="preserve">Tabla de clasificación:</w:t>
      </w:r>
    </w:p>
    <w:p>
      <w:pPr>
        <w:numPr>
          <w:ilvl w:val="0"/>
          <w:numId w:val="1012"/>
        </w:numPr>
        <w:pStyle w:val="Compact"/>
      </w:pPr>
      <w:r>
        <w:t xml:space="preserve">Capítulo: 38</w:t>
      </w:r>
    </w:p>
    <w:p>
      <w:pPr>
        <w:numPr>
          <w:ilvl w:val="0"/>
          <w:numId w:val="1012"/>
        </w:numPr>
        <w:pStyle w:val="Compact"/>
      </w:pPr>
      <w:r>
        <w:t xml:space="preserve">Partida: 38.11</w:t>
      </w:r>
    </w:p>
    <w:p>
      <w:pPr>
        <w:numPr>
          <w:ilvl w:val="0"/>
          <w:numId w:val="1012"/>
        </w:numPr>
        <w:pStyle w:val="Compact"/>
      </w:pPr>
      <w:r>
        <w:t xml:space="preserve">Subpartida: 3811.90</w:t>
      </w:r>
    </w:p>
    <w:p>
      <w:pPr>
        <w:numPr>
          <w:ilvl w:val="0"/>
          <w:numId w:val="1012"/>
        </w:numPr>
        <w:pStyle w:val="Compact"/>
      </w:pPr>
      <w:r>
        <w:t xml:space="preserve">Fracción: No determinada en este dictamen (alcance solicitado: nivel subpartida)</w:t>
      </w:r>
    </w:p>
    <w:p>
      <w:pPr>
        <w:numPr>
          <w:ilvl w:val="0"/>
          <w:numId w:val="1012"/>
        </w:numPr>
        <w:pStyle w:val="Compact"/>
      </w:pPr>
      <w:r>
        <w:t xml:space="preserve">NICO: No determinado</w:t>
      </w:r>
    </w:p>
    <w:p>
      <w:pPr>
        <w:pStyle w:val="FirstParagraph"/>
      </w:pPr>
      <w:r>
        <w:t xml:space="preserve">Resolución final: El producto “Marker for mineral oils…” se clasifica en la subpartida 3811.90, como “los demás” aditivos preparados para aceites minerales, con fundamento en los textos legales de la partida 38.11 y la aplicación de las RGI 1, 3 a), 3 b) y 6 .</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13"/>
        </w:numPr>
        <w:pStyle w:val="Compact"/>
      </w:pPr>
      <w:r>
        <w:t xml:space="preserve">Referencias: Ley de los Impuestos Generales de Importación y de Exportación</w:t>
      </w:r>
    </w:p>
    <w:p>
      <w:pPr>
        <w:numPr>
          <w:ilvl w:val="0"/>
          <w:numId w:val="1013"/>
        </w:numPr>
        <w:pStyle w:val="Compact"/>
      </w:pPr>
      <w:r>
        <w:t xml:space="preserve">Versión LIGIE: 7ma Enmienda del Sistema Armonizado</w:t>
      </w:r>
    </w:p>
    <w:p>
      <w:pPr>
        <w:numPr>
          <w:ilvl w:val="0"/>
          <w:numId w:val="1013"/>
        </w:numPr>
        <w:pStyle w:val="Compact"/>
      </w:pPr>
      <w:r>
        <w:t xml:space="preserve">Archivo: LIGIE-UNIFICADA-LIGIE_20250728-20250728.pdf</w:t>
      </w:r>
    </w:p>
    <w:p>
      <w:pPr>
        <w:numPr>
          <w:ilvl w:val="0"/>
          <w:numId w:val="1013"/>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424">
    <w:nsid w:val="4fbe019a"/>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42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