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13:27:33</w:t>
      </w:r>
    </w:p>
    <w:p>
      <w:pPr>
        <w:pStyle w:val="BodyText"/>
      </w:pPr>
      <w:r>
        <w:t xml:space="preserve">Cuenta: Ver18-b</w:t>
      </w:r>
    </w:p>
    <w:p>
      <w:pPr>
        <w:pStyle w:val="BodyText"/>
      </w:pPr>
      <w:r>
        <w:t xml:space="preserve">Usuario: cmhs</w:t>
      </w:r>
    </w:p>
    <w:p>
      <w:pPr>
        <w:pStyle w:val="BodyText"/>
      </w:pPr>
      <w:r>
        <w:t xml:space="preserve">ITEM: Pala de turbina eólica tipo hélice, en condición de preforma (blank), compuesta por dos superficies aerodinámicas de soporte fabricadas con fibra de carbono y fibra de vidrio, con una punta metálica al extremo para protección contra rayos. El producto se suministra sin terminar y requiere pintura final e inspección para lograr su apariencia completa. Pesa 12,500 kg, tiene un ancho máximo de 4 m, una longitud de 61.7 m y un círculo de 2.5 m de diámetro para la colocación de los pernos de cola. El producto está destinado a su uso en plantas de generación eléctrica impulsadas por el viento. Una vez concluida, debe instalarse en una planta de energía compuesta por una torre, una caperuza (spinner) con palas horizontales y una góndola (nacelle) que contiene una caja de engranajes, un sistema de frenado y un generador eléctrico. La pala terminada se fija al buje de la caperuza (spinner).</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85</w:t>
            </w:r>
          </w:p>
        </w:tc>
        <w:tc>
          <w:p>
            <w:pPr>
              <w:pStyle w:val="Compact"/>
              <w:jc w:val="left"/>
            </w:pPr>
            <w:r>
              <w:t xml:space="preserve">Una pala de rotor sin terminar, identificable exclusivamente para un conjunto de generación eléctrica accionado por viento, conserva el carácter esencial conforme a la RGI 2(a). Las partes que sean exclusiva o principalmente aptas para usarse con las máquinas de las partidas 85.01 o 85.02 se clasifican en 85.03; los conjuntos generadores accionados por viento están comprendidos en la partida 85.02 (generador acoplado a un motor primario no eléctrico). Por RGI 1/3(a), la partida específica de partes prevalece sobre alternativas más amplias.</w:t>
            </w:r>
          </w:p>
        </w:tc>
      </w:tr>
      <w:tr>
        <w:tc>
          <w:p>
            <w:pPr>
              <w:pStyle w:val="Compact"/>
              <w:jc w:val="right"/>
            </w:pPr>
            <w:r>
              <w:rPr>
                <w:bCs/>
                <w:b/>
              </w:rPr>
              <w:t xml:space="preserve">84</w:t>
            </w:r>
          </w:p>
        </w:tc>
        <w:tc>
          <w:p>
            <w:pPr>
              <w:pStyle w:val="Compact"/>
              <w:jc w:val="left"/>
            </w:pPr>
            <w:r>
              <w:t xml:space="preserve">Si se considera como parte de un motor eólico y no del conjunto generador completo, el Cap. 84 abarca motores (p. ej., 84.12 “los demás motores y máquinas motrices”). No obstante, la RGI 3(a) favorece la 85.03 (partes de 85.02) frente a partidas residuales de maquinaria como 84.79.</w:t>
            </w:r>
          </w:p>
        </w:tc>
      </w:tr>
      <w:tr>
        <w:tc>
          <w:p>
            <w:pPr>
              <w:pStyle w:val="Compact"/>
              <w:jc w:val="right"/>
            </w:pPr>
            <w:r>
              <w:rPr>
                <w:bCs/>
                <w:b/>
              </w:rPr>
              <w:t xml:space="preserve">70</w:t>
            </w:r>
          </w:p>
        </w:tc>
        <w:tc>
          <w:p>
            <w:pPr>
              <w:pStyle w:val="Compact"/>
              <w:jc w:val="left"/>
            </w:pPr>
            <w:r>
              <w:t xml:space="preserve">Un enfoque por material (vidrio y sus manufacturas; Cap. 70) podría considerarse por la fibra de vidrio. Sin embargo, conforme a la RGI 1, la clasificación sigue los textos de partidas/notas, y las partes identificables de las mercancías de la Sección XVI se clasifican ahí—en este caso, 85.03 como partes de 85.02. Otros capítulos suelen excluir bienes de la Sección XVI (p. ej., el Cap. 71 excluye “máquinas, material eléctrico y partes de la Sección XVI”).</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 aplicable</w:t>
      </w:r>
    </w:p>
    <w:p>
      <w:pPr>
        <w:numPr>
          <w:ilvl w:val="0"/>
          <w:numId w:val="1001"/>
        </w:numPr>
        <w:pStyle w:val="Compact"/>
      </w:pPr>
      <w:r>
        <w:t xml:space="preserve">Regla General de Interpretación (RGI) 1: La clasificación se determina legalmente por los textos de las partidas y de las Notas de Sección o de Capítulo, teniendo los títulos de Secciones, Capítulos o Subcapítulos solo valor indicativo.</w:t>
      </w:r>
    </w:p>
    <w:p>
      <w:pPr>
        <w:numPr>
          <w:ilvl w:val="0"/>
          <w:numId w:val="1001"/>
        </w:numPr>
        <w:pStyle w:val="Compact"/>
      </w:pPr>
      <w:r>
        <w:t xml:space="preserve">RGI 2(a): La mención de un artículo alcanza al artículo incompleto o sin terminar, siempre que tenga las características esenciales del artículo completo o terminado. La Nota Explicativa aclara que esto se extiende a los “blanks” (preformas), es decir, artículos no utilizables tal como se presentan, que tienen aproximadamente la forma o el perfil del artículo terminado y normalmente destinados exclusivamente a la fabricación de esa pieza.</w:t>
      </w:r>
    </w:p>
    <w:p>
      <w:pPr>
        <w:numPr>
          <w:ilvl w:val="0"/>
          <w:numId w:val="1001"/>
        </w:numPr>
        <w:pStyle w:val="Compact"/>
      </w:pPr>
      <w:r>
        <w:t xml:space="preserve">RGI 3(a) y 3(b): Cuando una mercancía pueda clasificarse, en principio, en dos o más partidas, la partida con la descripción más específica prevalece sobre la de descripción más genérica; si ello no es decisivo, la clasificación se hará según la materia o componente que le confiera su carácter esencial.</w:t>
      </w:r>
    </w:p>
    <w:p>
      <w:pPr>
        <w:numPr>
          <w:ilvl w:val="0"/>
          <w:numId w:val="1001"/>
        </w:numPr>
        <w:pStyle w:val="Compact"/>
      </w:pPr>
      <w:r>
        <w:t xml:space="preserve">RGI 6: La clasificación a nivel de subpartida se determina por los textos de esas subpartidas y cualquier Nota de subpartida relacionada, aplicando mutatis mutandis las RGI 1–5; solo son comparables subpartidas del mismo nivel.</w:t>
      </w:r>
    </w:p>
    <w:p>
      <w:pPr>
        <w:numPr>
          <w:ilvl w:val="0"/>
          <w:numId w:val="1001"/>
        </w:numPr>
        <w:pStyle w:val="Compact"/>
      </w:pPr>
      <w:r>
        <w:t xml:space="preserve">Capítulo 85 (texto y criterios explicativos nacionales):</w:t>
      </w:r>
    </w:p>
    <w:p>
      <w:pPr>
        <w:numPr>
          <w:ilvl w:val="1"/>
          <w:numId w:val="1002"/>
        </w:numPr>
        <w:pStyle w:val="Compact"/>
      </w:pPr>
      <w:r>
        <w:t xml:space="preserve">La partida 85.02 comprende “Conjuntos generadores de electricidad y convertidores rotativos”, y los criterios explicativos nacionales señalan que, para la partida 85.02, un conjunto generador es la combinación de un generador eléctrico acoplado y/o accionado por un motor primario no eléctrico, y explican cuándo las combinaciones forman un solo cuerpo; cuando no, cada elemento conserva su propio régimen de clasificación.</w:t>
      </w:r>
    </w:p>
    <w:p>
      <w:pPr>
        <w:numPr>
          <w:ilvl w:val="1"/>
          <w:numId w:val="1002"/>
        </w:numPr>
        <w:pStyle w:val="Compact"/>
      </w:pPr>
      <w:r>
        <w:t xml:space="preserve">La subpartida 8502.31 comprende expresamente los conjuntos generadores “accionados por viento” (aerogeneradores).</w:t>
      </w:r>
    </w:p>
    <w:p>
      <w:pPr>
        <w:numPr>
          <w:ilvl w:val="1"/>
          <w:numId w:val="1002"/>
        </w:numPr>
        <w:pStyle w:val="Compact"/>
      </w:pPr>
      <w:r>
        <w:t xml:space="preserve">La partida 85.03 comprende “Partes reconocibles como destinadas exclusiva o principalmente a las máquinas de las partidas 85.01 o 85.02”, con la subpartida 8503.00 a seis dígitos. El arancel mexicano incluso prevé desgloses nacionales bajo 8503.00 que incluyen bienes reconocibles como diseñados exclusivamente para aerogeneradores.</w:t>
      </w:r>
    </w:p>
    <w:p>
      <w:pPr>
        <w:numPr>
          <w:ilvl w:val="0"/>
          <w:numId w:val="1001"/>
        </w:numPr>
        <w:pStyle w:val="Compact"/>
      </w:pPr>
      <w:r>
        <w:t xml:space="preserve">Otras partidas consideradas en los Capítulos 84 y 85 (para exclusiones):</w:t>
      </w:r>
    </w:p>
    <w:p>
      <w:pPr>
        <w:numPr>
          <w:ilvl w:val="1"/>
          <w:numId w:val="1003"/>
        </w:numPr>
        <w:pStyle w:val="Compact"/>
      </w:pPr>
      <w:r>
        <w:t xml:space="preserve">Partida 85.01: “Máquinas y aparatos eléctricos para la producción y acondicionamiento de la electricidad (motores y generadores), excepto conjuntos generadores”.</w:t>
      </w:r>
    </w:p>
    <w:p>
      <w:pPr>
        <w:numPr>
          <w:ilvl w:val="1"/>
          <w:numId w:val="1003"/>
        </w:numPr>
        <w:pStyle w:val="Compact"/>
      </w:pPr>
      <w:r>
        <w:t xml:space="preserve">Partida 85.48: “Partes eléctricas de máquinas o aparatos, no expresadas ni comprendidas en otra parte de este Capítulo”.</w:t>
      </w:r>
    </w:p>
    <w:p>
      <w:pPr>
        <w:numPr>
          <w:ilvl w:val="1"/>
          <w:numId w:val="1003"/>
        </w:numPr>
        <w:pStyle w:val="Compact"/>
      </w:pPr>
      <w:r>
        <w:t xml:space="preserve">Partida 84.10: “Turbinas hidráulicas y ruedas hidráulicas; y sus reguladores”.</w:t>
      </w:r>
    </w:p>
    <w:p>
      <w:pPr>
        <w:numPr>
          <w:ilvl w:val="1"/>
          <w:numId w:val="1003"/>
        </w:numPr>
        <w:pStyle w:val="Compact"/>
      </w:pPr>
      <w:r>
        <w:t xml:space="preserve">Partida 84.11: “Turborreactores, turbohélices y demás turbinas de gas”.</w:t>
      </w:r>
    </w:p>
    <w:p>
      <w:pPr>
        <w:numPr>
          <w:ilvl w:val="1"/>
          <w:numId w:val="1003"/>
        </w:numPr>
        <w:pStyle w:val="Compact"/>
      </w:pPr>
      <w:r>
        <w:t xml:space="preserve">Partida 84.87: “Partes de máquinas o aparatos, no expresadas ni comprendidas en otra parte de este Capítulo … (no eléctricos)”.</w:t>
      </w:r>
    </w:p>
    <w:p>
      <w:pPr>
        <w:pStyle w:val="FirstParagraph"/>
      </w:pPr>
      <w:r>
        <w:t xml:space="preserve">II. Análisis técnico‑jurídico</w:t>
      </w:r>
    </w:p>
    <w:p>
      <w:pPr>
        <w:numPr>
          <w:ilvl w:val="0"/>
          <w:numId w:val="1004"/>
        </w:numPr>
      </w:pPr>
      <w:r>
        <w:t xml:space="preserve">Descripción de la mercancía</w:t>
      </w:r>
      <w:r>
        <w:t xml:space="preserve"> </w:t>
      </w:r>
      <w:r>
        <w:t xml:space="preserve">La mercancía es una pala de turbina eólica tipo hélice, en condición de preforma, compuesta por dos superficies aerodinámicas de soporte de fibra de carbono y fibra de vidrio, con una punta metálica para protección contra rayos; sin terminar (requiere pintura final e inspección); destinada a instalarse en una turbina eólica de eje horizontal que integra, junto con un generador, caja de engranajes, frenos y góndola, un conjunto generador accionado por viento.</w:t>
      </w:r>
    </w:p>
    <w:p>
      <w:pPr>
        <w:numPr>
          <w:ilvl w:val="0"/>
          <w:numId w:val="1004"/>
        </w:numPr>
      </w:pPr>
      <w:r>
        <w:t xml:space="preserve">Selección de partida</w:t>
      </w:r>
    </w:p>
    <w:p>
      <w:pPr>
        <w:numPr>
          <w:ilvl w:val="0"/>
          <w:numId w:val="1005"/>
        </w:numPr>
        <w:pStyle w:val="Compact"/>
      </w:pPr>
      <w:r>
        <w:t xml:space="preserve">Por función y destino, la mercancía es un componente identificable de un conjunto generador accionado por viento (aerogenerador). La nota legal de la partida 85.02 define expresamente “conjunto generador” como la combinación de un generador eléctrico con un motor primario no eléctrico; los conjuntos generadores accionados por viento están previstos específicamente en la subpartida 8502.31. La pala es un elemento mecánico esencial del motor primario eólico que acciona el generador; por tanto, es una “parte reconocible como destinada exclusiva o principalmente” a las máquinas de la partida 85.02.</w:t>
      </w:r>
    </w:p>
    <w:p>
      <w:pPr>
        <w:numPr>
          <w:ilvl w:val="0"/>
          <w:numId w:val="1005"/>
        </w:numPr>
        <w:pStyle w:val="Compact"/>
      </w:pPr>
      <w:r>
        <w:t xml:space="preserve">La partida 85.03, por su texto, abarca las partes reconocibles como destinadas exclusiva o principalmente a las máquinas de las partidas 85.01 o 85.02; la subpartida 8503.00 es el nivel de seis dígitos para dichas partes. Los desgloses nacionales de México bajo 8503.00 incluso incluyen artículos “reconocibles como diseñados exclusivamente para aerogeneradores”, lo que evidencia la vía clasificatoria prevista para componentes de turbinas eólicas de conjuntos generadores.</w:t>
      </w:r>
    </w:p>
    <w:p>
      <w:pPr>
        <w:numPr>
          <w:ilvl w:val="0"/>
          <w:numId w:val="1005"/>
        </w:numPr>
        <w:pStyle w:val="Compact"/>
      </w:pPr>
      <w:r>
        <w:t xml:space="preserve">Aplicando la RGI 1 a los textos y notas citados, la mercancía queda comprendida en la partida 85.03 y, por la RGI 6, en la subpartida 8503.00.</w:t>
      </w:r>
    </w:p>
    <w:p>
      <w:pPr>
        <w:numPr>
          <w:ilvl w:val="0"/>
          <w:numId w:val="1006"/>
        </w:numPr>
        <w:pStyle w:val="Compact"/>
      </w:pPr>
      <w:r>
        <w:t xml:space="preserve">Condición de “sin terminar/preforma”</w:t>
      </w:r>
    </w:p>
    <w:p>
      <w:pPr>
        <w:numPr>
          <w:ilvl w:val="0"/>
          <w:numId w:val="1007"/>
        </w:numPr>
        <w:pStyle w:val="Compact"/>
      </w:pPr>
      <w:r>
        <w:t xml:space="preserve">Aunque la pala se suministra sin terminar (pendiente de pintura e inspección), ya posee las características esenciales de una pala terminada. Conforme a la RGI 2(a), los artículos incompletos o sin terminar que tengan el carácter esencial del artículo terminado se clasifican como el artículo terminado; las Notas Explicativas extienden este principio a las “preformas (blanks)” que tienen la forma/perfil aproximado de la pieza acabada y no son utilizables tal como se presentan salvo para fabricar dicha pieza.</w:t>
      </w:r>
    </w:p>
    <w:p>
      <w:pPr>
        <w:numPr>
          <w:ilvl w:val="0"/>
          <w:numId w:val="1007"/>
        </w:numPr>
        <w:pStyle w:val="Compact"/>
      </w:pPr>
      <w:r>
        <w:t xml:space="preserve">En consecuencia, la preforma de pala conserva el carácter arancelario de parte de turbina eólica para un conjunto generador y se clasifica como parte en la partida 85.03 y subpartida 8503.00.</w:t>
      </w:r>
    </w:p>
    <w:p>
      <w:pPr>
        <w:numPr>
          <w:ilvl w:val="0"/>
          <w:numId w:val="1008"/>
        </w:numPr>
        <w:pStyle w:val="Compact"/>
      </w:pPr>
      <w:r>
        <w:t xml:space="preserve">Naturaleza compuesta y carácter esencial</w:t>
      </w:r>
    </w:p>
    <w:p>
      <w:pPr>
        <w:numPr>
          <w:ilvl w:val="0"/>
          <w:numId w:val="1009"/>
        </w:numPr>
        <w:pStyle w:val="Compact"/>
      </w:pPr>
      <w:r>
        <w:t xml:space="preserve">La mercancía es un compuesto de fibra de carbono, fibra de vidrio y una punta metálica; sin embargo, la clasificación se rige por su función/destino como parte de un conjunto generador. La RGI 3(b) confirma que, cuando proceda, las mercancías se clasifican según el componente que les confiera su carácter esencial; aquí, el carácter esencial es la pala como parte del motor primario del conjunto generador, no la punta de protección contra rayos ni los materiales constitutivos.</w:t>
      </w:r>
    </w:p>
    <w:p>
      <w:pPr>
        <w:pStyle w:val="FirstParagraph"/>
      </w:pPr>
      <w:r>
        <w:t xml:space="preserve">III. Exclusión de partidas alternativas (Capítulos 84 y 85)</w:t>
      </w:r>
    </w:p>
    <w:p>
      <w:pPr>
        <w:numPr>
          <w:ilvl w:val="0"/>
          <w:numId w:val="1010"/>
        </w:numPr>
        <w:pStyle w:val="Compact"/>
      </w:pPr>
      <w:r>
        <w:t xml:space="preserve">Partida 84.10 (Turbinas hidráulicas) y partida 84.11 (Turbinas de gas): La mercancía no es parte de una turbina hidráulica ni de una turbina de gas. El artículo forma parte de un conjunto generador accionado por viento (85.02/8502.31) y no está asociado a motores primarios hidráulicos o de gas; por lo tanto, 84.10 y 84.11 no aplican conforme a la RGI 1.</w:t>
      </w:r>
    </w:p>
    <w:p>
      <w:pPr>
        <w:numPr>
          <w:ilvl w:val="0"/>
          <w:numId w:val="1010"/>
        </w:numPr>
        <w:pStyle w:val="Compact"/>
      </w:pPr>
      <w:r>
        <w:t xml:space="preserve">Partida 84.87 (Las demás partes de máquinas, N.E.P.): Las disposiciones residuales del Capítulo 84 no aplican cuando una disposición más específica del Capítulo 85 cubre expresamente partes destinadas exclusiva o principalmente a conjuntos generadores (85.03). Por RGI 1 y 3(a), la partida 85.03 prevalece sobre partidas residuales de “las demás partes” del Capítulo 84.</w:t>
      </w:r>
    </w:p>
    <w:p>
      <w:pPr>
        <w:numPr>
          <w:ilvl w:val="0"/>
          <w:numId w:val="1010"/>
        </w:numPr>
        <w:pStyle w:val="Compact"/>
      </w:pPr>
      <w:r>
        <w:t xml:space="preserve">Partida 85.01 (Motores y generadores eléctricos, excepto conjuntos generadores): La mercancía no es un motor o generador eléctrico, ni una parte de éstos clasificada en la partida 85.01; es una parte destinada a un conjunto generador de la partida 85.02, cubierta por la partida 85.03.</w:t>
      </w:r>
    </w:p>
    <w:p>
      <w:pPr>
        <w:numPr>
          <w:ilvl w:val="0"/>
          <w:numId w:val="1010"/>
        </w:numPr>
        <w:pStyle w:val="Compact"/>
      </w:pPr>
      <w:r>
        <w:t xml:space="preserve">Partida 85.02 (Conjuntos generadores): La mercancía no es un conjunto generador completo, sino una parte del mismo. Las partes de las máquinas de la partida 85.02 se clasifican en la partida 85.03, por aplicación del texto de 85.03 y de las RGI 1/6.</w:t>
      </w:r>
    </w:p>
    <w:p>
      <w:pPr>
        <w:numPr>
          <w:ilvl w:val="0"/>
          <w:numId w:val="1010"/>
        </w:numPr>
        <w:pStyle w:val="Compact"/>
      </w:pPr>
      <w:r>
        <w:t xml:space="preserve">Partida 85.48 (Partes eléctricas de máquinas): La mercancía es una pala mecánica, no una parte eléctrica, y está específicamente comprendida en una disposición más adecuada (85.03). Por RGI 1 y 3(a), se excluye la partida 85.48.</w:t>
      </w:r>
    </w:p>
    <w:p>
      <w:pPr>
        <w:pStyle w:val="FirstParagraph"/>
      </w:pPr>
      <w:r>
        <w:t xml:space="preserve">Exclusión específica de 8412.90 (requerida)</w:t>
      </w:r>
    </w:p>
    <w:p>
      <w:pPr>
        <w:numPr>
          <w:ilvl w:val="0"/>
          <w:numId w:val="1011"/>
        </w:numPr>
        <w:pStyle w:val="Compact"/>
      </w:pPr>
      <w:r>
        <w:t xml:space="preserve">Aunque la partida 84.12 comprende “Los demás motores y máquinas motrices” y la 8412.90 sus partes, la mercancía objeto es una parte destinada exclusiva o principalmente a un conjunto generador accionado por viento de la partida 85.02. Conforme a la RGI 1 y 3(a), la partida 85.03 (“Partes reconocibles como destinadas exclusiva o principalmente a las máquinas de las partidas 85.01 o 85.02”) proporciona una descripción legal más específica y directa que la más amplia “partes de los demás motores y máquinas motrices”. Además, el texto nacional reconoce expresamente los conjuntos generadores accionados por viento en la subpartida 8502.31 y prevé desgloses nacionales bajo 8503.00 para partes reconocibles como diseñadas exclusivamente para aerogeneradores, lo que confirma la ruta del Capítulo 85 para componentes de turbinas eólicas de conjuntos generadores. Por lo tanto, se descarta 8412.90 en favor de 8503.00 por aplicación de la RGI 1, RGI 3(a) y los textos/notas citados.</w:t>
      </w:r>
    </w:p>
    <w:p>
      <w:pPr>
        <w:pStyle w:val="FirstParagraph"/>
      </w:pPr>
      <w:r>
        <w:t xml:space="preserve">IV. Requisitos documentales para el importador</w:t>
      </w:r>
      <w:r>
        <w:t xml:space="preserve"> </w:t>
      </w:r>
      <w:r>
        <w:t xml:space="preserve">Para sustentar la clasificación como partes destinadas exclusiva o principalmente a máquinas de la partida 85.02 bajo la partida 85.03 (subpartida 8503.00), se recomienda aportar:</w:t>
      </w:r>
    </w:p>
    <w:p>
      <w:pPr>
        <w:numPr>
          <w:ilvl w:val="0"/>
          <w:numId w:val="1012"/>
        </w:numPr>
        <w:pStyle w:val="Compact"/>
      </w:pPr>
      <w:r>
        <w:t xml:space="preserve">Ficha técnica y planos de ingeniería de la preforma de la pala, indicando dimensiones, materiales, características de diseño (interfaz con el buje, punta metálica para rayos) y el modelo de turbina/góndola en que se utiliza, evidenciando el uso exclusivo/principal con conjuntos generadores accionados por viento de la partida 85.02 (conforme a los textos/notas de 85.02 y 85.03).</w:t>
      </w:r>
    </w:p>
    <w:p>
      <w:pPr>
        <w:numPr>
          <w:ilvl w:val="0"/>
          <w:numId w:val="1012"/>
        </w:numPr>
        <w:pStyle w:val="Compact"/>
      </w:pPr>
      <w:r>
        <w:t xml:space="preserve">Manual de ensamble/instalación o constancia del OEM que muestre que la pala terminada se monta en la caperuza/buje (spinner/hub) de un conjunto generador accionado por viento (aerogenerador).</w:t>
      </w:r>
    </w:p>
    <w:p>
      <w:pPr>
        <w:numPr>
          <w:ilvl w:val="0"/>
          <w:numId w:val="1012"/>
        </w:numPr>
        <w:pStyle w:val="Compact"/>
      </w:pPr>
      <w:r>
        <w:t xml:space="preserve">Evidencia de la condición de “sin terminar/preforma” y de las características esenciales (p. ej., registro de control de calidad que indique que solo está pendiente la pintura/inspección), para sustentar el trato de la RGI 2(a) como artículo con el carácter esencial de la parte terminada.</w:t>
      </w:r>
    </w:p>
    <w:p>
      <w:pPr>
        <w:pStyle w:val="FirstParagraph"/>
      </w:pPr>
      <w:r>
        <w:t xml:space="preserve">V. Conclusión</w:t>
      </w:r>
      <w:r>
        <w:t xml:space="preserve"> </w:t>
      </w:r>
      <w:r>
        <w:t xml:space="preserve">Cuadro de clasificación</w:t>
      </w:r>
    </w:p>
    <w:p>
      <w:pPr>
        <w:numPr>
          <w:ilvl w:val="0"/>
          <w:numId w:val="1013"/>
        </w:numPr>
        <w:pStyle w:val="Compact"/>
      </w:pPr>
      <w:r>
        <w:t xml:space="preserve">Capítulo: 85 (Máquinas y aparatos eléctricos y sus partes).</w:t>
      </w:r>
    </w:p>
    <w:p>
      <w:pPr>
        <w:numPr>
          <w:ilvl w:val="0"/>
          <w:numId w:val="1013"/>
        </w:numPr>
        <w:pStyle w:val="Compact"/>
      </w:pPr>
      <w:r>
        <w:t xml:space="preserve">Partida: 85.03 (Partes reconocibles como destinadas exclusiva o principalmente a las máquinas de las partidas 85.01 o 85.02).</w:t>
      </w:r>
    </w:p>
    <w:p>
      <w:pPr>
        <w:numPr>
          <w:ilvl w:val="0"/>
          <w:numId w:val="1013"/>
        </w:numPr>
        <w:pStyle w:val="Compact"/>
      </w:pPr>
      <w:r>
        <w:t xml:space="preserve">Subpartida: 8503.00.</w:t>
      </w:r>
    </w:p>
    <w:p>
      <w:pPr>
        <w:numPr>
          <w:ilvl w:val="0"/>
          <w:numId w:val="1013"/>
        </w:numPr>
        <w:pStyle w:val="Compact"/>
      </w:pPr>
      <w:r>
        <w:t xml:space="preserve">Fracción arancelaria nacional: No determinada (el presente dictamen se limita al nivel de subpartida de 6 dígitos, según lo solicitado).</w:t>
      </w:r>
    </w:p>
    <w:p>
      <w:pPr>
        <w:numPr>
          <w:ilvl w:val="0"/>
          <w:numId w:val="1013"/>
        </w:numPr>
        <w:pStyle w:val="Compact"/>
      </w:pPr>
      <w:r>
        <w:t xml:space="preserve">NICO: No determinado.</w:t>
      </w:r>
    </w:p>
    <w:p>
      <w:pPr>
        <w:pStyle w:val="FirstParagraph"/>
      </w:pPr>
      <w:r>
        <w:t xml:space="preserve">Resolución final</w:t>
      </w:r>
      <w:r>
        <w:t xml:space="preserve"> </w:t>
      </w:r>
      <w:r>
        <w:t xml:space="preserve">Por aplicación de las RGI 1, RGI 2(a), RGI 3(a) y RGI 6, y considerando los textos específicos y notas nacionales de las partidas 85.02 y 85.03, la “preforma de pala de turbina eólica tipo hélice” destinada a un conjunto generador eléctrico accionado por viento se clasifica a nivel de subpartida como 85.03.00 (8503.00).</w:t>
      </w:r>
    </w:p>
    <w:p>
      <w:pPr>
        <w:pStyle w:val="BodyText"/>
      </w:pPr>
      <w:r>
        <w:t xml:space="preserve">Notas</w:t>
      </w:r>
    </w:p>
    <w:p>
      <w:pPr>
        <w:numPr>
          <w:ilvl w:val="0"/>
          <w:numId w:val="1014"/>
        </w:numPr>
        <w:pStyle w:val="Compact"/>
      </w:pPr>
      <w:r>
        <w:t xml:space="preserve">La presencia nacional explícita de conjuntos generadores “accionados por viento” en 8502.31 (Aerogeneradores) y la existencia de desgloses nacionales bajo 8503.00 que abarcan partes reconocibles como diseñadas exclusivamente para aerogeneradores corroboran el enfoque de partes con su máquina del Capítulo 85 y excluyen 8412.90 por mayor especificidad conforme a la RGI 3(a).</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85.03.00 no se menciona en los anexos de la LIGIE.</w:t>
      </w:r>
    </w:p>
    <w:p>
      <w:pPr>
        <w:pStyle w:val="BodyText"/>
      </w:pPr>
      <w:r>
        <w:t xml:space="preserve">El código 85.03.00 no se menciona en el DOF en el período 15/07/2025 al 30/08/2025.</w:t>
      </w:r>
    </w:p>
    <w:bookmarkEnd w:id="23"/>
    <w:bookmarkStart w:id="24" w:name="documentación-consultada"/>
    <w:p>
      <w:pPr>
        <w:pStyle w:val="Heading3"/>
      </w:pPr>
      <w:r>
        <w:t xml:space="preserve">Documentación consultada</w:t>
      </w:r>
    </w:p>
    <w:p>
      <w:pPr>
        <w:numPr>
          <w:ilvl w:val="0"/>
          <w:numId w:val="1015"/>
        </w:numPr>
        <w:pStyle w:val="Compact"/>
      </w:pPr>
      <w:r>
        <w:t xml:space="preserve">Referencias: Ley de los Impuestos Generales de Importación y de Exportación</w:t>
      </w:r>
    </w:p>
    <w:p>
      <w:pPr>
        <w:numPr>
          <w:ilvl w:val="0"/>
          <w:numId w:val="1015"/>
        </w:numPr>
        <w:pStyle w:val="Compact"/>
      </w:pPr>
      <w:r>
        <w:t xml:space="preserve">Versión LIGIE: 7ma Enmienda del Sistema Armonizado</w:t>
      </w:r>
    </w:p>
    <w:p>
      <w:pPr>
        <w:numPr>
          <w:ilvl w:val="0"/>
          <w:numId w:val="1015"/>
        </w:numPr>
        <w:pStyle w:val="Compact"/>
      </w:pPr>
      <w:r>
        <w:t xml:space="preserve">Archivo: LIGIE-UNIFICADA-LIGIE_20250728-20250728.pdf</w:t>
      </w:r>
    </w:p>
    <w:p>
      <w:pPr>
        <w:numPr>
          <w:ilvl w:val="0"/>
          <w:numId w:val="1015"/>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3">
    <w:nsid w:val="47261bad"/>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424">
    <w:nsid w:val="b3cbbdee"/>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42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2025-09-16T02:00:17Z</dcterms:created>
  <dcterms:modified xsi:type="dcterms:W3CDTF">2025-09-16T02:00:17Z</dcterms:modified>
</cp:coreProperties>
</file>

<file path=docProps/custom.xml><?xml version="1.0" encoding="utf-8"?>
<Properties xmlns="http://schemas.openxmlformats.org/officeDocument/2006/custom-properties" xmlns:vt="http://schemas.openxmlformats.org/officeDocument/2006/docPropsVTypes"/>
</file>