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11:48:12</w:t>
      </w:r>
    </w:p>
    <w:p>
      <w:pPr>
        <w:pStyle w:val="BodyText"/>
      </w:pPr>
      <w:r>
        <w:t xml:space="preserve">Cuenta: Ver18-b</w:t>
      </w:r>
    </w:p>
    <w:p>
      <w:pPr>
        <w:pStyle w:val="BodyText"/>
      </w:pPr>
      <w:r>
        <w:t xml:space="preserve">Usuario: cmhs</w:t>
      </w:r>
    </w:p>
    <w:p>
      <w:pPr>
        <w:pStyle w:val="BodyText"/>
      </w:pPr>
      <w:r>
        <w:t xml:space="preserve">ITEM: COMPUESTO MULTIVITAMÍNICO, consistente en un líquido viscoso de color pardo amarillento (componentes: concentrados de jugo de frutas —naranja, limón, manzana, piña, plátano, kiwi y maracuyá—, ácido cítrico y una mezcla de vitaminas, sabor natural a naranja y agua) - Ácido cítrico (12.9% en peso) - Vitamina E (0.08% en peso) – según información del fabricante (agregada a la bebida/concentrado base) - Aceite de naranja (ca. 0.5% en peso) – según información del fabricante (agregado a la bebida/concentrado base). El producto se diluye aproximadamente 40 veces después de la importación y se procesa en la bebida final con jarabe de maíz de alta fructosa y edulcorantes.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21</w:t>
            </w:r>
          </w:p>
        </w:tc>
        <w:tc>
          <w:p>
            <w:pPr>
              <w:pStyle w:val="Compact"/>
              <w:jc w:val="left"/>
            </w:pPr>
            <w:r>
              <w:t xml:space="preserve">Por las RGI 1 y 3(a)–(b), el bien es una preparación alimenticia (mezcla) cuya presentación (concentrado industrial para diluirse ~40×) no es un jugo ni una bebida lista para consumo; por lo tanto, tras las exclusiones, encuadra en la partida 21.06 “preparaciones alimenticias no expresadas ni comprendidas en otra parte”, aplicando la jerarquía de las RGI 1/3. El Capítulo 22 abarca las bebidas en el estado en que se presentan (22.02) y excluye expresamente los jugos de 20.09; ninguno corresponde a este producto tal como se importa.</w:t>
            </w:r>
          </w:p>
        </w:tc>
      </w:tr>
      <w:tr>
        <w:tc>
          <w:p>
            <w:pPr>
              <w:pStyle w:val="Compact"/>
              <w:jc w:val="right"/>
            </w:pPr>
            <w:r>
              <w:rPr>
                <w:bCs/>
                <w:b/>
              </w:rPr>
              <w:t xml:space="preserve">20</w:t>
            </w:r>
          </w:p>
        </w:tc>
        <w:tc>
          <w:p>
            <w:pPr>
              <w:pStyle w:val="Compact"/>
              <w:jc w:val="left"/>
            </w:pPr>
            <w:r>
              <w:t xml:space="preserve">Alternativa si se considerara como producto de jugo: la partida 20.09 abarca jugos de frutas u otros frutos o de hortalizas, no fermentados y sin adición de alcohol, incluso mezclas y con adición de azúcar u otros edulcorantes. Sin embargo, el ácido cítrico/vitaminas/sabor agregados en proporción significativa y la dilución 40× para la fabricación de bebidas indican que no es un jugo “tal como se presenta”, por lo que 20.09 es menos específica conforme a las RGI 1/3.</w:t>
            </w:r>
          </w:p>
        </w:tc>
      </w:tr>
      <w:tr>
        <w:tc>
          <w:p>
            <w:pPr>
              <w:pStyle w:val="Compact"/>
              <w:jc w:val="right"/>
            </w:pPr>
            <w:r>
              <w:rPr>
                <w:bCs/>
                <w:b/>
              </w:rPr>
              <w:t xml:space="preserve">22</w:t>
            </w:r>
          </w:p>
        </w:tc>
        <w:tc>
          <w:p>
            <w:pPr>
              <w:pStyle w:val="Compact"/>
              <w:jc w:val="left"/>
            </w:pPr>
            <w:r>
              <w:t xml:space="preserve">El Capítulo 22 aplicaría a bebidas tal como se presentan (22.02: aguas y las demás bebidas no alcohólicas, excepto los jugos 20.09). Las NESA precisan el alcance de “bebidas no alcohólicas” en 22.02 e incluso sitúan néctares terminados en 2202.99, no en 2009. Este producto no es una bebida tal como se presenta, sino un concentrado/base para fabricar bebidas posteriormente; por ello se excluye el 22.</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Style w:val="Compact"/>
      </w:pPr>
      <w:r>
        <w:t xml:space="preserve">Reglas Generales de Interpretación (RGI). La RGI 1 establece que la clasificación se determina por los textos de las partidas y de las Notas de Sección o de Capítulo y, en su caso, por las demás Reglas, siempre que no sean contrarias a dichos textos. La RGI 2(b) aclara que la mención de una materia comprende las mezclas, pero que ello no extiende una partida a productos que, por la adición de otras sustancias, hayan perdido el carácter de las mercancías de dicha partida; cuando las mezclas pudieran clasificarse en dos o más partidas, se aplica la Regla 3. Conforme a la RGI 3(a), la descripción más específica prevalece sobre la más genérica; cuando dos o más partidas se refieran solamente a parte de las materias de un producto mixto, se consideran igualmente específicas y la clasificación debe efectuarse según la RGI 3(b) por el componente o materia que le confiera el carácter esencial. La RGI 6 confirma que las RGI 1–5 se aplican mutatis mutandis al nivel de subpartida dentro de la misma partida.</w:t>
      </w:r>
    </w:p>
    <w:p>
      <w:pPr>
        <w:numPr>
          <w:ilvl w:val="0"/>
          <w:numId w:val="1001"/>
        </w:numPr>
        <w:pStyle w:val="Compact"/>
      </w:pPr>
      <w:r>
        <w:t xml:space="preserve">Capítulo 21 (Preparaciones alimenticias diversas). La Nota 1 enumera exclusiones no pertinentes al producto en cuestión; el Capítulo comprende “Preparaciones alimenticias no expresadas ni comprendidas en otra parte” (partida 21.06). Las notas nacionales precisan que los términos “con sabor/aromatizado” significan con adición de sabor, relevante para productos descritos como aromatizados o con sabor agregado. El texto arancelario nacional para la partida 21.06 incluye expresamente, a nivel de fracción nacional, “Mezclas de jugos concentrados de frutas, hortalizas o productos de la horticultura, enriquecidas con minerales o vitaminas” en 2106.90.07, lo que evidencia el alcance de la partida 21.06 para tales preparaciones; al nivel de seis dígitos corresponde a 2106.90 (Los demás).</w:t>
      </w:r>
    </w:p>
    <w:p>
      <w:pPr>
        <w:numPr>
          <w:ilvl w:val="0"/>
          <w:numId w:val="1001"/>
        </w:numPr>
        <w:pStyle w:val="Compact"/>
      </w:pPr>
      <w:r>
        <w:t xml:space="preserve">Capítulo 20 (Preparaciones de hortalizas, frutas u otras partes de plantas). La partida 20.09 abarca “Jugo de frutas u otros frutos (incluidos el mosto de uva y el agua de coco) o de hortalizas, sin fermentar y sin adición de alcohol, incluso con adición de azúcar u otro edulcorante”, con subpartidas específicas para jugos de fruta única y “Mezclas de jugos” en 2009.90. La Nota 6 del Capítulo 20 aclara que, para la partida 20.09, “sin fermentar y sin adición de alcohol” significa un grado alcohólico en volumen que no exceda de 0.5% vol.</w:t>
      </w:r>
    </w:p>
    <w:p>
      <w:pPr>
        <w:pStyle w:val="FirstParagraph"/>
      </w:pPr>
      <w:r>
        <w:t xml:space="preserve">II. Análisis jurídico‑técnico</w:t>
      </w:r>
      <w:r>
        <w:t xml:space="preserve"> </w:t>
      </w:r>
      <w:r>
        <w:t xml:space="preserve">Descripción del producto: “COMPUESTO MULTIVITAMÍNICO”, líquido viscoso pardo amarillento compuesto por concentrados de jugo de frutas (naranja, limón, manzana, piña, plátano, kiwi, maracuyá), ácido cítrico (12.9% p/p), mezcla de vitaminas (incluida vitamina E 0.08% p/p), sabor natural a naranja, aceite esencial de naranja (~0.5% p/p) y agua; destinado a diluirse aproximadamente 1:40 tras la importación y a procesarse en la bebida final con jarabe de maíz de alta fructosa y edulcorantes.</w:t>
      </w:r>
    </w:p>
    <w:p>
      <w:pPr>
        <w:numPr>
          <w:ilvl w:val="0"/>
          <w:numId w:val="1002"/>
        </w:numPr>
        <w:pStyle w:val="Compact"/>
      </w:pPr>
      <w:r>
        <w:t xml:space="preserve">Selección de capítulo conforme a la RGI 1</w:t>
      </w:r>
    </w:p>
    <w:p>
      <w:pPr>
        <w:numPr>
          <w:ilvl w:val="0"/>
          <w:numId w:val="1003"/>
        </w:numPr>
        <w:pStyle w:val="Compact"/>
      </w:pPr>
      <w:r>
        <w:t xml:space="preserve">La partida 20.09 (jugos) podría considerarse prima facie porque el producto contiene múltiples concentrados de jugo de frutas y agua, y la partida 20.09 incluye “Mezclas de jugos” en 2009.90.</w:t>
      </w:r>
    </w:p>
    <w:p>
      <w:pPr>
        <w:numPr>
          <w:ilvl w:val="0"/>
          <w:numId w:val="1003"/>
        </w:numPr>
        <w:pStyle w:val="Compact"/>
      </w:pPr>
      <w:r>
        <w:t xml:space="preserve">La partida 21.06 (preparaciones alimenticias diversas) también procede porque abarca preparaciones alimenticias no expresadas ni comprendidas en otra parte. De manera determinante, el texto arancelario nacional bajo 21.06 incluye fracciones específicas para jarabes aromatizados y para “Mezclas de jugos concentrados … enriquecidas con minerales o vitaminas” (2106.90.07), lo que describe directamente la naturaleza del producto como una preparación de concentrados de jugo enriquecida con vitaminas destinada a la fabricación de bebidas; a seis dígitos corresponde a 2106.90.</w:t>
      </w:r>
    </w:p>
    <w:p>
      <w:pPr>
        <w:numPr>
          <w:ilvl w:val="0"/>
          <w:numId w:val="1004"/>
        </w:numPr>
        <w:pStyle w:val="Compact"/>
      </w:pPr>
      <w:r>
        <w:t xml:space="preserve">Aplicación de las RGI 2(b), 3(a) y 3(b)</w:t>
      </w:r>
    </w:p>
    <w:p>
      <w:pPr>
        <w:numPr>
          <w:ilvl w:val="0"/>
          <w:numId w:val="1005"/>
        </w:numPr>
        <w:pStyle w:val="Compact"/>
      </w:pPr>
      <w:r>
        <w:t xml:space="preserve">El producto es una preparación mixta con componentes no propios del jugo en proporción sustancial: ácido cítrico al 12.9% en peso, una mezcla de vitaminas añadida, sabor añadido y aceite esencial de naranja, formulado para diluirse industrialmente 40:1 antes de convertirse en la bebida final. Conforme a la RGI 2(b), los agregados no deben privar al artículo del carácter de las mercancías de la partida candidata; cuando los agregados alteran el carácter, la clasificación procede según la RGI 3.</w:t>
      </w:r>
    </w:p>
    <w:p>
      <w:pPr>
        <w:numPr>
          <w:ilvl w:val="0"/>
          <w:numId w:val="1005"/>
        </w:numPr>
        <w:pStyle w:val="Compact"/>
      </w:pPr>
      <w:r>
        <w:t xml:space="preserve">Entre un “jugo” de 20.09 y una “preparación” de 21.06, la descripción más específica—considerando la formulación real y el uso previsto—es la de una preparación para bebidas compuesta por mezclas de concentrados de jugo enriquecidas con vitaminas, explícitamente cubierta en el texto nacional de la partida 21.06 (2106.90.07). Por la RGI 3(a), esta descripción dentro de la partida 21.06 es más específica que el concepto general de mezclas de jugos de la partida 20.09; leído al nivel de seis dígitos, el producto queda en 2106.90 (Los demás).</w:t>
      </w:r>
    </w:p>
    <w:p>
      <w:pPr>
        <w:numPr>
          <w:ilvl w:val="0"/>
          <w:numId w:val="1005"/>
        </w:numPr>
        <w:pStyle w:val="Compact"/>
      </w:pPr>
      <w:r>
        <w:t xml:space="preserve">En la medida en que aún pudieran considerarse las partidas 20.09 y 21.06 como igualmente específicas respecto de partes de la mezcla (jugo vs. ácidos/vitaminas/sabor agregados), la RGI 3(b) dirige clasificar por el componente o materia que confiere el carácter esencial. Aquí, el carácter esencial es el de una base industrial para bebidas—una preparación formulada—y no un jugo consumible tal como se importa, lo cual sustenta la partida 21.06 en la subpartida 2106.90.</w:t>
      </w:r>
    </w:p>
    <w:p>
      <w:pPr>
        <w:numPr>
          <w:ilvl w:val="0"/>
          <w:numId w:val="1006"/>
        </w:numPr>
        <w:pStyle w:val="Compact"/>
      </w:pPr>
      <w:r>
        <w:t xml:space="preserve">Selección de subpartida conforme a la RGI 6</w:t>
      </w:r>
    </w:p>
    <w:p>
      <w:pPr>
        <w:numPr>
          <w:ilvl w:val="0"/>
          <w:numId w:val="1007"/>
        </w:numPr>
        <w:pStyle w:val="Compact"/>
      </w:pPr>
      <w:r>
        <w:t xml:space="preserve">Dentro de la partida 21.06, el producto no es un concentrado proteico (2106.10) y por lo tanto permanece en 2106.90 (Los demás). Las fracciones nacionales bajo 2106.90 identifican además “Mezclas de jugos concentrados … enriquecidas con minerales o vitaminas”, validando el alcance interpretativo de 2106.90 para esta clase de mercancías; al nivel de seis dígitos, la clasificación es 2106.90.</w:t>
      </w:r>
    </w:p>
    <w:p>
      <w:pPr>
        <w:pStyle w:val="FirstParagraph"/>
      </w:pPr>
      <w:r>
        <w:t xml:space="preserve">III. Exclusión de partidas alternativas dentro de los Capítulos 21 y 20</w:t>
      </w:r>
    </w:p>
    <w:p>
      <w:pPr>
        <w:numPr>
          <w:ilvl w:val="0"/>
          <w:numId w:val="1008"/>
        </w:numPr>
        <w:pStyle w:val="Compact"/>
      </w:pPr>
      <w:r>
        <w:t xml:space="preserve">Alternativas del Capítulo 21:</w:t>
      </w:r>
    </w:p>
    <w:p>
      <w:pPr>
        <w:numPr>
          <w:ilvl w:val="1"/>
          <w:numId w:val="1009"/>
        </w:numPr>
        <w:pStyle w:val="Compact"/>
      </w:pPr>
      <w:r>
        <w:t xml:space="preserve">21.01 (extractos de café/té), 21.02 (levaduras), 21.03 (salsas), 21.04 (sopas), 21.05 (helados) no son aplicables por su texto.</w:t>
      </w:r>
    </w:p>
    <w:p>
      <w:pPr>
        <w:numPr>
          <w:ilvl w:val="1"/>
          <w:numId w:val="1009"/>
        </w:numPr>
        <w:pStyle w:val="Compact"/>
      </w:pPr>
      <w:r>
        <w:t xml:space="preserve">2106.10 (concentrados proteicos) no aplica porque el producto no es un concentrado ni sustancia proteica texturizada.</w:t>
      </w:r>
    </w:p>
    <w:p>
      <w:pPr>
        <w:numPr>
          <w:ilvl w:val="1"/>
          <w:numId w:val="1009"/>
        </w:numPr>
        <w:pStyle w:val="Compact"/>
      </w:pPr>
      <w:r>
        <w:t xml:space="preserve">2106.90.05 (jarabes aromatizados) es una fracción nacional para preparaciones tipo jarabe; el producto es una mezcla de concentrados de jugo enriquecida con vitaminas para diluir y endulzar después de la importación, no un jarabe azucarado aromatizado tal como se importa; por lo tanto, a seis dígitos 2106.90 sigue siendo la subpartida correcta.</w:t>
      </w:r>
    </w:p>
    <w:p>
      <w:pPr>
        <w:numPr>
          <w:ilvl w:val="1"/>
          <w:numId w:val="1009"/>
        </w:numPr>
        <w:pStyle w:val="Compact"/>
      </w:pPr>
      <w:r>
        <w:t xml:space="preserve">2106.90.10 y 2106.90.91 (preparaciones para elaborar bebidas alcohólicas) no aplican; el producto es una base para bebidas no alcohólicas, según se describe.</w:t>
      </w:r>
    </w:p>
    <w:p>
      <w:pPr>
        <w:numPr>
          <w:ilvl w:val="0"/>
          <w:numId w:val="1008"/>
        </w:numPr>
        <w:pStyle w:val="Compact"/>
      </w:pPr>
      <w:r>
        <w:t xml:space="preserve">Alternativas del Capítulo 20:</w:t>
      </w:r>
    </w:p>
    <w:p>
      <w:pPr>
        <w:numPr>
          <w:ilvl w:val="1"/>
          <w:numId w:val="1010"/>
        </w:numPr>
        <w:pStyle w:val="Compact"/>
      </w:pPr>
      <w:r>
        <w:t xml:space="preserve">20.08 (frutas u otros preparados/conservas) no corresponde a la mercancía descrita, que no es una preparación sólida de fruta conservada, sino una base líquida para bebidas.</w:t>
      </w:r>
    </w:p>
    <w:p>
      <w:pPr>
        <w:numPr>
          <w:ilvl w:val="1"/>
          <w:numId w:val="1010"/>
        </w:numPr>
        <w:pStyle w:val="Compact"/>
      </w:pPr>
      <w:r>
        <w:t xml:space="preserve">20.09 (jugos) incluye “Mezclas de jugos” en 2009.90 y permite azúcar añadido, pero no aborda específicamente ni avala la adición sustancial de acidulantes separados, complejos vitamínicos, aceites esenciales y saborizantes que, en conjunto, re‑caracterizan la mezcla como una preparación formulada para bebidas. Conforme a la RGI 2(b), cuando las adiciones privan al producto del carácter de un jugo, no debe permanecer en 20.09; en su lugar, aplica 21.06 por los términos de esa partida y por las RGI 3(a)/(b) como se explicó. La Nota 6 del Capítulo 20 sobre “sin fermentar y sin adición de alcohol” (≤0.5% vol) no resuelve el punto decisivo aquí, que es el carácter formulado, multicomponente, como base para bebidas y no como jugo tal como se presenta.</w:t>
      </w:r>
    </w:p>
    <w:p>
      <w:pPr>
        <w:pStyle w:val="FirstParagraph"/>
      </w:pPr>
      <w:r>
        <w:t xml:space="preserve">Por qué 2106.90 prevalece sobre 2009.90 (y por qué no se descarta 2106.90)</w:t>
      </w:r>
    </w:p>
    <w:p>
      <w:pPr>
        <w:numPr>
          <w:ilvl w:val="0"/>
          <w:numId w:val="1011"/>
        </w:numPr>
        <w:pStyle w:val="Compact"/>
      </w:pPr>
      <w:r>
        <w:t xml:space="preserve">El texto nacional mexicano bajo 21.06 enumera específicamente “Mezclas de jugos concentrados … enriquecidas con minerales o vitaminas” dentro de 2106.90 (2106.90.07), lo que refleja la ubicación prevista para estas bases industriales de bebidas. Esta mención específica dentro de la partida 21.06 hace que dicha partida sea la descripción legal más precisa en comparación con el concepto más amplio de “mezclas de jugos” de la partida 20.09; por ende, 2106.90 se sostiene por las RGI 1, 3(a) y 6.</w:t>
      </w:r>
    </w:p>
    <w:p>
      <w:pPr>
        <w:pStyle w:val="FirstParagraph"/>
      </w:pPr>
      <w:r>
        <w:t xml:space="preserve">IV. Requisitos documentales para el importador</w:t>
      </w:r>
      <w:r>
        <w:t xml:space="preserve"> </w:t>
      </w:r>
      <w:r>
        <w:t xml:space="preserve">Para sustentar el análisis jurídico‑técnico anterior, el importador debe proporcionar:</w:t>
      </w:r>
    </w:p>
    <w:p>
      <w:pPr>
        <w:numPr>
          <w:ilvl w:val="0"/>
          <w:numId w:val="1012"/>
        </w:numPr>
        <w:pStyle w:val="Compact"/>
      </w:pPr>
      <w:r>
        <w:t xml:space="preserve">Ficha técnica completa y formulación de fabricación, detallando el porcentaje en peso de cada concentrado de jugo, agua, ácido círico, vitaminas, sabores y aceites esenciales.</w:t>
      </w:r>
    </w:p>
    <w:p>
      <w:pPr>
        <w:numPr>
          <w:ilvl w:val="0"/>
          <w:numId w:val="1012"/>
        </w:numPr>
        <w:pStyle w:val="Compact"/>
      </w:pPr>
      <w:r>
        <w:t xml:space="preserve">Grados Brix de la preparación tal como se importa y Brix a la dilución recomendada; pH y proporción de dilución prevista (el expediente refiere aproximadamente 1:40) y uso previsto en la fabricación de bebidas.</w:t>
      </w:r>
    </w:p>
    <w:p>
      <w:pPr>
        <w:numPr>
          <w:ilvl w:val="0"/>
          <w:numId w:val="1012"/>
        </w:numPr>
        <w:pStyle w:val="Compact"/>
      </w:pPr>
      <w:r>
        <w:t xml:space="preserve">Confirmación de si existen azúcares/jarabe de maíz de alta fructosa en el producto importado o si se agregan únicamente después de la importación.</w:t>
      </w:r>
    </w:p>
    <w:p>
      <w:pPr>
        <w:numPr>
          <w:ilvl w:val="0"/>
          <w:numId w:val="1012"/>
        </w:numPr>
        <w:pStyle w:val="Compact"/>
      </w:pPr>
      <w:r>
        <w:t xml:space="preserve">Hoja de datos de seguridad (HDS), fichas de especificaciones del producto y Certificado de Análisis de lotes representativos.</w:t>
      </w:r>
    </w:p>
    <w:p>
      <w:pPr>
        <w:numPr>
          <w:ilvl w:val="0"/>
          <w:numId w:val="1012"/>
        </w:numPr>
        <w:pStyle w:val="Compact"/>
      </w:pPr>
      <w:r>
        <w:t xml:space="preserve">Materiales de etiquetado/mercadotecnia e instrucciones de uso que muestren que el producto es una base para fabricación de bebidas y no un jugo al menudeo.</w:t>
      </w:r>
    </w:p>
    <w:p>
      <w:pPr>
        <w:numPr>
          <w:ilvl w:val="0"/>
          <w:numId w:val="1012"/>
        </w:numPr>
        <w:pStyle w:val="Compact"/>
      </w:pPr>
      <w:r>
        <w:t xml:space="preserve">Cualesquiera normas de calidad o definiciones internas que indiquen “mezcla de concentrados de jugo enriquecida con vitaminas”.</w:t>
      </w:r>
    </w:p>
    <w:p>
      <w:pPr>
        <w:pStyle w:val="FirstParagraph"/>
      </w:pPr>
      <w:r>
        <w:t xml:space="preserve">V. Conclusión</w:t>
      </w:r>
    </w:p>
    <w:p>
      <w:pPr>
        <w:numPr>
          <w:ilvl w:val="0"/>
          <w:numId w:val="1013"/>
        </w:numPr>
        <w:pStyle w:val="Compact"/>
      </w:pPr>
      <w:r>
        <w:t xml:space="preserve">Clasificación arancelaria propuesta a nivel de subpartida (seis dígitos): 2106.90</w:t>
      </w:r>
    </w:p>
    <w:p>
      <w:pPr>
        <w:numPr>
          <w:ilvl w:val="1"/>
          <w:numId w:val="1014"/>
        </w:numPr>
        <w:pStyle w:val="Compact"/>
      </w:pPr>
      <w:r>
        <w:t xml:space="preserve">Capítulo: 21 (Preparaciones alimenticias diversas)</w:t>
      </w:r>
    </w:p>
    <w:p>
      <w:pPr>
        <w:numPr>
          <w:ilvl w:val="1"/>
          <w:numId w:val="1014"/>
        </w:numPr>
        <w:pStyle w:val="Compact"/>
      </w:pPr>
      <w:r>
        <w:t xml:space="preserve">Partida: 21.06 (Preparaciones alimenticias no expresadas ni comprendidas en otra parte)</w:t>
      </w:r>
    </w:p>
    <w:p>
      <w:pPr>
        <w:numPr>
          <w:ilvl w:val="1"/>
          <w:numId w:val="1014"/>
        </w:numPr>
        <w:pStyle w:val="Compact"/>
      </w:pPr>
      <w:r>
        <w:t xml:space="preserve">Subpartida: 2106.90 (Los demás)</w:t>
      </w:r>
    </w:p>
    <w:p>
      <w:pPr>
        <w:numPr>
          <w:ilvl w:val="1"/>
          <w:numId w:val="1014"/>
        </w:numPr>
        <w:pStyle w:val="Compact"/>
      </w:pPr>
      <w:r>
        <w:t xml:space="preserve">Fracción nacional y NICO: No determinados aquí, dado que la solicitud limita la clasificación a la subpartida de seis dígitos; no obstante, nótese que el texto nacional incluye “Mezclas de jugos concentrados … enriquecidas con minerales o vitaminas” en 2106.90.07, lo que respalda la conclusión a seis dígitos.</w:t>
      </w:r>
    </w:p>
    <w:p>
      <w:pPr>
        <w:pStyle w:val="FirstParagraph"/>
      </w:pPr>
      <w:r>
        <w:t xml:space="preserve">Determinación condicionada</w:t>
      </w:r>
    </w:p>
    <w:p>
      <w:pPr>
        <w:numPr>
          <w:ilvl w:val="0"/>
          <w:numId w:val="1015"/>
        </w:numPr>
        <w:pStyle w:val="Compact"/>
      </w:pPr>
      <w:r>
        <w:t xml:space="preserve">Opción A (si…): Si la evidencia demuestra que las adiciones de ácido cítrico, vitaminas, aceite esencial y sabor son únicamente incidentales y no privan al producto del carácter de jugo de frutas tal como se presenta, y el producto califica técnica y comercialmente como una mezcla de jugos conforme a la partida 20.09, clasificar en:</w:t>
      </w:r>
    </w:p>
    <w:p>
      <w:pPr>
        <w:numPr>
          <w:ilvl w:val="1"/>
          <w:numId w:val="1016"/>
        </w:numPr>
        <w:pStyle w:val="Compact"/>
      </w:pPr>
      <w:r>
        <w:t xml:space="preserve">Capítulo 20; Partida 20.09; Subpartida 2009.90 (Mezclas de jugos).</w:t>
      </w:r>
    </w:p>
    <w:p>
      <w:pPr>
        <w:numPr>
          <w:ilvl w:val="0"/>
          <w:numId w:val="1015"/>
        </w:numPr>
        <w:pStyle w:val="Compact"/>
      </w:pPr>
      <w:r>
        <w:t xml:space="preserve">Opción B (si…): Si, como se describe, la preparación es una base formulada para bebidas compuesta por mezclas de concentrados de jugo con acidulante añadido significativo (aprox. 12.9% de ácido cítrico), enriquecimiento con vitaminas, aceite de naranja y sabor, destinada a dilución 40:1 y endulzado posterior a la importación, clasificar en:</w:t>
      </w:r>
    </w:p>
    <w:p>
      <w:pPr>
        <w:numPr>
          <w:ilvl w:val="1"/>
          <w:numId w:val="1017"/>
        </w:numPr>
        <w:pStyle w:val="Compact"/>
      </w:pPr>
      <w:r>
        <w:t xml:space="preserve">Capítulo 21; Partida 21.06; Subpartida 2106.90 (Los demás), considerando la fracción nacional 2106.90.07 como corroborativa del alcance.</w:t>
      </w:r>
    </w:p>
    <w:p>
      <w:pPr>
        <w:numPr>
          <w:ilvl w:val="0"/>
          <w:numId w:val="1015"/>
        </w:numPr>
        <w:pStyle w:val="Compact"/>
      </w:pPr>
      <w:r>
        <w:t xml:space="preserve">Opción C (si…): Si se demuestra que la preparación es un jarabe azucarado aromatizado (en el estado importado) y no una mezcla de concentrados de jugo, entonces a nivel nacional podría ubicarse en la línea de “jarabes aromatizados”; a seis dígitos permanece en:</w:t>
      </w:r>
    </w:p>
    <w:p>
      <w:pPr>
        <w:numPr>
          <w:ilvl w:val="1"/>
          <w:numId w:val="1018"/>
        </w:numPr>
        <w:pStyle w:val="Compact"/>
      </w:pPr>
      <w:r>
        <w:t xml:space="preserve">Capítulo 21; Partida 21.06; Subpartida 2106.90 (Los demás).</w:t>
      </w:r>
    </w:p>
    <w:p>
      <w:pPr>
        <w:pStyle w:val="FirstParagraph"/>
      </w:pPr>
      <w:r>
        <w:t xml:space="preserve">CRITERIOS FALTANTES:</w:t>
      </w:r>
    </w:p>
    <w:p>
      <w:pPr>
        <w:numPr>
          <w:ilvl w:val="0"/>
          <w:numId w:val="1019"/>
        </w:numPr>
        <w:pStyle w:val="Compact"/>
      </w:pPr>
      <w:r>
        <w:t xml:space="preserve">Formulación cuantitativa exacta (porcentajes en peso) de todos los componentes para confirmar si los aditivos no propios del jugo son sustanciales.</w:t>
      </w:r>
    </w:p>
    <w:p>
      <w:pPr>
        <w:numPr>
          <w:ilvl w:val="0"/>
          <w:numId w:val="1019"/>
        </w:numPr>
        <w:pStyle w:val="Compact"/>
      </w:pPr>
      <w:r>
        <w:t xml:space="preserve">Grados Brix y pH del producto importado; prueba de la dilución prevista y del endulzado posterior a la importación.</w:t>
      </w:r>
    </w:p>
    <w:p>
      <w:pPr>
        <w:numPr>
          <w:ilvl w:val="0"/>
          <w:numId w:val="1019"/>
        </w:numPr>
        <w:pStyle w:val="Compact"/>
      </w:pPr>
      <w:r>
        <w:t xml:space="preserve">Confirmación de azúcares presentes en el estado importado (para descartar enfoques de “jarabe”).</w:t>
      </w:r>
    </w:p>
    <w:p>
      <w:pPr>
        <w:numPr>
          <w:ilvl w:val="0"/>
          <w:numId w:val="1019"/>
        </w:numPr>
        <w:pStyle w:val="Compact"/>
      </w:pPr>
      <w:r>
        <w:t xml:space="preserve">Evidencia de la presentación comercial y uso previsto (base industrial para bebidas frente a jugo).</w:t>
      </w:r>
    </w:p>
    <w:p>
      <w:pPr>
        <w:pStyle w:val="FirstParagraph"/>
      </w:pPr>
      <w:r>
        <w:t xml:space="preserve">Resolución final</w:t>
      </w:r>
      <w:r>
        <w:t xml:space="preserve"> </w:t>
      </w:r>
      <w:r>
        <w:t xml:space="preserve">Con base en las RGI 1, 2(b), 3(a), 3(b) y 6, el producto descrito es una base para bebidas, multivitamínica y de jugos de frutas concentrados, y se clasifica correctamente, a seis dígitos, en la subpartida 2106.90 (Preparaciones alimenticias no expresadas ni comprendidas en otra parte – Los demás) del Capítulo 21, con texto nacional que confirma la ubicación de “mezclas de jugos concentrados … enriquecidas con minerales o vitaminas” en dicha disposición.</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20"/>
        </w:numPr>
        <w:pStyle w:val="Compact"/>
      </w:pPr>
      <w:r>
        <w:t xml:space="preserve">Referencias: Ley de los Impuestos Generales de Importación y de Exportación</w:t>
      </w:r>
    </w:p>
    <w:p>
      <w:pPr>
        <w:numPr>
          <w:ilvl w:val="0"/>
          <w:numId w:val="1020"/>
        </w:numPr>
        <w:pStyle w:val="Compact"/>
      </w:pPr>
      <w:r>
        <w:t xml:space="preserve">Versión LIGIE: 7ma Enmienda del Sistema Armonizado</w:t>
      </w:r>
    </w:p>
    <w:p>
      <w:pPr>
        <w:numPr>
          <w:ilvl w:val="0"/>
          <w:numId w:val="1020"/>
        </w:numPr>
        <w:pStyle w:val="Compact"/>
      </w:pPr>
      <w:r>
        <w:t xml:space="preserve">Archivo: LIGIE-UNIFICADA-LIGIE_20250728-20250728.pdf</w:t>
      </w:r>
    </w:p>
    <w:p>
      <w:pPr>
        <w:numPr>
          <w:ilvl w:val="0"/>
          <w:numId w:val="1020"/>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2025-09-16T02:00:15Z</dcterms:created>
  <dcterms:modified xsi:type="dcterms:W3CDTF">2025-09-16T02:00:15Z</dcterms:modified>
</cp:coreProperties>
</file>

<file path=docProps/custom.xml><?xml version="1.0" encoding="utf-8"?>
<Properties xmlns="http://schemas.openxmlformats.org/officeDocument/2006/custom-properties" xmlns:vt="http://schemas.openxmlformats.org/officeDocument/2006/docPropsVTypes"/>
</file>