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12:44:06</w:t>
      </w:r>
    </w:p>
    <w:p>
      <w:pPr>
        <w:pStyle w:val="BodyText"/>
      </w:pPr>
      <w:r>
        <w:t xml:space="preserve">Cuenta: Ver18-b</w:t>
      </w:r>
    </w:p>
    <w:p>
      <w:pPr>
        <w:pStyle w:val="BodyText"/>
      </w:pPr>
      <w:r>
        <w:t xml:space="preserve">Usuario: cmhs</w:t>
      </w:r>
    </w:p>
    <w:p>
      <w:pPr>
        <w:pStyle w:val="BodyText"/>
      </w:pPr>
      <w:r>
        <w:t xml:space="preserve">ITEM: Tablas sin cantonear, toscamente mecanizadas, aserradas por ambas caras, sin canto (con trazas de corteza), no cepilladas, no lijadas. Dimensiones del producto: espesor de 25 mm a 60 mm, longitud máxima 3500 mm, ancho máximo 350 mm.</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44</w:t>
            </w:r>
          </w:p>
        </w:tc>
        <w:tc>
          <w:p>
            <w:pPr>
              <w:pStyle w:val="Compact"/>
              <w:jc w:val="left"/>
            </w:pPr>
            <w:r>
              <w:t xml:space="preserve">Por la GRI 1, se clasifica conforme a los textos legales; la partida 44.07 abarca la madera aserrada o desbastada longitudinalmente de espesor superior a 6 mm, aun si no está cepillada o lijada, lo que coincide con tablas sin canto aserradas por ambas caras (25–60 mm). Comparada con la 44.03 (madera en bruto), la 44.07 es más específica para tablas aserradas; conforme a la GRI 3(a) prevalece la descripción más específica.</w:t>
            </w:r>
          </w:p>
        </w:tc>
      </w:tr>
      <w:tr>
        <w:tc>
          <w:p>
            <w:pPr>
              <w:pStyle w:val="Compact"/>
              <w:jc w:val="right"/>
            </w:pPr>
            <w:r>
              <w:rPr>
                <w:bCs/>
                <w:b/>
              </w:rPr>
              <w:t xml:space="preserve">47</w:t>
            </w:r>
          </w:p>
        </w:tc>
        <w:tc>
          <w:p>
            <w:pPr>
              <w:pStyle w:val="Compact"/>
              <w:jc w:val="left"/>
            </w:pPr>
            <w:r>
              <w:t xml:space="preserve">El Capítulo 47 abarca pastas de madera y materiales afines (p. ej., 47.01–47.07), no madera maciza aserrada; por tanto, se excluye por GRI 1 para este producto.</w:t>
            </w:r>
          </w:p>
        </w:tc>
      </w:tr>
      <w:tr>
        <w:tc>
          <w:p>
            <w:pPr>
              <w:pStyle w:val="Compact"/>
              <w:jc w:val="right"/>
            </w:pPr>
            <w:r>
              <w:rPr>
                <w:bCs/>
                <w:b/>
              </w:rPr>
              <w:t xml:space="preserve">46</w:t>
            </w:r>
          </w:p>
        </w:tc>
        <w:tc>
          <w:p>
            <w:pPr>
              <w:pStyle w:val="Compact"/>
              <w:jc w:val="left"/>
            </w:pPr>
            <w:r>
              <w:t xml:space="preserve">El Capítulo 46 comprende materias trenzables/cestería; “materia trenzable” incluye listones o cintas de madera para tejido, no tablas gruesas aserradas (25–60 mm). Por lo tanto, no aplica (GRI 1).</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Style w:val="Compact"/>
      </w:pPr>
      <w:r>
        <w:t xml:space="preserve">Regla General de Interpretación (GRI) 1. La clasificación se determina por los textos de las partidas y de las Notas de Sección o de Capítulo; solo se recurre a las GRI 2–5 cuando no contravengan dichos textos.</w:t>
      </w:r>
    </w:p>
    <w:p>
      <w:pPr>
        <w:numPr>
          <w:ilvl w:val="0"/>
          <w:numId w:val="1001"/>
        </w:numPr>
        <w:pStyle w:val="Compact"/>
      </w:pPr>
      <w:r>
        <w:t xml:space="preserve">GRI 3(a). Cuando una mercancía pudiera clasificarse en dos o más partidas, prevalece la partida que proporcione la descripción más específica sobre la más general.</w:t>
      </w:r>
    </w:p>
    <w:p>
      <w:pPr>
        <w:numPr>
          <w:ilvl w:val="0"/>
          <w:numId w:val="1001"/>
        </w:numPr>
        <w:pStyle w:val="Compact"/>
      </w:pPr>
      <w:r>
        <w:t xml:space="preserve">GRI 3(b). Si la GRI 3(a) resultara inoperante para mezclas/combinaciones, la clasificación se determina por el componente que les confiera el carácter esencial, cuando sea determinable.</w:t>
      </w:r>
    </w:p>
    <w:p>
      <w:pPr>
        <w:numPr>
          <w:ilvl w:val="0"/>
          <w:numId w:val="1001"/>
        </w:numPr>
        <w:pStyle w:val="Compact"/>
      </w:pPr>
      <w:r>
        <w:t xml:space="preserve">GRI 6. Para la selección de subpartida, se aplican, mutatis mutandis, los textos de las subpartidas y las Notas de Subpartida, y la comparación se efectúa únicamente entre subpartidas del mismo nivel; una subpartida de dos guiones no puede extenderse más allá de la subpartida de un guion a la cual pertenece.</w:t>
      </w:r>
    </w:p>
    <w:p>
      <w:pPr>
        <w:numPr>
          <w:ilvl w:val="0"/>
          <w:numId w:val="1001"/>
        </w:numPr>
        <w:pStyle w:val="Compact"/>
      </w:pPr>
      <w:r>
        <w:t xml:space="preserve">Alcance del Capítulo 44 y partidas clave:</w:t>
      </w:r>
    </w:p>
    <w:p>
      <w:pPr>
        <w:numPr>
          <w:ilvl w:val="1"/>
          <w:numId w:val="1002"/>
        </w:numPr>
        <w:pStyle w:val="Compact"/>
      </w:pPr>
      <w:r>
        <w:t xml:space="preserve">La partida 44.07 comprende la madera aserrada o desbastada longitudinalmente (incluida la obtenida por corte o desenrollo), haya sido o no cepillada, lijada o unida por los extremos, de espesor superior a 6 mm.</w:t>
      </w:r>
    </w:p>
    <w:p>
      <w:pPr>
        <w:numPr>
          <w:ilvl w:val="1"/>
          <w:numId w:val="1002"/>
        </w:numPr>
        <w:pStyle w:val="Compact"/>
      </w:pPr>
      <w:r>
        <w:t xml:space="preserve">La partida 44.03 comprende la madera en bruto, haya sido o no descortezada o desalbada, o toscamente escuadrada.</w:t>
      </w:r>
    </w:p>
    <w:p>
      <w:pPr>
        <w:numPr>
          <w:ilvl w:val="1"/>
          <w:numId w:val="1002"/>
        </w:numPr>
        <w:pStyle w:val="Compact"/>
      </w:pPr>
      <w:r>
        <w:t xml:space="preserve">La partida 44.08 comprende hojas para chapado y madera similar de espesor no superior a 6 mm.</w:t>
      </w:r>
    </w:p>
    <w:p>
      <w:pPr>
        <w:numPr>
          <w:ilvl w:val="1"/>
          <w:numId w:val="1002"/>
        </w:numPr>
        <w:pStyle w:val="Compact"/>
      </w:pPr>
      <w:r>
        <w:t xml:space="preserve">La partida 44.09 comprende la madera perfilada longitudinalmente (p. ej., machihembrada, ranurada, biselada, con junta en V), incluso cepillada o lijada.</w:t>
      </w:r>
    </w:p>
    <w:p>
      <w:pPr>
        <w:numPr>
          <w:ilvl w:val="0"/>
          <w:numId w:val="1001"/>
        </w:numPr>
        <w:pStyle w:val="Compact"/>
      </w:pPr>
      <w:r>
        <w:t xml:space="preserve">Estructura de subpartidas y notas para la partida 44.07:</w:t>
      </w:r>
    </w:p>
    <w:p>
      <w:pPr>
        <w:numPr>
          <w:ilvl w:val="1"/>
          <w:numId w:val="1003"/>
        </w:numPr>
        <w:pStyle w:val="Compact"/>
      </w:pPr>
      <w:r>
        <w:t xml:space="preserve">Coníferas: 4407.11 (pino), 4407.12 (abeto/epícea), 4407.13 (SPF), 4407.14 (Hem‑fir) y 4407.19 (las demás coníferas). NESA define las mezclas “SPF (P‑P‑A)” y “Hem‑fir” para 4407.13 y 4407.14, respectivamente.</w:t>
      </w:r>
    </w:p>
    <w:p>
      <w:pPr>
        <w:numPr>
          <w:ilvl w:val="1"/>
          <w:numId w:val="1003"/>
        </w:numPr>
        <w:pStyle w:val="Compact"/>
      </w:pPr>
      <w:r>
        <w:t xml:space="preserve">Maderas tropicales: 4407.21–4407.29 (p. ej., caoba, teca, meranti, sapelli, iroko, otras).</w:t>
      </w:r>
    </w:p>
    <w:p>
      <w:pPr>
        <w:numPr>
          <w:ilvl w:val="1"/>
          <w:numId w:val="1003"/>
        </w:numPr>
        <w:pStyle w:val="Compact"/>
      </w:pPr>
      <w:r>
        <w:t xml:space="preserve">Otras no coníferas: 4407.91 (Quercus spp.), 4407.92 (Fagus), 4407.93 (Acer), 4407.94 (Prunus), 4407.95 (Fraxinus), 4407.96 (Betula), 4407.97 (Populus) y 4407.99 (las demás).</w:t>
      </w:r>
    </w:p>
    <w:p>
      <w:pPr>
        <w:numPr>
          <w:ilvl w:val="0"/>
          <w:numId w:val="1001"/>
        </w:numPr>
        <w:pStyle w:val="Compact"/>
      </w:pPr>
      <w:r>
        <w:t xml:space="preserve">El Capítulo 47 (pastas) queda fuera del ámbito de tablas aserradas; abarca pastas de madera (químicas/mecánicas) y productos afines, no madera aserrada.</w:t>
      </w:r>
    </w:p>
    <w:p>
      <w:pPr>
        <w:pStyle w:val="FirstParagraph"/>
      </w:pPr>
      <w:r>
        <w:t xml:space="preserve">II. Análisis jurídico‑técnico</w:t>
      </w:r>
    </w:p>
    <w:p>
      <w:pPr>
        <w:numPr>
          <w:ilvl w:val="0"/>
          <w:numId w:val="1004"/>
        </w:numPr>
      </w:pPr>
      <w:r>
        <w:t xml:space="preserve">Determinación de capítulo</w:t>
      </w:r>
      <w:r>
        <w:t xml:space="preserve"> </w:t>
      </w:r>
      <w:r>
        <w:t xml:space="preserve">Las mercancías son tablas de madera aserradas por ambas caras (“sawn on both sides”), de espesor 25–60 mm, longitudes hasta 3,500 mm, anchos hasta 350 mm, sin canto, no cepilladas, no lijadas. El Capítulo 44 (Madera y sus manufacturas) es el contexto correcto.</w:t>
      </w:r>
    </w:p>
    <w:p>
      <w:pPr>
        <w:numPr>
          <w:ilvl w:val="0"/>
          <w:numId w:val="1004"/>
        </w:numPr>
      </w:pPr>
      <w:r>
        <w:t xml:space="preserve">Selección de partida (GRI 1; especificidad por GRI 3(a))</w:t>
      </w:r>
    </w:p>
    <w:p>
      <w:pPr>
        <w:numPr>
          <w:ilvl w:val="0"/>
          <w:numId w:val="1005"/>
        </w:numPr>
        <w:pStyle w:val="Compact"/>
      </w:pPr>
      <w:r>
        <w:t xml:space="preserve">Características decisivas: madera; aserrada o toscamente mecanizada a lo largo de la fibra; espesor &gt; 6 mm. La partida 44.07 cubre expresamente madera “aserrada o desbastada longitudinalmente … haya sido o no cepillada, lijada o unida por los extremos, de espesor superior a 6 mm”. Las tablas descritas coinciden (aserradas, toscamente mecanizadas, &gt; 6 mm).</w:t>
      </w:r>
    </w:p>
    <w:p>
      <w:pPr>
        <w:numPr>
          <w:ilvl w:val="0"/>
          <w:numId w:val="1005"/>
        </w:numPr>
        <w:pStyle w:val="Compact"/>
      </w:pPr>
      <w:r>
        <w:t xml:space="preserve">Las partidas 44.03, 44.08, 44.09 no describen el producto con la precisión de 44.07 (véanse exclusiones). Por GRI 1 y 3(a), 44.07 es la más específica.</w:t>
      </w:r>
    </w:p>
    <w:p>
      <w:pPr>
        <w:numPr>
          <w:ilvl w:val="0"/>
          <w:numId w:val="1006"/>
        </w:numPr>
        <w:pStyle w:val="Compact"/>
      </w:pPr>
      <w:r>
        <w:t xml:space="preserve">Selección de subpartida (GRI 6)</w:t>
      </w:r>
    </w:p>
    <w:p>
      <w:pPr>
        <w:numPr>
          <w:ilvl w:val="0"/>
          <w:numId w:val="1007"/>
        </w:numPr>
        <w:pStyle w:val="Compact"/>
      </w:pPr>
      <w:r>
        <w:t xml:space="preserve">Dentro de 44.07, las subpartidas se definen por especies/grupos (coníferas, maderas tropicales específicas, especies no coníferas específicas, otras). La GRI 6 exige seleccionar con base en los textos de las subpartidas y Notas, comparando solo subpartidas del mismo nivel.</w:t>
      </w:r>
    </w:p>
    <w:p>
      <w:pPr>
        <w:numPr>
          <w:ilvl w:val="0"/>
          <w:numId w:val="1007"/>
        </w:numPr>
        <w:pStyle w:val="Compact"/>
      </w:pPr>
      <w:r>
        <w:t xml:space="preserve">La descripción no indica la especie botánica. Dado que las subpartidas 4407.11–4407.14, 4407.19, 4407.21–4407.29, 4407.91–4407.99 son por especie, la subpartida definitiva depende de identificar si la madera es conífera, tropical listada, Quercus spp., u otra no conífera específica.</w:t>
      </w:r>
    </w:p>
    <w:p>
      <w:pPr>
        <w:numPr>
          <w:ilvl w:val="0"/>
          <w:numId w:val="1007"/>
        </w:numPr>
        <w:pStyle w:val="Compact"/>
      </w:pPr>
      <w:r>
        <w:t xml:space="preserve">El estado físico (sin canto, con trazas de corteza; no cepillada/lijada) no excluye la 44.07, pues esa partida incluye madera “haya sido o no cepillada, lijada o unida por los extremos”, siempre que el espesor exceda 6 mm, como aquí.</w:t>
      </w:r>
    </w:p>
    <w:p>
      <w:pPr>
        <w:pStyle w:val="FirstParagraph"/>
      </w:pPr>
      <w:r>
        <w:t xml:space="preserve">III. Exclusión de partidas alternativas en los Capítulos 44 y 47</w:t>
      </w:r>
    </w:p>
    <w:p>
      <w:pPr>
        <w:numPr>
          <w:ilvl w:val="0"/>
          <w:numId w:val="1008"/>
        </w:numPr>
        <w:pStyle w:val="Compact"/>
      </w:pPr>
      <w:r>
        <w:t xml:space="preserve">Partida 44.03 (madera en bruto). Aunque las tablas están sin canto y con trazas de corteza, están “aserradas” por ambas caras. La 44.03 cubre “madera en bruto … o toscamente escuadrada”, no tablas aserradas como las descritas. Por GRI 1/3(a), 44.07 describe específicamente madera aserrada &gt; 6 mm y prevalece sobre la condición más general de madera en bruto de 44.03.</w:t>
      </w:r>
    </w:p>
    <w:p>
      <w:pPr>
        <w:numPr>
          <w:ilvl w:val="0"/>
          <w:numId w:val="1008"/>
        </w:numPr>
        <w:pStyle w:val="Compact"/>
      </w:pPr>
      <w:r>
        <w:t xml:space="preserve">Partida 44.08 (chapas y madera similar). Se limita a productos de espesor “no superior a 6 mm”. Las mercancías tienen 25–60 mm; por texto no aplica.</w:t>
      </w:r>
    </w:p>
    <w:p>
      <w:pPr>
        <w:numPr>
          <w:ilvl w:val="0"/>
          <w:numId w:val="1008"/>
        </w:numPr>
        <w:pStyle w:val="Compact"/>
      </w:pPr>
      <w:r>
        <w:t xml:space="preserve">Partida 44.09 (madera perfilada). 44.09 requiere perfilado longitudinal (machihembrado, ranurado, biselado, junta en V, moldeado, etc.). Las mercancías no están perfiladas; no aplica.</w:t>
      </w:r>
    </w:p>
    <w:p>
      <w:pPr>
        <w:numPr>
          <w:ilvl w:val="0"/>
          <w:numId w:val="1008"/>
        </w:numPr>
        <w:pStyle w:val="Compact"/>
      </w:pPr>
      <w:r>
        <w:t xml:space="preserve">Capítulo 47 (pastas de madera). Abarca pastas (mecánicas, químicas, semiquímicas), ajenas a madera maciza aserrada; se excluye.</w:t>
      </w:r>
    </w:p>
    <w:p>
      <w:pPr>
        <w:pStyle w:val="FirstParagraph"/>
      </w:pPr>
      <w:r>
        <w:t xml:space="preserve">Nota específica sobre la subpartida 4407.91 (roble):</w:t>
      </w:r>
    </w:p>
    <w:p>
      <w:pPr>
        <w:numPr>
          <w:ilvl w:val="0"/>
          <w:numId w:val="1009"/>
        </w:numPr>
        <w:pStyle w:val="Compact"/>
      </w:pPr>
      <w:r>
        <w:t xml:space="preserve">4407.91 se reserva para Quercus spp. (roble y afines). No se identifica la especie como Quercus. Conforme a la GRI 6, no puede asignarse una subpartida específica por especie sin evidencia que cumpla su texto. Por ello, 4407.91 no puede imponerse como resultado único con los datos actuales. Si se acredita Quercus spp., correspondería 4407.91 (véase Determinación condicionada).</w:t>
      </w:r>
    </w:p>
    <w:p>
      <w:pPr>
        <w:pStyle w:val="FirstParagraph"/>
      </w:pPr>
      <w:r>
        <w:t xml:space="preserve">IV. Requisitos documentales</w:t>
      </w:r>
      <w:r>
        <w:t xml:space="preserve"> </w:t>
      </w:r>
      <w:r>
        <w:t xml:space="preserve">Para determinar una subpartida definitiva en 44.07 conforme a la GRI 6, el importador deberá aportar:</w:t>
      </w:r>
    </w:p>
    <w:p>
      <w:pPr>
        <w:numPr>
          <w:ilvl w:val="0"/>
          <w:numId w:val="1010"/>
        </w:numPr>
        <w:pStyle w:val="Compact"/>
      </w:pPr>
      <w:r>
        <w:t xml:space="preserve">Identificación botánica (nombre científico) o documentación comercial confiable que indique si la madera es conífera, tropical de especies listadas (p. ej., caoba, teca, meranti, sapelli, iroko), Quercus spp., u otra especie no conífera específica, conforme a las subpartidas 4407.11–4407.19, 4407.21–4407.29, 4407.91–4407.99.</w:t>
      </w:r>
    </w:p>
    <w:p>
      <w:pPr>
        <w:numPr>
          <w:ilvl w:val="0"/>
          <w:numId w:val="1010"/>
        </w:numPr>
        <w:pStyle w:val="Compact"/>
      </w:pPr>
      <w:r>
        <w:t xml:space="preserve">Datos dimensionales (espesor, ancho, longitud) que confirmen espesor superior a 6 mm (44.07) y excluyan el rango de chapas (≤ 6 mm) de 44.08.</w:t>
      </w:r>
    </w:p>
    <w:p>
      <w:pPr>
        <w:numPr>
          <w:ilvl w:val="0"/>
          <w:numId w:val="1010"/>
        </w:numPr>
        <w:pStyle w:val="Compact"/>
      </w:pPr>
      <w:r>
        <w:t xml:space="preserve">Descripción del proceso o fotografías que acrediten que las piezas están aserradas/toscanamente mecanizadas a lo largo de la fibra y no perfiladas longitudinalmente (para excluir 44.09); nótese que 44.07 incluye mercancías hayan sido o no cepilladas/lijadas/unidas por los extremos.</w:t>
      </w:r>
    </w:p>
    <w:p>
      <w:pPr>
        <w:pStyle w:val="FirstParagraph"/>
      </w:pPr>
      <w:r>
        <w:t xml:space="preserve">V. Conclusión</w:t>
      </w:r>
      <w:r>
        <w:t xml:space="preserve"> </w:t>
      </w:r>
      <w:r>
        <w:t xml:space="preserve">Con base en las GRI 1 y 3(a), el producto se clasifica en la partida 44.07 como madera aserrada o desbastada longitudinalmente, de espesor superior a 6 mm. La selección de subpartida conforme a la GRI 6 depende de la especie; por lo tanto, la determinación queda condicionada como sigue.</w:t>
      </w:r>
    </w:p>
    <w:p>
      <w:pPr>
        <w:pStyle w:val="BodyText"/>
      </w:pPr>
      <w:r>
        <w:t xml:space="preserve">Determinación condicionada</w:t>
      </w:r>
      <w:r>
        <w:t xml:space="preserve"> </w:t>
      </w:r>
      <w:r>
        <w:t xml:space="preserve">Opción A (si la madera es Quercus spp. (roble)):</w:t>
      </w:r>
    </w:p>
    <w:p>
      <w:pPr>
        <w:numPr>
          <w:ilvl w:val="0"/>
          <w:numId w:val="1011"/>
        </w:numPr>
        <w:pStyle w:val="Compact"/>
      </w:pPr>
      <w:r>
        <w:t xml:space="preserve">Capítulo: 44</w:t>
      </w:r>
    </w:p>
    <w:p>
      <w:pPr>
        <w:numPr>
          <w:ilvl w:val="0"/>
          <w:numId w:val="1011"/>
        </w:numPr>
        <w:pStyle w:val="Compact"/>
      </w:pPr>
      <w:r>
        <w:t xml:space="preserve">Partida: 44.07</w:t>
      </w:r>
    </w:p>
    <w:p>
      <w:pPr>
        <w:numPr>
          <w:ilvl w:val="0"/>
          <w:numId w:val="1011"/>
        </w:numPr>
        <w:pStyle w:val="Compact"/>
      </w:pPr>
      <w:r>
        <w:t xml:space="preserve">Subpartida: 4407.91 (de Quercus spp.)</w:t>
      </w:r>
    </w:p>
    <w:p>
      <w:pPr>
        <w:numPr>
          <w:ilvl w:val="0"/>
          <w:numId w:val="1011"/>
        </w:numPr>
        <w:pStyle w:val="Compact"/>
      </w:pPr>
      <w:r>
        <w:t xml:space="preserve">Fracción: No determinada (alcance limitado a subpartida)</w:t>
      </w:r>
    </w:p>
    <w:p>
      <w:pPr>
        <w:numPr>
          <w:ilvl w:val="0"/>
          <w:numId w:val="1011"/>
        </w:numPr>
        <w:pStyle w:val="Compact"/>
      </w:pPr>
      <w:r>
        <w:t xml:space="preserve">NICO: No determinado (alcance limitado a subpartida)</w:t>
      </w:r>
    </w:p>
    <w:p>
      <w:pPr>
        <w:pStyle w:val="FirstParagraph"/>
      </w:pPr>
      <w:r>
        <w:t xml:space="preserve">Opción B (si la madera es conífera y no queda comprendida en 4407.11–4407.14):</w:t>
      </w:r>
    </w:p>
    <w:p>
      <w:pPr>
        <w:numPr>
          <w:ilvl w:val="0"/>
          <w:numId w:val="1012"/>
        </w:numPr>
        <w:pStyle w:val="Compact"/>
      </w:pPr>
      <w:r>
        <w:t xml:space="preserve">Capítulo: 44</w:t>
      </w:r>
    </w:p>
    <w:p>
      <w:pPr>
        <w:numPr>
          <w:ilvl w:val="0"/>
          <w:numId w:val="1012"/>
        </w:numPr>
        <w:pStyle w:val="Compact"/>
      </w:pPr>
      <w:r>
        <w:t xml:space="preserve">Partida: 44.07</w:t>
      </w:r>
    </w:p>
    <w:p>
      <w:pPr>
        <w:numPr>
          <w:ilvl w:val="0"/>
          <w:numId w:val="1012"/>
        </w:numPr>
        <w:pStyle w:val="Compact"/>
      </w:pPr>
      <w:r>
        <w:t xml:space="preserve">Subpartida: 4407.19 (las demás coníferas)</w:t>
      </w:r>
    </w:p>
    <w:p>
      <w:pPr>
        <w:numPr>
          <w:ilvl w:val="0"/>
          <w:numId w:val="1012"/>
        </w:numPr>
        <w:pStyle w:val="Compact"/>
      </w:pPr>
      <w:r>
        <w:t xml:space="preserve">Fracción: No determinada (alcance limitado a subpartida)</w:t>
      </w:r>
    </w:p>
    <w:p>
      <w:pPr>
        <w:numPr>
          <w:ilvl w:val="0"/>
          <w:numId w:val="1012"/>
        </w:numPr>
        <w:pStyle w:val="Compact"/>
      </w:pPr>
      <w:r>
        <w:t xml:space="preserve">NICO: No determinado (alcance limitado a subpartida)</w:t>
      </w:r>
      <w:r>
        <w:t xml:space="preserve"> </w:t>
      </w:r>
      <w:r>
        <w:t xml:space="preserve">Nota: Si la especie es pino (Pinus), abeto/epícea (Abies/Picea), SPF o Hem‑fir, aplicarían las subpartidas 4407.11, 4407.12, 4407.13 o 4407.14 respectivamente, conforme a sus textos y notas.</w:t>
      </w:r>
    </w:p>
    <w:p>
      <w:pPr>
        <w:pStyle w:val="FirstParagraph"/>
      </w:pPr>
      <w:r>
        <w:t xml:space="preserve">Opción C (si la madera es una especie tropical de 4407.21–4407.29):</w:t>
      </w:r>
    </w:p>
    <w:p>
      <w:pPr>
        <w:numPr>
          <w:ilvl w:val="0"/>
          <w:numId w:val="1013"/>
        </w:numPr>
        <w:pStyle w:val="Compact"/>
      </w:pPr>
      <w:r>
        <w:t xml:space="preserve">Capítulo: 44</w:t>
      </w:r>
    </w:p>
    <w:p>
      <w:pPr>
        <w:numPr>
          <w:ilvl w:val="0"/>
          <w:numId w:val="1013"/>
        </w:numPr>
        <w:pStyle w:val="Compact"/>
      </w:pPr>
      <w:r>
        <w:t xml:space="preserve">Partida: 44.07</w:t>
      </w:r>
    </w:p>
    <w:p>
      <w:pPr>
        <w:numPr>
          <w:ilvl w:val="0"/>
          <w:numId w:val="1013"/>
        </w:numPr>
        <w:pStyle w:val="Compact"/>
      </w:pPr>
      <w:r>
        <w:t xml:space="preserve">Subpartida: La que corresponda entre 4407.21 (caoba), 4407.22 (virola, imbuia, balsa), 4407.23 (teca), 4407.25 (meranti rojo oscuro/claro, meranti bakau), 4407.26 (lauan/meranti/seraya blanco, meranti amarillo, alan), 4407.27 (sapelli), 4407.28 (iroko), 4407.29 (las demás tropicales)</w:t>
      </w:r>
    </w:p>
    <w:p>
      <w:pPr>
        <w:numPr>
          <w:ilvl w:val="0"/>
          <w:numId w:val="1013"/>
        </w:numPr>
        <w:pStyle w:val="Compact"/>
      </w:pPr>
      <w:r>
        <w:t xml:space="preserve">Fracción: No determinada (alcance limitado a subpartida)</w:t>
      </w:r>
    </w:p>
    <w:p>
      <w:pPr>
        <w:numPr>
          <w:ilvl w:val="0"/>
          <w:numId w:val="1013"/>
        </w:numPr>
        <w:pStyle w:val="Compact"/>
      </w:pPr>
      <w:r>
        <w:t xml:space="preserve">NICO: No determinado (alcance limitado a subpartida)</w:t>
      </w:r>
    </w:p>
    <w:p>
      <w:pPr>
        <w:pStyle w:val="FirstParagraph"/>
      </w:pPr>
      <w:r>
        <w:t xml:space="preserve">Criterios faltantes para decidir:</w:t>
      </w:r>
    </w:p>
    <w:p>
      <w:pPr>
        <w:numPr>
          <w:ilvl w:val="0"/>
          <w:numId w:val="1014"/>
        </w:numPr>
        <w:pStyle w:val="Compact"/>
      </w:pPr>
      <w:r>
        <w:t xml:space="preserve">Especie botánica (nombre científico) para determinar si la madera es conífera, tropical (y cuál), Quercus spp., u otra especie no conífera específica (p. ej., Fagus, Acer, Prunus, Fraxinus, Betula, Populus) conforme a 4407.11–4407.19, 4407.21–4407.29 y 4407.91–4407.99.</w:t>
      </w:r>
    </w:p>
    <w:p>
      <w:pPr>
        <w:pStyle w:val="FirstParagraph"/>
      </w:pPr>
      <w:r>
        <w:t xml:space="preserve">Por qué 4407.91 no se impone como resultado final</w:t>
      </w:r>
      <w:r>
        <w:t xml:space="preserve"> </w:t>
      </w:r>
      <w:r>
        <w:t xml:space="preserve">La subpartida 4407.91 se limita expresamente a roble (Quercus spp.). El expediente no establece la especie como Quercus. Conforme a la GRI 6, las subpartidas por especie requieren evidencia de que la mercancía cumpla el texto; sin dicha prueba, 4407.91 no puede aplicarse como clasificación única. Si la documentación confirma Quercus spp., aplicará la Opción A (4407.91).</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5"/>
        </w:numPr>
        <w:pStyle w:val="Compact"/>
      </w:pPr>
      <w:r>
        <w:t xml:space="preserve">Referencias: Ley de los Impuestos Generales de Importación y de Exportación</w:t>
      </w:r>
    </w:p>
    <w:p>
      <w:pPr>
        <w:numPr>
          <w:ilvl w:val="0"/>
          <w:numId w:val="1015"/>
        </w:numPr>
        <w:pStyle w:val="Compact"/>
      </w:pPr>
      <w:r>
        <w:t xml:space="preserve">Versión LIGIE: 7ma Enmienda del Sistema Armonizado</w:t>
      </w:r>
    </w:p>
    <w:p>
      <w:pPr>
        <w:numPr>
          <w:ilvl w:val="0"/>
          <w:numId w:val="1015"/>
        </w:numPr>
        <w:pStyle w:val="Compact"/>
      </w:pPr>
      <w:r>
        <w:t xml:space="preserve">Archivo: LIGIE-UNIFICADA-LIGIE_20250728-20250728.pdf</w:t>
      </w:r>
    </w:p>
    <w:p>
      <w:pPr>
        <w:numPr>
          <w:ilvl w:val="0"/>
          <w:numId w:val="1015"/>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3">
    <w:nsid w:val="47261bad"/>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