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CAB0" w14:textId="77777777" w:rsidR="003B3012" w:rsidRDefault="00000000">
      <w:r>
        <w:t>Fecha: 15/09/2025 12:29:11</w:t>
      </w:r>
    </w:p>
    <w:p w14:paraId="02439513" w14:textId="77777777" w:rsidR="003B3012" w:rsidRDefault="00000000">
      <w:r>
        <w:t>Cuenta: Ver18-b</w:t>
      </w:r>
    </w:p>
    <w:p w14:paraId="75BAAE93" w14:textId="77777777" w:rsidR="003B3012" w:rsidRDefault="00000000">
      <w:r>
        <w:t>Usuario: cmhs</w:t>
      </w:r>
    </w:p>
    <w:p w14:paraId="15C831D9" w14:textId="77777777" w:rsidR="003B3012" w:rsidRDefault="00000000">
      <w:r>
        <w:t>ITEM: Bis(imida de fluorosulfonilo) de litio; el producto se presenta en forma de polvo blanco y se utiliza para la fabricación de baterías de iones de litio. Su RN CAS es 171611-11-3.</w:t>
      </w:r>
    </w:p>
    <w:p w14:paraId="3C2D0037" w14:textId="77777777" w:rsidR="003B3012" w:rsidRDefault="00704FBD">
      <w:r>
        <w:rPr>
          <w:noProof/>
        </w:rPr>
        <w:pict w14:anchorId="08671A1E">
          <v:rect id="_x0000_i1027" alt="" style="width:468pt;height:.05pt;mso-width-percent:0;mso-height-percent:0;mso-width-percent:0;mso-height-percent:0" o:hralign="center" o:hrstd="t" o:hr="t"/>
        </w:pict>
      </w:r>
    </w:p>
    <w:p w14:paraId="256E022B" w14:textId="77777777" w:rsidR="003B3012" w:rsidRDefault="00000000">
      <w:pPr>
        <w:pStyle w:val="Heading1"/>
      </w:pPr>
      <w:bookmarkStart w:id="0" w:name="sugerencia-de-clasificación-arancelaria"/>
      <w:r>
        <w:t>Sugerencia de Clasificación Arancelaria</w:t>
      </w:r>
    </w:p>
    <w:p w14:paraId="0855EA57" w14:textId="77777777" w:rsidR="003B3012" w:rsidRDefault="00000000">
      <w:pPr>
        <w:pStyle w:val="Heading3"/>
      </w:pPr>
      <w:bookmarkStart w:id="1" w:name="fase-1"/>
      <w:r>
        <w:t>Fase 1</w:t>
      </w:r>
    </w:p>
    <w:p w14:paraId="630BC05A" w14:textId="77777777" w:rsidR="003B3012" w:rsidRDefault="00000000">
      <w:r>
        <w:rPr>
          <w:b/>
          <w:bCs/>
        </w:rPr>
        <w:t>Top 3 capítulos candidatos</w:t>
      </w:r>
    </w:p>
    <w:tbl>
      <w:tblPr>
        <w:tblW w:w="0" w:type="pct"/>
        <w:tblLook w:val="0020" w:firstRow="1" w:lastRow="0" w:firstColumn="0" w:lastColumn="0" w:noHBand="0" w:noVBand="0"/>
      </w:tblPr>
      <w:tblGrid>
        <w:gridCol w:w="1109"/>
        <w:gridCol w:w="8467"/>
      </w:tblGrid>
      <w:tr w:rsidR="003B3012" w14:paraId="2510B276" w14:textId="77777777">
        <w:tc>
          <w:tcPr>
            <w:tcW w:w="0" w:type="auto"/>
          </w:tcPr>
          <w:p w14:paraId="54DF381A" w14:textId="77777777" w:rsidR="003B3012" w:rsidRDefault="00000000">
            <w:pPr>
              <w:jc w:val="right"/>
            </w:pPr>
            <w:r>
              <w:t>Capítulo</w:t>
            </w:r>
          </w:p>
        </w:tc>
        <w:tc>
          <w:tcPr>
            <w:tcW w:w="0" w:type="auto"/>
          </w:tcPr>
          <w:p w14:paraId="12781D82" w14:textId="77777777" w:rsidR="003B3012" w:rsidRDefault="00000000">
            <w:r>
              <w:t>Justificación</w:t>
            </w:r>
          </w:p>
        </w:tc>
      </w:tr>
      <w:tr w:rsidR="003B3012" w14:paraId="118383ED" w14:textId="77777777">
        <w:tc>
          <w:tcPr>
            <w:tcW w:w="0" w:type="auto"/>
          </w:tcPr>
          <w:p w14:paraId="0C9B0F1E" w14:textId="77777777" w:rsidR="003B3012" w:rsidRDefault="00000000">
            <w:pPr>
              <w:jc w:val="right"/>
            </w:pPr>
            <w:r>
              <w:rPr>
                <w:b/>
                <w:bCs/>
              </w:rPr>
              <w:t>28</w:t>
            </w:r>
          </w:p>
        </w:tc>
        <w:tc>
          <w:tcPr>
            <w:tcW w:w="0" w:type="auto"/>
          </w:tcPr>
          <w:p w14:paraId="339FB8DB" w14:textId="77777777" w:rsidR="003B3012" w:rsidRDefault="00000000">
            <w:r>
              <w:t>Por la RGI 1, clasificar conforme a los textos de partidas/Notas. El Capítulo 28 abarca compuestos de constitución química definida (Nota 1) y, específicamente, las partidas 28.26–28.42 abarcan únicamente sales metálicas o de amonio; las sales de litio quedan aquí (Nota 5). Cuando no estén contempladas en otra partida, otras sales de ácidos inorgánicos se clasifican en 28.42.</w:t>
            </w:r>
          </w:p>
        </w:tc>
      </w:tr>
      <w:tr w:rsidR="003B3012" w14:paraId="188EAE04" w14:textId="77777777">
        <w:tc>
          <w:tcPr>
            <w:tcW w:w="0" w:type="auto"/>
          </w:tcPr>
          <w:p w14:paraId="7D68D0D1" w14:textId="77777777" w:rsidR="003B3012" w:rsidRDefault="00000000">
            <w:pPr>
              <w:jc w:val="right"/>
            </w:pPr>
            <w:r>
              <w:rPr>
                <w:b/>
                <w:bCs/>
              </w:rPr>
              <w:t>29</w:t>
            </w:r>
          </w:p>
        </w:tc>
        <w:tc>
          <w:tcPr>
            <w:tcW w:w="0" w:type="auto"/>
          </w:tcPr>
          <w:p w14:paraId="391FEB32" w14:textId="77777777" w:rsidR="003B3012" w:rsidRDefault="00000000">
            <w:r>
              <w:t>El Capítulo 29 corresponde a productos químicos orgánicos (Nota 1). Las sales inorgánicas de compuestos orgánicos se clasifican con el compuesto orgánico correspondiente (Nota 6 C 1°); si se considerara un tipo sulfonamida/-imida orgánico, podrían examinarse partidas del 29 (p. ej., 29.35 Sulfonamidas o 29.29 Otros compuestos con función nitrógeno), pero esto es secundario en este caso.</w:t>
            </w:r>
          </w:p>
        </w:tc>
      </w:tr>
      <w:tr w:rsidR="003B3012" w14:paraId="25FCFE4A" w14:textId="77777777">
        <w:tc>
          <w:tcPr>
            <w:tcW w:w="0" w:type="auto"/>
          </w:tcPr>
          <w:p w14:paraId="34B6828E" w14:textId="77777777" w:rsidR="003B3012" w:rsidRDefault="00000000">
            <w:pPr>
              <w:jc w:val="right"/>
            </w:pPr>
            <w:r>
              <w:rPr>
                <w:b/>
                <w:bCs/>
              </w:rPr>
              <w:t>38</w:t>
            </w:r>
          </w:p>
        </w:tc>
        <w:tc>
          <w:tcPr>
            <w:tcW w:w="0" w:type="auto"/>
          </w:tcPr>
          <w:p w14:paraId="58BB56C7" w14:textId="77777777" w:rsidR="003B3012" w:rsidRDefault="00000000">
            <w:r>
              <w:t>Excluir el Capítulo 38: no abarca productos de constitución química definida presentados aisladamente (Nota 1 a), salvo casos específicos no aplicables aquí. Tales sustancias generalmente se clasifican en los Capítulos 28 o 29.</w:t>
            </w:r>
          </w:p>
        </w:tc>
      </w:tr>
    </w:tbl>
    <w:p w14:paraId="75B4293B" w14:textId="77777777" w:rsidR="003B3012" w:rsidRDefault="00000000">
      <w:pPr>
        <w:pStyle w:val="Heading3"/>
      </w:pPr>
      <w:bookmarkStart w:id="2" w:name="fase-3"/>
      <w:bookmarkEnd w:id="1"/>
      <w:r>
        <w:lastRenderedPageBreak/>
        <w:t>Fase 3</w:t>
      </w:r>
    </w:p>
    <w:p w14:paraId="1B9EC029" w14:textId="77777777" w:rsidR="003B3012" w:rsidRDefault="00000000">
      <w:pPr>
        <w:pStyle w:val="Heading3"/>
      </w:pPr>
      <w:bookmarkStart w:id="3" w:name="resolución-de-clasificación-arancelaria"/>
      <w:bookmarkEnd w:id="2"/>
      <w:r>
        <w:t>RESOLUCIÓN DE CLASIFICACIÓN ARANCELARIA</w:t>
      </w:r>
    </w:p>
    <w:p w14:paraId="343EA4CF" w14:textId="77777777" w:rsidR="003B3012" w:rsidRDefault="00000000">
      <w:r>
        <w:t>I. Marco jurídico aplicable</w:t>
      </w:r>
    </w:p>
    <w:p w14:paraId="624570B7" w14:textId="77777777" w:rsidR="003B3012" w:rsidRDefault="00000000">
      <w:pPr>
        <w:numPr>
          <w:ilvl w:val="0"/>
          <w:numId w:val="2"/>
        </w:numPr>
      </w:pPr>
      <w:r>
        <w:t>Reglas Generales para la Interpretación del Sistema Armonizado (RGI):</w:t>
      </w:r>
    </w:p>
    <w:p w14:paraId="1D01FC51" w14:textId="77777777" w:rsidR="003B3012" w:rsidRDefault="00000000">
      <w:pPr>
        <w:numPr>
          <w:ilvl w:val="1"/>
          <w:numId w:val="3"/>
        </w:numPr>
      </w:pPr>
      <w:r>
        <w:t>“LOS TITULOS DE LAS SECCIONES, DE LOS CAPITULOS O DE LOS SUBCAPITULOS SOLO TIENEN UN VALOR INDICATIVO, YA QUE LA CLASIFICACION ESTA DETERMINADA LEGALMENTE POR LOS TEXTOS DE LAS PARTIDAS Y DE LAS NOTAS DE SECCION O DE CAPITULO…” (Regla 1) .</w:t>
      </w:r>
    </w:p>
    <w:p w14:paraId="70396F1D" w14:textId="77777777" w:rsidR="003B3012" w:rsidRDefault="00000000">
      <w:pPr>
        <w:numPr>
          <w:ilvl w:val="1"/>
          <w:numId w:val="3"/>
        </w:numPr>
      </w:pPr>
      <w:r>
        <w:t>“LA PARTIDA CON DESCRIPCION MAS ESPECIFICA TENDRA PRIORIDAD SOBRE LAS PARTIDAS DE ALCANCE MAS GENERICO…”; “SE CLASIFICARAN SEGUN LA MATERIA O CON EL ARTICULO QUE LES CONFIERA SU CARACTER ESENCIAL…” (Regla 3 a) y 3 b)) .</w:t>
      </w:r>
    </w:p>
    <w:p w14:paraId="66689482" w14:textId="77777777" w:rsidR="003B3012" w:rsidRDefault="00000000">
      <w:pPr>
        <w:numPr>
          <w:ilvl w:val="1"/>
          <w:numId w:val="3"/>
        </w:numPr>
      </w:pPr>
      <w:r>
        <w:t>Regla 6 (aplicable a subpartidas): “Las Reglas 1 a 5 precedentes rigen, mutatis mutandis, la clasificación a nivel de subpartidas…” .</w:t>
      </w:r>
    </w:p>
    <w:p w14:paraId="55162B7F" w14:textId="77777777" w:rsidR="003B3012" w:rsidRDefault="00000000">
      <w:pPr>
        <w:numPr>
          <w:ilvl w:val="0"/>
          <w:numId w:val="2"/>
        </w:numPr>
      </w:pPr>
      <w:r>
        <w:t>Capítulo 28 – Notas:</w:t>
      </w:r>
    </w:p>
    <w:p w14:paraId="4E8F9308" w14:textId="77777777" w:rsidR="003B3012" w:rsidRDefault="00000000">
      <w:pPr>
        <w:numPr>
          <w:ilvl w:val="1"/>
          <w:numId w:val="4"/>
        </w:numPr>
      </w:pPr>
      <w:r>
        <w:t>Nota 1 (alcance del Capítulo 28): “Salvo disposición en contrario, las partidas de este Capítulo comprenden solamente… los compuestos de constitución química definida presentados aisladamente, aunque contengan impurezas” .</w:t>
      </w:r>
    </w:p>
    <w:p w14:paraId="75088952" w14:textId="77777777" w:rsidR="003B3012" w:rsidRDefault="00000000">
      <w:pPr>
        <w:numPr>
          <w:ilvl w:val="1"/>
          <w:numId w:val="4"/>
        </w:numPr>
      </w:pPr>
      <w:r>
        <w:t>Nota 5 (sales): “Las partidas 28.26 a 28.42 comprenden solamente las sales y peroxosales de metales y las de amonio. Salvo disposición en contrario, las sales dobles o complejas se clasifican en la partida 28.42.” .</w:t>
      </w:r>
    </w:p>
    <w:p w14:paraId="638912D0" w14:textId="77777777" w:rsidR="003B3012" w:rsidRDefault="00000000">
      <w:pPr>
        <w:numPr>
          <w:ilvl w:val="0"/>
          <w:numId w:val="2"/>
        </w:numPr>
      </w:pPr>
      <w:r>
        <w:t>Partidas relevantes (Capítulos 28 y 29):</w:t>
      </w:r>
    </w:p>
    <w:p w14:paraId="1CA3915A" w14:textId="77777777" w:rsidR="003B3012" w:rsidRDefault="00000000">
      <w:pPr>
        <w:numPr>
          <w:ilvl w:val="1"/>
          <w:numId w:val="5"/>
        </w:numPr>
      </w:pPr>
      <w:r>
        <w:t>28.42: “Las demás sales de los ácidos o peroxoácidos inorgánicos (incluidos los aluminosilicatos, aunque no sean de constitución química definida), excepto los aziduros (azidas).” .</w:t>
      </w:r>
    </w:p>
    <w:p w14:paraId="4A0BF0BA" w14:textId="77777777" w:rsidR="003B3012" w:rsidRDefault="00000000">
      <w:pPr>
        <w:numPr>
          <w:ilvl w:val="1"/>
          <w:numId w:val="5"/>
        </w:numPr>
      </w:pPr>
      <w:r>
        <w:t>28.26: “Fluoruros; fluorosilicatos, fluoroaluminatos y demás sales complejas de flúor.” .</w:t>
      </w:r>
    </w:p>
    <w:p w14:paraId="471EF0E7" w14:textId="77777777" w:rsidR="003B3012" w:rsidRDefault="00000000">
      <w:pPr>
        <w:numPr>
          <w:ilvl w:val="1"/>
          <w:numId w:val="5"/>
        </w:numPr>
      </w:pPr>
      <w:r>
        <w:lastRenderedPageBreak/>
        <w:t>28.11: “Los demás ácidos inorgánicos y los demás compuestos oxigenados inorgánicos de los elementos no metálicos.” (cubre ácidos, no sus sales) .</w:t>
      </w:r>
    </w:p>
    <w:p w14:paraId="090CA5E3" w14:textId="77777777" w:rsidR="003B3012" w:rsidRDefault="00000000">
      <w:pPr>
        <w:numPr>
          <w:ilvl w:val="1"/>
          <w:numId w:val="5"/>
        </w:numPr>
      </w:pPr>
      <w:r>
        <w:t>28.53: “Fosfuros…; los demás compuestos inorgánicos (incluida el agua destilada…)…”; subpartidas 2853.10 (cloruro de cianógeno) y 2853.90 (los demás) .</w:t>
      </w:r>
    </w:p>
    <w:p w14:paraId="4544B262" w14:textId="77777777" w:rsidR="003B3012" w:rsidRDefault="00000000">
      <w:pPr>
        <w:numPr>
          <w:ilvl w:val="1"/>
          <w:numId w:val="5"/>
        </w:numPr>
      </w:pPr>
      <w:r>
        <w:t>Cap. 29 (carácter orgánico): “Los compuestos de las partidas 29.30 y 29.31 son compuestos orgánicos… directamente unidos al carbono” (criterio ilustrativo de organicidad; no aplica a compuestos inorgánicos sin carbono) .</w:t>
      </w:r>
    </w:p>
    <w:p w14:paraId="777C26ED" w14:textId="77777777" w:rsidR="003B3012" w:rsidRDefault="00000000">
      <w:pPr>
        <w:numPr>
          <w:ilvl w:val="1"/>
          <w:numId w:val="5"/>
        </w:numPr>
      </w:pPr>
      <w:r>
        <w:t>29.20: “Ésteres de los demás ácidos inorgánicos de los no metales (excepto los ésteres de halogenuros de hidrógeno) y sus sales…” (régimen específico de ésteres, no de sales ‘per se’ de ácidos no éster) .</w:t>
      </w:r>
    </w:p>
    <w:p w14:paraId="70EE3D51" w14:textId="77777777" w:rsidR="003B3012" w:rsidRDefault="00000000">
      <w:pPr>
        <w:numPr>
          <w:ilvl w:val="1"/>
          <w:numId w:val="5"/>
        </w:numPr>
      </w:pPr>
      <w:r>
        <w:t>29.25: “Compuestos con función carboxiimida… o con función imina” (ámbito orgánico) .</w:t>
      </w:r>
    </w:p>
    <w:p w14:paraId="7EB349ED" w14:textId="77777777" w:rsidR="003B3012" w:rsidRDefault="00000000">
      <w:r>
        <w:t>II. Análisis técnico-jurídico</w:t>
      </w:r>
    </w:p>
    <w:p w14:paraId="3F2812E4" w14:textId="77777777" w:rsidR="003B3012" w:rsidRDefault="00000000">
      <w:pPr>
        <w:numPr>
          <w:ilvl w:val="0"/>
          <w:numId w:val="6"/>
        </w:numPr>
      </w:pPr>
      <w:r>
        <w:t>Identificación del producto: Bis(imida de fluorosulfonilo) de litio (LiFSI), polvo blanco, utilizado en la fabricación de baterías de iones de litio; RN CAS 171611-11-3 (sal del ácido inorgánico bis(fluorosulfonil)imida).</w:t>
      </w:r>
    </w:p>
    <w:p w14:paraId="7F69902A" w14:textId="77777777" w:rsidR="003B3012" w:rsidRDefault="00000000">
      <w:pPr>
        <w:numPr>
          <w:ilvl w:val="0"/>
          <w:numId w:val="6"/>
        </w:numPr>
      </w:pPr>
      <w:r>
        <w:t>Selección de capítulo (28 vs 29):</w:t>
      </w:r>
    </w:p>
    <w:p w14:paraId="0FCC8536" w14:textId="77777777" w:rsidR="003B3012" w:rsidRPr="00776E1A" w:rsidRDefault="00000000">
      <w:pPr>
        <w:numPr>
          <w:ilvl w:val="1"/>
          <w:numId w:val="7"/>
        </w:numPr>
        <w:rPr>
          <w:highlight w:val="yellow"/>
        </w:rPr>
      </w:pPr>
      <w:r w:rsidRPr="00776E1A">
        <w:rPr>
          <w:highlight w:val="yellow"/>
        </w:rPr>
        <w:t>El producto es una sal de litio, sin átomos de carbono en el anión; es un compuesto inorgánico de constitución química definida presentado aisladamente, que encuadra en el Capítulo 28 conforme a la Nota 1 del Cap. 28 .</w:t>
      </w:r>
    </w:p>
    <w:p w14:paraId="341F15F3" w14:textId="77777777" w:rsidR="003B3012" w:rsidRPr="00776E1A" w:rsidRDefault="00000000">
      <w:pPr>
        <w:numPr>
          <w:ilvl w:val="1"/>
          <w:numId w:val="7"/>
        </w:numPr>
        <w:rPr>
          <w:highlight w:val="yellow"/>
        </w:rPr>
      </w:pPr>
      <w:r w:rsidRPr="00776E1A">
        <w:rPr>
          <w:highlight w:val="yellow"/>
        </w:rPr>
        <w:t>El Capítulo 29 rige para productos orgánicos; sus notas funcionales (p. ej., para 29.30 y 29.31) presuponen compuestos orgánicos con átomos unidos directamente al carbono, lo que no ocurre aquí . Por tanto, el Capítulo 29 no es aplicable (RGI 1).</w:t>
      </w:r>
    </w:p>
    <w:p w14:paraId="2799E0FF" w14:textId="77777777" w:rsidR="003B3012" w:rsidRDefault="00000000">
      <w:pPr>
        <w:numPr>
          <w:ilvl w:val="0"/>
          <w:numId w:val="6"/>
        </w:numPr>
      </w:pPr>
      <w:r>
        <w:t>Determinación de partida dentro del Capítulo 28:</w:t>
      </w:r>
    </w:p>
    <w:p w14:paraId="555968AF" w14:textId="77777777" w:rsidR="003B3012" w:rsidRDefault="00000000">
      <w:pPr>
        <w:numPr>
          <w:ilvl w:val="1"/>
          <w:numId w:val="8"/>
        </w:numPr>
      </w:pPr>
      <w:r>
        <w:t>El producto es una sal metálica (Li+) de un ácido inorgánico. Por la Nota 5 del Capítulo 28, las sales metálicas se clasifican en las partidas 28.26 a 28.42; a falta de una disposición más específica, las sales dobles o complejas se clasifican en 28.42 .</w:t>
      </w:r>
    </w:p>
    <w:p w14:paraId="6211D771" w14:textId="77777777" w:rsidR="003B3012" w:rsidRDefault="00000000">
      <w:pPr>
        <w:numPr>
          <w:ilvl w:val="1"/>
          <w:numId w:val="8"/>
        </w:numPr>
      </w:pPr>
      <w:r>
        <w:lastRenderedPageBreak/>
        <w:t>La partida 28.42 cubre textualmente “las demás sales de los ácidos o peroxoácidos inorgánicos”, lo que corresponde a una sal de litio de un ácido inorgánico (sin carbono) como la bis(fluorosulfonil)imida (RGI 1) .</w:t>
      </w:r>
    </w:p>
    <w:p w14:paraId="6182EA08" w14:textId="77777777" w:rsidR="003B3012" w:rsidRDefault="00000000">
      <w:pPr>
        <w:numPr>
          <w:ilvl w:val="1"/>
          <w:numId w:val="8"/>
        </w:numPr>
      </w:pPr>
      <w:r>
        <w:t>Se examina la partida 28.26 (fluoruros/sales complejas de flúor) pero se descarta (véase Sección III), volviendo a la partida residual-pero-específica de sales 28.42 conforme a la RGI 1 y 3 a).</w:t>
      </w:r>
    </w:p>
    <w:p w14:paraId="765928E4" w14:textId="77777777" w:rsidR="003B3012" w:rsidRDefault="00000000">
      <w:pPr>
        <w:numPr>
          <w:ilvl w:val="0"/>
          <w:numId w:val="6"/>
        </w:numPr>
      </w:pPr>
      <w:r>
        <w:t>Nivel de subpartida (RGI 6):</w:t>
      </w:r>
    </w:p>
    <w:p w14:paraId="5582B9EC" w14:textId="77777777" w:rsidR="003B3012" w:rsidRDefault="00000000">
      <w:pPr>
        <w:numPr>
          <w:ilvl w:val="1"/>
          <w:numId w:val="9"/>
        </w:numPr>
      </w:pPr>
      <w:r>
        <w:t>En 28.42, la subpartida 2842.10 cubre silicatos/aluminosilicatos; no aplica aquí.</w:t>
      </w:r>
    </w:p>
    <w:p w14:paraId="13237FC2" w14:textId="77777777" w:rsidR="003B3012" w:rsidRDefault="00000000">
      <w:pPr>
        <w:numPr>
          <w:ilvl w:val="1"/>
          <w:numId w:val="9"/>
        </w:numPr>
      </w:pPr>
      <w:r>
        <w:t>Por tanto, la subpartida es 2842.90 “Las demás” (otras sales de ácidos inorgánicos no comprendidas en otra parte) .</w:t>
      </w:r>
    </w:p>
    <w:p w14:paraId="53E8F3F7" w14:textId="77777777" w:rsidR="003B3012" w:rsidRDefault="00000000">
      <w:r>
        <w:t>III. Exclusión de partidas alternativas dentro de los Capítulos 28 y 29</w:t>
      </w:r>
    </w:p>
    <w:p w14:paraId="2AE4374E" w14:textId="77777777" w:rsidR="003B3012" w:rsidRDefault="00000000">
      <w:pPr>
        <w:numPr>
          <w:ilvl w:val="0"/>
          <w:numId w:val="10"/>
        </w:numPr>
      </w:pPr>
      <w:r>
        <w:t>28.11 (otros ácidos inorgánicos y demás compuestos oxigenados inorgánicos de los no metales):</w:t>
      </w:r>
    </w:p>
    <w:p w14:paraId="102A6662" w14:textId="77777777" w:rsidR="003B3012" w:rsidRDefault="00000000">
      <w:pPr>
        <w:numPr>
          <w:ilvl w:val="1"/>
          <w:numId w:val="11"/>
        </w:numPr>
      </w:pPr>
      <w:r>
        <w:t>Esta partida cubre los ácidos en sí, no sus sales metálicas. La Nota 5 del Capítulo 28 dirige las sales metálicas a 28.26–28.42, con 28.42 como predeterminada para sales dobles/complejas (RGI 1) .</w:t>
      </w:r>
    </w:p>
    <w:p w14:paraId="45A6762C" w14:textId="77777777" w:rsidR="003B3012" w:rsidRDefault="00000000">
      <w:pPr>
        <w:numPr>
          <w:ilvl w:val="0"/>
          <w:numId w:val="10"/>
        </w:numPr>
      </w:pPr>
      <w:r>
        <w:t>28.26 (fluoruros; fluorosilicatos, fluoroaluminatos y demás sales complejas de flúor):</w:t>
      </w:r>
    </w:p>
    <w:p w14:paraId="1E105525" w14:textId="77777777" w:rsidR="003B3012" w:rsidRPr="00776E1A" w:rsidRDefault="00000000">
      <w:pPr>
        <w:numPr>
          <w:ilvl w:val="1"/>
          <w:numId w:val="12"/>
        </w:numPr>
        <w:rPr>
          <w:highlight w:val="yellow"/>
        </w:rPr>
      </w:pPr>
      <w:r w:rsidRPr="00776E1A">
        <w:rPr>
          <w:highlight w:val="yellow"/>
        </w:rPr>
        <w:t>El anión N(SO2F)2− no es un fluoruro (sal de HF) ni un complejo tipo “fluorosilicato/fluoroaluminato” como los nombrados en la partida; los ejemplos de la partida son complejos donde el flúor actúa como anión coordinante alrededor de un átomo central (p. ej., [AlF6]3−, [SiF6]2−). Aquí, el producto es una sal de un ácido imida inorgánico (con enlaces S–F en grupos sulfonilo), no un fluoruro ni las sales complejas de flúor nombradas en 28.26. Ante la falta de adecuación al texto de 28.26, la clasificación procede a 28.42 conforme a la Nota 5 y las RGI 1 y 3 a) .</w:t>
      </w:r>
    </w:p>
    <w:p w14:paraId="739F3A24" w14:textId="77777777" w:rsidR="003B3012" w:rsidRDefault="00000000">
      <w:pPr>
        <w:numPr>
          <w:ilvl w:val="0"/>
          <w:numId w:val="10"/>
        </w:numPr>
      </w:pPr>
      <w:r>
        <w:t>28.33–28.41 (sales nominales: sulfuros, nitritos/nitratos, fosfatos, carbonatos, cianuros, etc.):</w:t>
      </w:r>
    </w:p>
    <w:p w14:paraId="3E865EC7" w14:textId="77777777" w:rsidR="003B3012" w:rsidRDefault="00000000">
      <w:pPr>
        <w:numPr>
          <w:ilvl w:val="1"/>
          <w:numId w:val="13"/>
        </w:numPr>
      </w:pPr>
      <w:r>
        <w:lastRenderedPageBreak/>
        <w:t>El anión no corresponde a las familias de sales nombradas en estas partidas, por lo que no aplican por su texto (RGI 1). El cajón de sastre pertinente dentro del régimen de sales es 28.42 (otras sales de ácidos inorgánicos) .</w:t>
      </w:r>
    </w:p>
    <w:p w14:paraId="43EEE11E" w14:textId="77777777" w:rsidR="003B3012" w:rsidRDefault="00000000">
      <w:pPr>
        <w:numPr>
          <w:ilvl w:val="0"/>
          <w:numId w:val="10"/>
        </w:numPr>
      </w:pPr>
      <w:r>
        <w:t>28.53 (incluida 2853.90 “los demás”) – expresamente descartada:</w:t>
      </w:r>
    </w:p>
    <w:p w14:paraId="3E3F1A29" w14:textId="77777777" w:rsidR="003B3012" w:rsidRPr="00776E1A" w:rsidRDefault="00000000">
      <w:pPr>
        <w:numPr>
          <w:ilvl w:val="1"/>
          <w:numId w:val="14"/>
        </w:numPr>
        <w:rPr>
          <w:highlight w:val="yellow"/>
        </w:rPr>
      </w:pPr>
      <w:r>
        <w:t xml:space="preserve">La partida 28.53 cubre principalmente fosfuros y, de manera residual, “los demás compuestos inorgánicos”; su única subpartida específica es 2853.10 (cloruro de cianógeno), con 2853.90 “los demás” para el resto. Sin embargo, la Nota 5 del Capítulo 28 manda que las sales metálicas se clasifiquen en 28.26–28.42 (y, salvo indicación en contrario, las sales complejas en 28.42). </w:t>
      </w:r>
      <w:r w:rsidRPr="00776E1A">
        <w:rPr>
          <w:highlight w:val="yellow"/>
        </w:rPr>
        <w:t>Dado que LiFSI es una sal de litio de un ácido inorgánico, queda más específicamente cubierta por 28.42 (otras sales de ácidos inorgánicos). Conforme a las RGI 1 y 3 a), esta partida específica de sales prevalece sobre la genérica “los demás compuestos inorgánicos” de 28.53; en consecuencia, 2853.90 es jurídicamente inaplicable frente a 28.42 .</w:t>
      </w:r>
    </w:p>
    <w:p w14:paraId="15DB5DB4" w14:textId="77777777" w:rsidR="003B3012" w:rsidRDefault="00000000">
      <w:pPr>
        <w:numPr>
          <w:ilvl w:val="0"/>
          <w:numId w:val="10"/>
        </w:numPr>
      </w:pPr>
      <w:r>
        <w:t>29.20 (ésteres de los demás ácidos inorgánicos de los no metales y sus sales):</w:t>
      </w:r>
    </w:p>
    <w:p w14:paraId="1BA68ED2" w14:textId="77777777" w:rsidR="003B3012" w:rsidRDefault="00000000">
      <w:pPr>
        <w:numPr>
          <w:ilvl w:val="1"/>
          <w:numId w:val="15"/>
        </w:numPr>
      </w:pPr>
      <w:r>
        <w:t>Esta partida concierne a ésteres y sus sales; el producto no es un éster de un ácido inorgánico. Por tanto, 29.20 es inaplicable por texto (RGI 1) .</w:t>
      </w:r>
    </w:p>
    <w:p w14:paraId="5FC1CC41" w14:textId="77777777" w:rsidR="003B3012" w:rsidRDefault="00000000">
      <w:pPr>
        <w:numPr>
          <w:ilvl w:val="0"/>
          <w:numId w:val="10"/>
        </w:numPr>
      </w:pPr>
      <w:r>
        <w:t>29.25 (compuestos con función carboxiimida o con función imina):</w:t>
      </w:r>
    </w:p>
    <w:p w14:paraId="28C5BBC5" w14:textId="77777777" w:rsidR="003B3012" w:rsidRDefault="00000000">
      <w:pPr>
        <w:numPr>
          <w:ilvl w:val="1"/>
          <w:numId w:val="16"/>
        </w:numPr>
      </w:pPr>
      <w:r>
        <w:t>Cubre compuestos orgánicos (carboxiimida/imina) y sus sales; LiFSI es una sal de un ácido imida inorgánico sin carbono, por lo que queda fuera del ámbito orgánico del Capítulo 29 (véase el criterio de organicidad citado supra) .</w:t>
      </w:r>
    </w:p>
    <w:p w14:paraId="44C14C75" w14:textId="77777777" w:rsidR="003B3012" w:rsidRDefault="00000000">
      <w:r>
        <w:t>IV. Requisitos documentales (para sustentar y evidenciar la clasificación)</w:t>
      </w:r>
    </w:p>
    <w:p w14:paraId="469F00D1" w14:textId="77777777" w:rsidR="003B3012" w:rsidRDefault="00000000">
      <w:pPr>
        <w:numPr>
          <w:ilvl w:val="0"/>
          <w:numId w:val="17"/>
        </w:numPr>
      </w:pPr>
      <w:r>
        <w:t>Nombre químico completo y RN CAS (171611-11-3); fórmula estructural o nombre IUPAC.</w:t>
      </w:r>
    </w:p>
    <w:p w14:paraId="5CEF235F" w14:textId="77777777" w:rsidR="003B3012" w:rsidRDefault="00000000">
      <w:pPr>
        <w:numPr>
          <w:ilvl w:val="0"/>
          <w:numId w:val="17"/>
        </w:numPr>
      </w:pPr>
      <w:r>
        <w:t>Hoja técnica (TDS) y hoja de datos de seguridad (SDS) que indiquen composición, pureza y forma física.</w:t>
      </w:r>
    </w:p>
    <w:p w14:paraId="5D2CDE5C" w14:textId="77777777" w:rsidR="003B3012" w:rsidRDefault="00000000">
      <w:pPr>
        <w:numPr>
          <w:ilvl w:val="0"/>
          <w:numId w:val="17"/>
        </w:numPr>
      </w:pPr>
      <w:r>
        <w:t>Información que confirme que es la sal de litio del ácido inorgánico bis(fluorosulfonil)imida (sin carbono en el anión).</w:t>
      </w:r>
    </w:p>
    <w:p w14:paraId="1D5B4A03" w14:textId="77777777" w:rsidR="003B3012" w:rsidRDefault="00000000">
      <w:pPr>
        <w:numPr>
          <w:ilvl w:val="0"/>
          <w:numId w:val="17"/>
        </w:numPr>
      </w:pPr>
      <w:r>
        <w:lastRenderedPageBreak/>
        <w:t>Descripción del proceso de fabricación (para confirmar que se presenta “aisladamente” y de constitución química definida conforme a la Nota 1 del Cap. 28) .</w:t>
      </w:r>
    </w:p>
    <w:p w14:paraId="52331FB8" w14:textId="77777777" w:rsidR="003B3012" w:rsidRDefault="00000000">
      <w:pPr>
        <w:numPr>
          <w:ilvl w:val="0"/>
          <w:numId w:val="17"/>
        </w:numPr>
      </w:pPr>
      <w:r>
        <w:t>Fotografías/detalles de empaque y uso previsto (fabricación de baterías) como contexto (el uso no es determinante pero puede corroborar la identidad del producto).</w:t>
      </w:r>
    </w:p>
    <w:p w14:paraId="0E54AC64" w14:textId="77777777" w:rsidR="003B3012" w:rsidRDefault="00000000">
      <w:r>
        <w:t>V. Conclusión</w:t>
      </w:r>
    </w:p>
    <w:p w14:paraId="616623EF" w14:textId="77777777" w:rsidR="003B3012" w:rsidRDefault="00000000">
      <w:pPr>
        <w:numPr>
          <w:ilvl w:val="0"/>
          <w:numId w:val="18"/>
        </w:numPr>
      </w:pPr>
      <w:r>
        <w:t>Sustento legal: Por la RGI 1 y la RGI 3 a), y las Notas del Capítulo 28 (especialmente la Nota 5), el producto es una sal metálica de un ácido inorgánico que no está contemplada en las partidas nominales de sales (28.26–28.41). Por lo tanto, es clasificable en la partida 28.42 “Las demás sales de los ácidos o peroxoácidos inorgánicos”, subpartida 2842.90 “Las demás” .</w:t>
      </w:r>
    </w:p>
    <w:p w14:paraId="267D7D17" w14:textId="77777777" w:rsidR="003B3012" w:rsidRDefault="00000000">
      <w:pPr>
        <w:numPr>
          <w:ilvl w:val="0"/>
          <w:numId w:val="18"/>
        </w:numPr>
      </w:pPr>
      <w:r>
        <w:t>Cuadro de clasificación (limitado a nivel de subpartida según lo solicitado):</w:t>
      </w:r>
    </w:p>
    <w:p w14:paraId="37349919" w14:textId="77777777" w:rsidR="003B3012" w:rsidRDefault="00000000">
      <w:pPr>
        <w:numPr>
          <w:ilvl w:val="1"/>
          <w:numId w:val="19"/>
        </w:numPr>
      </w:pPr>
      <w:r>
        <w:t>Capítulo: 28</w:t>
      </w:r>
    </w:p>
    <w:p w14:paraId="77E22154" w14:textId="77777777" w:rsidR="003B3012" w:rsidRDefault="00000000">
      <w:pPr>
        <w:numPr>
          <w:ilvl w:val="1"/>
          <w:numId w:val="19"/>
        </w:numPr>
      </w:pPr>
      <w:r>
        <w:t>Partida: 28.42</w:t>
      </w:r>
    </w:p>
    <w:p w14:paraId="39259E22" w14:textId="77777777" w:rsidR="003B3012" w:rsidRDefault="00000000">
      <w:pPr>
        <w:numPr>
          <w:ilvl w:val="1"/>
          <w:numId w:val="19"/>
        </w:numPr>
      </w:pPr>
      <w:r>
        <w:t>Subpartida: 2842.90</w:t>
      </w:r>
    </w:p>
    <w:p w14:paraId="73305989" w14:textId="77777777" w:rsidR="003B3012" w:rsidRDefault="00000000">
      <w:pPr>
        <w:numPr>
          <w:ilvl w:val="1"/>
          <w:numId w:val="19"/>
        </w:numPr>
      </w:pPr>
      <w:r>
        <w:t>Fracción arancelaria mexicana (8 dígitos): No determinada (alcance limitado a subpartida según instrucción)</w:t>
      </w:r>
    </w:p>
    <w:p w14:paraId="20E7DF26" w14:textId="77777777" w:rsidR="003B3012" w:rsidRDefault="00000000">
      <w:pPr>
        <w:numPr>
          <w:ilvl w:val="1"/>
          <w:numId w:val="19"/>
        </w:numPr>
      </w:pPr>
      <w:r>
        <w:t>NICO: No determinado (alcance limitado a subpartida según instrucción)</w:t>
      </w:r>
    </w:p>
    <w:p w14:paraId="7A686A60" w14:textId="77777777" w:rsidR="003B3012" w:rsidRDefault="00000000">
      <w:r>
        <w:t>Determinación final: 2842.90</w:t>
      </w:r>
    </w:p>
    <w:p w14:paraId="12C5E036" w14:textId="77777777" w:rsidR="003B3012" w:rsidRDefault="00000000">
      <w:r>
        <w:t>Nota respecto de 2853.90: Se descarta expresamente porque la partida 28.53 (“Fosfuros…; los demás compuestos inorgánicos”) es una disposición residual genérica. En contraste, el texto de la partida 28.42 cubre específicamente “las demás sales de los ácidos o peroxoácidos inorgánicos”, y la Nota 5 del Capítulo 28 dirige las sales metálicas a 28.26–28.42—por defecto a 28.42 para sales dobles/complejas—lo que hace de 28.42 la partida correcta y más específica conforme a la RGI 1 y la RGI 3 a). Por consiguiente, 2853.90 no puede aplicarse a esta sal de litio de un ácido inorgánico .</w:t>
      </w:r>
    </w:p>
    <w:p w14:paraId="4C372A58" w14:textId="77777777" w:rsidR="003B3012" w:rsidRDefault="00000000">
      <w:pPr>
        <w:pStyle w:val="Heading3"/>
      </w:pPr>
      <w:bookmarkStart w:id="4" w:name="notas"/>
      <w:bookmarkEnd w:id="3"/>
      <w:r>
        <w:t>NOTAS:</w:t>
      </w:r>
    </w:p>
    <w:p w14:paraId="7B604AAE" w14:textId="77777777" w:rsidR="003B3012" w:rsidRDefault="00704FBD">
      <w:r>
        <w:rPr>
          <w:noProof/>
        </w:rPr>
        <w:pict w14:anchorId="1B92810C">
          <v:rect id="_x0000_i1026" alt="" style="width:468pt;height:.05pt;mso-width-percent:0;mso-height-percent:0;mso-width-percent:0;mso-height-percent:0" o:hralign="center" o:hrstd="t" o:hr="t"/>
        </w:pict>
      </w:r>
    </w:p>
    <w:p w14:paraId="381DF7D0" w14:textId="77777777" w:rsidR="003B3012" w:rsidRDefault="00000000">
      <w:pPr>
        <w:pStyle w:val="Heading3"/>
      </w:pPr>
      <w:bookmarkStart w:id="5" w:name="documentación-consultada"/>
      <w:bookmarkEnd w:id="4"/>
      <w:r>
        <w:lastRenderedPageBreak/>
        <w:t>Documentación consultada</w:t>
      </w:r>
    </w:p>
    <w:p w14:paraId="70B8B11D" w14:textId="77777777" w:rsidR="003B3012" w:rsidRDefault="00000000">
      <w:pPr>
        <w:numPr>
          <w:ilvl w:val="0"/>
          <w:numId w:val="20"/>
        </w:numPr>
      </w:pPr>
      <w:r>
        <w:t>Referencias: Ley de los Impuestos Generales de Importación y de Exportación</w:t>
      </w:r>
    </w:p>
    <w:p w14:paraId="786F9B78" w14:textId="77777777" w:rsidR="003B3012" w:rsidRDefault="00000000">
      <w:pPr>
        <w:numPr>
          <w:ilvl w:val="0"/>
          <w:numId w:val="20"/>
        </w:numPr>
      </w:pPr>
      <w:r>
        <w:t>Versión LIGIE: 7ma Enmienda del Sistema Armonizado</w:t>
      </w:r>
    </w:p>
    <w:p w14:paraId="6CAC470C" w14:textId="77777777" w:rsidR="003B3012" w:rsidRDefault="00000000">
      <w:pPr>
        <w:numPr>
          <w:ilvl w:val="0"/>
          <w:numId w:val="20"/>
        </w:numPr>
      </w:pPr>
      <w:r>
        <w:t>Archivo: LIGIE-UNIFICADA-LIGIE_20250728-20250728.pdf</w:t>
      </w:r>
    </w:p>
    <w:p w14:paraId="282E8C53" w14:textId="77777777" w:rsidR="003B3012" w:rsidRDefault="00000000">
      <w:pPr>
        <w:numPr>
          <w:ilvl w:val="0"/>
          <w:numId w:val="20"/>
        </w:numPr>
      </w:pPr>
      <w:r>
        <w:t>DOF: con actualizaciones al 30 de agosto de 2025</w:t>
      </w:r>
    </w:p>
    <w:p w14:paraId="1CCA1476" w14:textId="77777777" w:rsidR="003B3012" w:rsidRDefault="00704FBD">
      <w:r>
        <w:rPr>
          <w:noProof/>
        </w:rPr>
        <w:pict w14:anchorId="28EA9D3D">
          <v:rect id="_x0000_i1025" alt="" style="width:468pt;height:.05pt;mso-width-percent:0;mso-height-percent:0;mso-width-percent:0;mso-height-percent:0" o:hralign="center" o:hrstd="t" o:hr="t"/>
        </w:pict>
      </w:r>
    </w:p>
    <w:p w14:paraId="0F7FB136" w14:textId="77777777" w:rsidR="003B3012" w:rsidRDefault="00000000">
      <w:r>
        <w:rPr>
          <w:b/>
          <w:bCs/>
        </w:rPr>
        <w:t>Aviso legal:</w:t>
      </w:r>
    </w:p>
    <w:p w14:paraId="30BE1CE4" w14:textId="77777777" w:rsidR="003B3012" w:rsidRDefault="00000000">
      <w:r>
        <w:t>Este reporte tiene fines únicamente informativos y sirve como apoyo al proceso de clasificación arancelaria mexicana. No sustituye el criterio técnico ni la revisión de un especialista.</w:t>
      </w:r>
      <w:bookmarkEnd w:id="0"/>
      <w:bookmarkEnd w:id="5"/>
    </w:p>
    <w:sectPr w:rsidR="003B3012" w:rsidSect="000742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3C9D" w14:textId="77777777" w:rsidR="00704FBD" w:rsidRDefault="00704FBD">
      <w:pPr>
        <w:spacing w:after="0" w:line="240" w:lineRule="auto"/>
      </w:pPr>
      <w:r>
        <w:separator/>
      </w:r>
    </w:p>
  </w:endnote>
  <w:endnote w:type="continuationSeparator" w:id="0">
    <w:p w14:paraId="1BA3D71F" w14:textId="77777777" w:rsidR="00704FBD" w:rsidRDefault="00704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5E03434E" w14:textId="77777777" w:rsidR="00000000" w:rsidRDefault="00000000"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E39F914" w14:textId="77777777" w:rsidR="00000000" w:rsidRDefault="00000000"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37D58554" w14:textId="77777777" w:rsidR="00000000" w:rsidRDefault="00000000"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68BA2A" w14:textId="77777777" w:rsidR="00000000" w:rsidRPr="0007423B" w:rsidRDefault="00000000"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6DBA9E25"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1D1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3C40" w14:textId="77777777" w:rsidR="00704FBD" w:rsidRDefault="00704FBD">
      <w:r>
        <w:separator/>
      </w:r>
    </w:p>
  </w:footnote>
  <w:footnote w:type="continuationSeparator" w:id="0">
    <w:p w14:paraId="7EFCB275" w14:textId="77777777" w:rsidR="00704FBD" w:rsidRDefault="0070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15AA"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FFB5" w14:textId="77777777" w:rsidR="00000000" w:rsidRDefault="00000000">
    <w:pPr>
      <w:pStyle w:val="Header"/>
    </w:pPr>
    <w:r>
      <w:rPr>
        <w:noProof/>
      </w:rPr>
      <w:drawing>
        <wp:inline distT="0" distB="0" distL="0" distR="0" wp14:anchorId="2B443CF9" wp14:editId="73E3D89F">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17358E0F" w14:textId="77777777" w:rsidR="00000000" w:rsidRDefault="00000000">
    <w:pPr>
      <w:pStyle w:val="Header"/>
      <w:rPr>
        <w:color w:val="595959" w:themeColor="text1" w:themeTint="A6"/>
      </w:rPr>
    </w:pPr>
    <w:r w:rsidRPr="005F0E2A">
      <w:rPr>
        <w:color w:val="595959" w:themeColor="text1" w:themeTint="A6"/>
      </w:rPr>
      <w:t xml:space="preserve">Sistema de </w:t>
    </w:r>
    <w:r w:rsidRPr="005F0E2A">
      <w:rPr>
        <w:color w:val="595959" w:themeColor="text1" w:themeTint="A6"/>
      </w:rPr>
      <w:t>a</w:t>
    </w:r>
    <w:r w:rsidRPr="005F0E2A">
      <w:rPr>
        <w:color w:val="595959" w:themeColor="text1" w:themeTint="A6"/>
      </w:rPr>
      <w:t>poyo a la clasificación arancelaria</w:t>
    </w:r>
  </w:p>
  <w:p w14:paraId="7C979DFA" w14:textId="77777777" w:rsidR="00000000" w:rsidRPr="005F0E2A" w:rsidRDefault="00000000">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06F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9716A25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2C1AE401"/>
    <w:multiLevelType w:val="multilevel"/>
    <w:tmpl w:val="07FEDC5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738090139">
    <w:abstractNumId w:val="1"/>
  </w:num>
  <w:num w:numId="2" w16cid:durableId="675498927">
    <w:abstractNumId w:val="0"/>
  </w:num>
  <w:num w:numId="3" w16cid:durableId="160507386">
    <w:abstractNumId w:val="0"/>
  </w:num>
  <w:num w:numId="4" w16cid:durableId="752170484">
    <w:abstractNumId w:val="0"/>
  </w:num>
  <w:num w:numId="5" w16cid:durableId="898706617">
    <w:abstractNumId w:val="0"/>
  </w:num>
  <w:num w:numId="6" w16cid:durableId="1738702475">
    <w:abstractNumId w:val="0"/>
  </w:num>
  <w:num w:numId="7" w16cid:durableId="742290645">
    <w:abstractNumId w:val="0"/>
  </w:num>
  <w:num w:numId="8" w16cid:durableId="897977308">
    <w:abstractNumId w:val="0"/>
  </w:num>
  <w:num w:numId="9" w16cid:durableId="26376618">
    <w:abstractNumId w:val="0"/>
  </w:num>
  <w:num w:numId="10" w16cid:durableId="1103644361">
    <w:abstractNumId w:val="0"/>
  </w:num>
  <w:num w:numId="11" w16cid:durableId="1193883417">
    <w:abstractNumId w:val="0"/>
  </w:num>
  <w:num w:numId="12" w16cid:durableId="381750959">
    <w:abstractNumId w:val="0"/>
  </w:num>
  <w:num w:numId="13" w16cid:durableId="2101755139">
    <w:abstractNumId w:val="0"/>
  </w:num>
  <w:num w:numId="14" w16cid:durableId="2108963230">
    <w:abstractNumId w:val="0"/>
  </w:num>
  <w:num w:numId="15" w16cid:durableId="1353998714">
    <w:abstractNumId w:val="0"/>
  </w:num>
  <w:num w:numId="16" w16cid:durableId="2142309968">
    <w:abstractNumId w:val="0"/>
  </w:num>
  <w:num w:numId="17" w16cid:durableId="803738428">
    <w:abstractNumId w:val="0"/>
  </w:num>
  <w:num w:numId="18" w16cid:durableId="2053729571">
    <w:abstractNumId w:val="0"/>
  </w:num>
  <w:num w:numId="19" w16cid:durableId="1129124394">
    <w:abstractNumId w:val="0"/>
  </w:num>
  <w:num w:numId="20" w16cid:durableId="17218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0D07"/>
    <w:rsid w:val="00011C8B"/>
    <w:rsid w:val="003B3012"/>
    <w:rsid w:val="004E29B3"/>
    <w:rsid w:val="00590D07"/>
    <w:rsid w:val="00704FBD"/>
    <w:rsid w:val="00776E1A"/>
    <w:rsid w:val="00784D58"/>
    <w:rsid w:val="007B2EC6"/>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3DD8"/>
  <w15:docId w15:val="{29D5F881-139E-E84D-AD5A-A27EADD0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X"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B9F"/>
    <w:rPr>
      <w:rFonts w:eastAsiaTheme="majorEastAsia" w:cstheme="majorBidi"/>
      <w:color w:val="272727" w:themeColor="text1" w:themeTint="D8"/>
    </w:rPr>
  </w:style>
  <w:style w:type="paragraph" w:styleId="Title">
    <w:name w:val="Title"/>
    <w:basedOn w:val="Normal"/>
    <w:next w:val="Normal"/>
    <w:link w:val="TitleChar"/>
    <w:uiPriority w:val="10"/>
    <w:qFormat/>
    <w:rsid w:val="00CE6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B9F"/>
    <w:pPr>
      <w:spacing w:before="160"/>
      <w:jc w:val="center"/>
    </w:pPr>
    <w:rPr>
      <w:i/>
      <w:iCs/>
      <w:color w:val="404040" w:themeColor="text1" w:themeTint="BF"/>
    </w:rPr>
  </w:style>
  <w:style w:type="character" w:customStyle="1" w:styleId="QuoteChar">
    <w:name w:val="Quote Char"/>
    <w:basedOn w:val="DefaultParagraphFont"/>
    <w:link w:val="Quote"/>
    <w:uiPriority w:val="29"/>
    <w:rsid w:val="00CE6B9F"/>
    <w:rPr>
      <w:i/>
      <w:iCs/>
      <w:color w:val="404040" w:themeColor="text1" w:themeTint="BF"/>
    </w:rPr>
  </w:style>
  <w:style w:type="paragraph" w:styleId="ListParagraph">
    <w:name w:val="List Paragraph"/>
    <w:basedOn w:val="Normal"/>
    <w:uiPriority w:val="34"/>
    <w:qFormat/>
    <w:rsid w:val="00CE6B9F"/>
    <w:pPr>
      <w:ind w:left="720"/>
      <w:contextualSpacing/>
    </w:pPr>
  </w:style>
  <w:style w:type="character" w:styleId="IntenseEmphasis">
    <w:name w:val="Intense Emphasis"/>
    <w:basedOn w:val="DefaultParagraphFont"/>
    <w:uiPriority w:val="21"/>
    <w:qFormat/>
    <w:rsid w:val="00CE6B9F"/>
    <w:rPr>
      <w:i/>
      <w:iCs/>
      <w:color w:val="0F4761" w:themeColor="accent1" w:themeShade="BF"/>
    </w:rPr>
  </w:style>
  <w:style w:type="paragraph" w:styleId="IntenseQuote">
    <w:name w:val="Intense Quote"/>
    <w:basedOn w:val="Normal"/>
    <w:next w:val="Normal"/>
    <w:link w:val="IntenseQuoteChar"/>
    <w:uiPriority w:val="30"/>
    <w:qFormat/>
    <w:rsid w:val="00CE6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B9F"/>
    <w:rPr>
      <w:i/>
      <w:iCs/>
      <w:color w:val="0F4761" w:themeColor="accent1" w:themeShade="BF"/>
    </w:rPr>
  </w:style>
  <w:style w:type="character" w:styleId="IntenseReference">
    <w:name w:val="Intense Reference"/>
    <w:basedOn w:val="DefaultParagraphFont"/>
    <w:uiPriority w:val="32"/>
    <w:qFormat/>
    <w:rsid w:val="00CE6B9F"/>
    <w:rPr>
      <w:b/>
      <w:bCs/>
      <w:smallCaps/>
      <w:color w:val="0F4761" w:themeColor="accent1" w:themeShade="BF"/>
      <w:spacing w:val="5"/>
    </w:rPr>
  </w:style>
  <w:style w:type="paragraph" w:styleId="Header">
    <w:name w:val="header"/>
    <w:basedOn w:val="Normal"/>
    <w:link w:val="HeaderChar"/>
    <w:uiPriority w:val="99"/>
    <w:unhideWhenUsed/>
    <w:rsid w:val="00540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40"/>
  </w:style>
  <w:style w:type="paragraph" w:styleId="Footer">
    <w:name w:val="footer"/>
    <w:basedOn w:val="Normal"/>
    <w:link w:val="FooterChar"/>
    <w:uiPriority w:val="99"/>
    <w:unhideWhenUsed/>
    <w:rsid w:val="00540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40"/>
  </w:style>
  <w:style w:type="character" w:styleId="Hyperlink">
    <w:name w:val="Hyperlink"/>
    <w:basedOn w:val="DefaultParagraphFont"/>
    <w:uiPriority w:val="99"/>
    <w:unhideWhenUsed/>
    <w:rsid w:val="00B35C31"/>
    <w:rPr>
      <w:color w:val="467886" w:themeColor="hyperlink"/>
      <w:u w:val="single"/>
    </w:rPr>
  </w:style>
  <w:style w:type="character" w:styleId="PageNumber">
    <w:name w:val="page number"/>
    <w:basedOn w:val="DefaultParagraphFont"/>
    <w:uiPriority w:val="99"/>
    <w:semiHidden/>
    <w:unhideWhenUsed/>
    <w:rsid w:val="0007423B"/>
  </w:style>
  <w:style w:type="character" w:styleId="LineNumber">
    <w:name w:val="line number"/>
    <w:basedOn w:val="DefaultParagraphFont"/>
    <w:uiPriority w:val="99"/>
    <w:semiHidden/>
    <w:unhideWhenUsed/>
    <w:rsid w:val="0007423B"/>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1565</Words>
  <Characters>8922</Characters>
  <Application>Microsoft Office Word</Application>
  <DocSecurity>0</DocSecurity>
  <Lines>74</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reviewer 1</cp:lastModifiedBy>
  <cp:revision>2</cp:revision>
  <dcterms:created xsi:type="dcterms:W3CDTF">2025-09-16T02:00:00Z</dcterms:created>
  <dcterms:modified xsi:type="dcterms:W3CDTF">2025-09-16T02:27:00Z</dcterms:modified>
</cp:coreProperties>
</file>