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11:55:58</w:t>
      </w:r>
    </w:p>
    <w:p>
      <w:pPr>
        <w:pStyle w:val="BodyText"/>
      </w:pPr>
      <w:r>
        <w:t xml:space="preserve">Cuenta: Ver18-b</w:t>
      </w:r>
    </w:p>
    <w:p>
      <w:pPr>
        <w:pStyle w:val="BodyText"/>
      </w:pPr>
      <w:r>
        <w:t xml:space="preserve">Usuario: cmhs</w:t>
      </w:r>
    </w:p>
    <w:p>
      <w:pPr>
        <w:pStyle w:val="BodyText"/>
      </w:pPr>
      <w:r>
        <w:t xml:space="preserve">ITEM: Preparación utilizada en la alimentación animal, en forma granular, compuesta por maíz, trigo, harina de extracción de soya, harina de extracción de girasol, triticale, una mezcla de subproductos de la molienda, chícharos, salvado de trigo, aceite de soya, carbonato de calcio, bagazo cervecero, fosfato dicálcico, cloruro de sodio, bicarbonato de sodio, aditivos nutricionales (vitaminas, oligoelementos), aditivos zootécnicos y un coccidiostato (monensina sódica (E757)), acondicionada en sacos de 25 kg. El producto contiene 120 mg/kg de monensina sódica. La preparación se utiliza para la crianza de pollos; está a su libre disposición desde el primer día y durante las siguientes 6 a 12 semanas, dependiendo del desarrollo del peso y de los requerimientos de coccidiostato.</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23</w:t>
            </w:r>
          </w:p>
        </w:tc>
        <w:tc>
          <w:p>
            <w:pPr>
              <w:pStyle w:val="Compact"/>
              <w:jc w:val="left"/>
            </w:pPr>
            <w:r>
              <w:t xml:space="preserve">Por RGI 1, la partida 23.09 cubre expresamente “preparaciones de los tipos utilizados para la alimentación de los animales” (índice de partidas). La Nota 1 del Capítulo 23 confirma la inclusión de preparaciones para alimentación animal obtenidas por tratamiento de materias vegetales/animales que han perdido su carácter original. El producto es un alimento compuesto para pollos con aditivos (incl. un coccidiostato), por lo que encuadra en 23.09. En su caso, la RGI 3 b) apoya que su carácter esencial es una preparación para alimentación animal, no un ingrediente individual.</w:t>
            </w:r>
          </w:p>
        </w:tc>
      </w:tr>
      <w:tr>
        <w:tc>
          <w:p>
            <w:pPr>
              <w:pStyle w:val="Compact"/>
              <w:jc w:val="right"/>
            </w:pPr>
            <w:r>
              <w:rPr>
                <w:bCs/>
                <w:b/>
              </w:rPr>
              <w:t xml:space="preserve">19</w:t>
            </w:r>
          </w:p>
        </w:tc>
        <w:tc>
          <w:p>
            <w:pPr>
              <w:pStyle w:val="Compact"/>
              <w:jc w:val="left"/>
            </w:pPr>
            <w:r>
              <w:t xml:space="preserve">Considerado por su base cereal, pero la Nota 1 b) del Capítulo 19 excluye los productos a base de harina/almidón especialmente preparados para alimentación animal y los remite a 23.09. Por RGI 3 a), la disposición específica de alimento para animales (23.09) prevalece sobre el Capítulo 19.</w:t>
            </w:r>
          </w:p>
        </w:tc>
      </w:tr>
      <w:tr>
        <w:tc>
          <w:p>
            <w:pPr>
              <w:pStyle w:val="Compact"/>
              <w:jc w:val="right"/>
            </w:pPr>
            <w:r>
              <w:rPr>
                <w:bCs/>
                <w:b/>
              </w:rPr>
              <w:t xml:space="preserve">21</w:t>
            </w:r>
          </w:p>
        </w:tc>
        <w:tc>
          <w:p>
            <w:pPr>
              <w:pStyle w:val="Compact"/>
              <w:jc w:val="left"/>
            </w:pPr>
            <w:r>
              <w:t xml:space="preserve">El Capítulo 21 es residual; la partida 21.06 es para preparaciones alimenticias NEP. Dado que 23.09 cubre específicamente preparaciones para alimentación animal, las RGI 1 y 3 a) descartan recurrir a este capítulo residual.</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normativo aplicable</w:t>
      </w:r>
    </w:p>
    <w:p>
      <w:pPr>
        <w:numPr>
          <w:ilvl w:val="0"/>
          <w:numId w:val="1001"/>
        </w:numPr>
      </w:pPr>
      <w:r>
        <w:t xml:space="preserve">Reglas Generales de Interpretación (RGI)</w:t>
      </w:r>
    </w:p>
    <w:p>
      <w:pPr>
        <w:numPr>
          <w:ilvl w:val="1"/>
          <w:numId w:val="1002"/>
        </w:numPr>
        <w:pStyle w:val="Compact"/>
      </w:pPr>
      <w:r>
        <w:t xml:space="preserve">RGI 1: “LOS TÍTULOS DE LAS SECCIONES, DE LOS CAPÍTULOS O DE LOS SUBCAPÍTULOS SOLO TIENEN UN VALOR INDICATIVO, YA QUE LA CLASIFICACIÓN ESTÁ DETERMINADA LEGALMENTE POR LOS TEXTOS DE LAS PARTIDAS Y DE LAS NOTAS DE SECCIÓN O DE CAPÍTULO…”. Asimismo, “la clasificación se determine: a) según el texto de las partidas y de las Notas de Sección o Capítulo; y b) si fuera necesario, según las disposiciones de las Reglas 2, 3, 4 y 5…”.</w:t>
      </w:r>
    </w:p>
    <w:p>
      <w:pPr>
        <w:numPr>
          <w:ilvl w:val="1"/>
          <w:numId w:val="1002"/>
        </w:numPr>
        <w:pStyle w:val="Compact"/>
      </w:pPr>
      <w:r>
        <w:t xml:space="preserve">RGI 2 b): “CUALQUIER REFERENCIA A UNA MATERIA EN UNA PARTIDA DETERMINADA ALCANZA A DICHA MATERIA, INCLUSO MEZCLADA O ASOCIADA CON OTRAS MATERIAS… LA CLASIFICACIÓN DE ESTOS PRODUCTOS MEZCLADOS… SE EFECTUARÁ DE ACUERDO CON LOS PRINCIPIOS ENUNCIADOS EN LA REGLA 3.”. Y, específicamente para preparaciones: “Los productos mezclados que constituyan preparaciones contempladas como tales en una Nota de Sección o de Capítulo o en el texto de una partida se clasifican por aplicación de la Regla 1.”.</w:t>
      </w:r>
    </w:p>
    <w:p>
      <w:pPr>
        <w:numPr>
          <w:ilvl w:val="1"/>
          <w:numId w:val="1002"/>
        </w:numPr>
        <w:pStyle w:val="Compact"/>
      </w:pPr>
      <w:r>
        <w:t xml:space="preserve">RGI 3 a) y 3 b): “LA PARTIDA CON DESCRIPCIÓN MÁS ESPECÍFICA TENDRÁ PRIORIDAD…”; y cuando esa regla no resuelve, los productos mezclados “SE CLASIFICARÁN SEGÚN LA MATERIA O CON EL ARTÍCULO QUE LES CONFIERA SU CARÁCTER ESENCIAL…”. La nota explicativa aclara que el carácter esencial puede derivar de la naturaleza, cantidad, peso, valor o importancia de una de las materias en relación con la utilización del bien.</w:t>
      </w:r>
    </w:p>
    <w:p>
      <w:pPr>
        <w:numPr>
          <w:ilvl w:val="1"/>
          <w:numId w:val="1002"/>
        </w:numPr>
        <w:pStyle w:val="Compact"/>
      </w:pPr>
      <w:r>
        <w:t xml:space="preserve">RGI 6: “LA CLASIFICACIÓN DE MERCANCÍAS EN LAS SUBPARTIDAS DE UNA MISMA PARTIDA ESTÁ DETERMINADA LEGALMENTE POR LOS TEXTOS DE ESTAS SUBPARTIDAS… BIEN ENTENDIDO QUE SOLO PUEDEN COMPARARSE SUBPARTIDAS DEL MISMO NIVEL.”.</w:t>
      </w:r>
    </w:p>
    <w:p>
      <w:pPr>
        <w:numPr>
          <w:ilvl w:val="0"/>
          <w:numId w:val="1001"/>
        </w:numPr>
      </w:pPr>
      <w:r>
        <w:t xml:space="preserve">Notas legales y de capítulo (Capítulos 23 y 19)</w:t>
      </w:r>
    </w:p>
    <w:p>
      <w:pPr>
        <w:numPr>
          <w:ilvl w:val="1"/>
          <w:numId w:val="1003"/>
        </w:numPr>
        <w:pStyle w:val="Compact"/>
      </w:pPr>
      <w:r>
        <w:t xml:space="preserve">Capítulo 23, Nota 1: “Se incluyen en la partida 23.09 los productos de los tipos utilizados para la alimentación de los animales, no expresados ni comprendidos en otra parte, obtenidos por tratamiento de materias vegetales o animales y que, por este hecho, hayan perdido las características esenciales de la materia originaria…”.</w:t>
      </w:r>
    </w:p>
    <w:p>
      <w:pPr>
        <w:numPr>
          <w:ilvl w:val="1"/>
          <w:numId w:val="1003"/>
        </w:numPr>
        <w:pStyle w:val="Compact"/>
      </w:pPr>
      <w:r>
        <w:t xml:space="preserve">Texto de la partida 23.09: “Preparaciones de los tipos utilizados para la alimentación de los animales.”.</w:t>
      </w:r>
    </w:p>
    <w:p>
      <w:pPr>
        <w:numPr>
          <w:ilvl w:val="1"/>
          <w:numId w:val="1003"/>
        </w:numPr>
        <w:pStyle w:val="Compact"/>
      </w:pPr>
      <w:r>
        <w:t xml:space="preserve">Capítulo 19, Nota 1 b): este capítulo no comprende “los productos a base de harina, almidón o fécula (galletas, etc.) especialmente preparados para la alimentación de los animales (partida 23.09).”.</w:t>
      </w:r>
    </w:p>
    <w:p>
      <w:pPr>
        <w:pStyle w:val="FirstParagraph"/>
      </w:pPr>
      <w:r>
        <w:t xml:space="preserve">II. Análisis jurídico-técnico</w:t>
      </w:r>
    </w:p>
    <w:p>
      <w:pPr>
        <w:numPr>
          <w:ilvl w:val="0"/>
          <w:numId w:val="1004"/>
        </w:numPr>
      </w:pPr>
      <w:r>
        <w:t xml:space="preserve">Descripción técnica del bien a clasificar: preparación granular para alimentación de aves (pollos), en sacos de 25 kg, compuesta por maíz, trigo, tortas/extracciones de soya y girasol, triticale, subproductos de molienda, chícharo, salvado de trigo, aceite de soya, carbonato de calcio, bagazo cervecero (“spent grain”), fosfato dicálcico, NaCl, bicarbonato de sodio, aditivos nutricionales (vitaminas, oligoelementos), aditivos zootécnicos y coccidiostato (monensina sódica E757, 120 mg/kg). Uso: suministro libre desde el primer día hasta 6–12 semanas en la crianza de pollos.</w:t>
      </w:r>
    </w:p>
    <w:p>
      <w:pPr>
        <w:numPr>
          <w:ilvl w:val="0"/>
          <w:numId w:val="1004"/>
        </w:numPr>
      </w:pPr>
      <w:r>
        <w:t xml:space="preserve">Capítulo aplicable y partida:</w:t>
      </w:r>
    </w:p>
    <w:p>
      <w:pPr>
        <w:numPr>
          <w:ilvl w:val="1"/>
          <w:numId w:val="1005"/>
        </w:numPr>
        <w:pStyle w:val="Compact"/>
      </w:pPr>
      <w:r>
        <w:t xml:space="preserve">Por RGI 1, se atiende al texto de las partidas y notas. La mercancía es una “preparación… utilizada para la alimentación de los animales” (partida 23.09). La Nota 1 del Capítulo 23 confirma la inclusión en 23.09 de productos para alimentación animal obtenidos por tratamiento de materias vegetales/animales (en este caso, mezclado/formulado con harinas de extracción, subproductos de molienda y aditivos, lo que desnaturaliza sus materias originarias).</w:t>
      </w:r>
    </w:p>
    <w:p>
      <w:pPr>
        <w:numPr>
          <w:ilvl w:val="1"/>
          <w:numId w:val="1005"/>
        </w:numPr>
        <w:pStyle w:val="Compact"/>
      </w:pPr>
      <w:r>
        <w:t xml:space="preserve">Además, conforme a RGI 2 b) y su nota explicativa, los productos mezclados que constituyen “preparaciones” contempladas por el texto de una partida se clasifican por RGI 1 directamente en dicha partida 23.09.</w:t>
      </w:r>
    </w:p>
    <w:p>
      <w:pPr>
        <w:numPr>
          <w:ilvl w:val="0"/>
          <w:numId w:val="1004"/>
        </w:numPr>
      </w:pPr>
      <w:r>
        <w:t xml:space="preserve">Subpartida:</w:t>
      </w:r>
    </w:p>
    <w:p>
      <w:pPr>
        <w:numPr>
          <w:ilvl w:val="1"/>
          <w:numId w:val="1006"/>
        </w:numPr>
        <w:pStyle w:val="Compact"/>
      </w:pPr>
      <w:r>
        <w:t xml:space="preserve">Aplicando RGI 6, se comparan subpartidas de un mismo nivel dentro de 23.09. La subpartida 2309.10 (“Alimentos para perros o gatos, acondicionados para la venta al por menor”) no corresponde, pues el producto se destina a aves (pollos) y no es para perros o gatos. Por tanto, procede la subpartida 2309.90 (“Las demás”).</w:t>
      </w:r>
    </w:p>
    <w:p>
      <w:pPr>
        <w:pStyle w:val="FirstParagraph"/>
      </w:pPr>
      <w:r>
        <w:t xml:space="preserve">III. Exclusión de partidas o capítulos alternativos</w:t>
      </w:r>
    </w:p>
    <w:p>
      <w:pPr>
        <w:numPr>
          <w:ilvl w:val="0"/>
          <w:numId w:val="1007"/>
        </w:numPr>
      </w:pPr>
      <w:r>
        <w:t xml:space="preserve">Capítulo 19</w:t>
      </w:r>
    </w:p>
    <w:p>
      <w:pPr>
        <w:numPr>
          <w:ilvl w:val="1"/>
          <w:numId w:val="1008"/>
        </w:numPr>
        <w:pStyle w:val="Compact"/>
      </w:pPr>
      <w:r>
        <w:t xml:space="preserve">Excluido por la Nota 1 b) del Capítulo 19, que remite los productos especialmente preparados para alimentación de animales a 23.09.</w:t>
      </w:r>
    </w:p>
    <w:p>
      <w:pPr>
        <w:numPr>
          <w:ilvl w:val="0"/>
          <w:numId w:val="1007"/>
        </w:numPr>
      </w:pPr>
      <w:r>
        <w:t xml:space="preserve">Partidas del Capítulo 23 distintas de 23.09</w:t>
      </w:r>
    </w:p>
    <w:p>
      <w:pPr>
        <w:numPr>
          <w:ilvl w:val="1"/>
          <w:numId w:val="1009"/>
        </w:numPr>
        <w:pStyle w:val="Compact"/>
      </w:pPr>
      <w:r>
        <w:t xml:space="preserve">23.01 (harinas/polvos de carne o pescado, etc., impropios para consumo humano): no es una harina de origen animal sino un alimento compuesto con múltiples materias y aditivos; no corresponde a la definición de 23.01.</w:t>
      </w:r>
    </w:p>
    <w:p>
      <w:pPr>
        <w:numPr>
          <w:ilvl w:val="1"/>
          <w:numId w:val="1009"/>
        </w:numPr>
        <w:pStyle w:val="Compact"/>
      </w:pPr>
      <w:r>
        <w:t xml:space="preserve">23.02 (salvados, moyuelos y demás residuos del cernido o molienda): aunque contiene salvado/subproductos, el bien no es un residuo simple sino una preparación compuesta, con aditivos, destinada directamente a alimentar pollos; por RGI 3 a), 23.09 es más específica para “preparaciones… para alimentación animal” que 23.02 (residuos).</w:t>
      </w:r>
    </w:p>
    <w:p>
      <w:pPr>
        <w:numPr>
          <w:ilvl w:val="1"/>
          <w:numId w:val="1009"/>
        </w:numPr>
        <w:pStyle w:val="Compact"/>
      </w:pPr>
      <w:r>
        <w:t xml:space="preserve">23.03 (residuos de la industria del almidón; pulpas; heces y desperdicios de cervecería o destilería): aunque la fórmula incluye “spent grain”, la mercancía no consiste en tales residuos como materia única, sino en una preparación compuesta con múltiples ingredientes y aditivos; la partida 23.09 prevalece por especificidad y, en su caso, por carácter esencial del uso como alimento compuesto para aves (RGI 3 a) y 3 b)).</w:t>
      </w:r>
    </w:p>
    <w:p>
      <w:pPr>
        <w:numPr>
          <w:ilvl w:val="1"/>
          <w:numId w:val="1009"/>
        </w:numPr>
        <w:pStyle w:val="Compact"/>
      </w:pPr>
      <w:r>
        <w:t xml:space="preserve">23.04 a 23.06 (tortas y demás residuos sólidos de extracción de aceites): el producto no es una torta/residuo único de extracción, sino que incorpora varias tortas vegetales entre otros ingredientes; la definición de estas partidas no cubre una preparación compuesta con aditivos; procede 23.09 por especificidad (RGI 3 a)).</w:t>
      </w:r>
    </w:p>
    <w:p>
      <w:pPr>
        <w:numPr>
          <w:ilvl w:val="1"/>
          <w:numId w:val="1009"/>
        </w:numPr>
        <w:pStyle w:val="Compact"/>
      </w:pPr>
      <w:r>
        <w:t xml:space="preserve">23.07 (lías o heces de vino; tártaro bruto): no aplica al producto descrito.</w:t>
      </w:r>
    </w:p>
    <w:p>
      <w:pPr>
        <w:numPr>
          <w:ilvl w:val="1"/>
          <w:numId w:val="1009"/>
        </w:numPr>
        <w:pStyle w:val="Compact"/>
      </w:pPr>
      <w:r>
        <w:t xml:space="preserve">23.08 (materias vegetales y desperdicios vegetales para alimentación animal, N.E.P.): esta partida cubre materiales vegetales y residuos, no “preparaciones” formuladas con aditivos. Por RGI 3 a), 23.09, que designa nominalmente “preparaciones… para alimentación de los animales”, es más específica que 23.08 de alcance genérico para materiales vegetales (N.E.P.).</w:t>
      </w:r>
    </w:p>
    <w:p>
      <w:pPr>
        <w:numPr>
          <w:ilvl w:val="0"/>
          <w:numId w:val="1007"/>
        </w:numPr>
      </w:pPr>
      <w:r>
        <w:t xml:space="preserve">Subpartida 2309.10 (dentro de 23.09)</w:t>
      </w:r>
    </w:p>
    <w:p>
      <w:pPr>
        <w:numPr>
          <w:ilvl w:val="1"/>
          <w:numId w:val="1010"/>
        </w:numPr>
        <w:pStyle w:val="Compact"/>
      </w:pPr>
      <w:r>
        <w:t xml:space="preserve">No procede, por tratarse de alimento para pollos y no para perros o gatos; además, la propia subpartida exige acondicionamiento para venta al por menor, supuesto ajeno a sacos de 25 kg descritos para crianza de aves.</w:t>
      </w:r>
    </w:p>
    <w:p>
      <w:pPr>
        <w:pStyle w:val="FirstParagraph"/>
      </w:pPr>
      <w:r>
        <w:t xml:space="preserve">IV. Requisitos documentales</w:t>
      </w:r>
      <w:r>
        <w:t xml:space="preserve"> </w:t>
      </w:r>
      <w:r>
        <w:t xml:space="preserve">Para sustentar los hechos relevantes conforme a RGI 1 y 6 y a las Notas citadas (naturaleza de “preparación” para alimentación animal; especie destino; composición y aditivos), el importador deberá aportar:</w:t>
      </w:r>
    </w:p>
    <w:p>
      <w:pPr>
        <w:numPr>
          <w:ilvl w:val="0"/>
          <w:numId w:val="1011"/>
        </w:numPr>
        <w:pStyle w:val="Compact"/>
      </w:pPr>
      <w:r>
        <w:t xml:space="preserve">Ficha técnica y formulación/composición detallada con porcentajes de ingredientes y aditivos.</w:t>
      </w:r>
    </w:p>
    <w:p>
      <w:pPr>
        <w:numPr>
          <w:ilvl w:val="0"/>
          <w:numId w:val="1011"/>
        </w:numPr>
        <w:pStyle w:val="Compact"/>
      </w:pPr>
      <w:r>
        <w:t xml:space="preserve">Etiquetado, instructivo de uso y destino (especie aviar).</w:t>
      </w:r>
    </w:p>
    <w:p>
      <w:pPr>
        <w:numPr>
          <w:ilvl w:val="0"/>
          <w:numId w:val="1011"/>
        </w:numPr>
        <w:pStyle w:val="Compact"/>
      </w:pPr>
      <w:r>
        <w:t xml:space="preserve">Evidencia del contenido de aditivos/monensina (certificado de análisis por lote).</w:t>
      </w:r>
    </w:p>
    <w:p>
      <w:pPr>
        <w:numPr>
          <w:ilvl w:val="0"/>
          <w:numId w:val="1011"/>
        </w:numPr>
        <w:pStyle w:val="Compact"/>
      </w:pPr>
      <w:r>
        <w:t xml:space="preserve">Descripción del acondicionamiento y presentación comercial (p. ej., sacos de 25 kg).</w:t>
      </w:r>
    </w:p>
    <w:p>
      <w:pPr>
        <w:pStyle w:val="FirstParagraph"/>
      </w:pPr>
      <w:r>
        <w:t xml:space="preserve">V. Conclusión</w:t>
      </w:r>
    </w:p>
    <w:p>
      <w:pPr>
        <w:numPr>
          <w:ilvl w:val="0"/>
          <w:numId w:val="1012"/>
        </w:numPr>
        <w:pStyle w:val="Compact"/>
      </w:pPr>
      <w:r>
        <w:t xml:space="preserve">Clasificación propuesta a nivel de subpartida:</w:t>
      </w:r>
    </w:p>
    <w:p>
      <w:pPr>
        <w:numPr>
          <w:ilvl w:val="1"/>
          <w:numId w:val="1013"/>
        </w:numPr>
        <w:pStyle w:val="Compact"/>
      </w:pPr>
      <w:r>
        <w:t xml:space="preserve">Capítulo: 23 (Residuos y desperdicios de las industrias alimentarias; alimentos preparados para animales).</w:t>
      </w:r>
    </w:p>
    <w:p>
      <w:pPr>
        <w:numPr>
          <w:ilvl w:val="1"/>
          <w:numId w:val="1013"/>
        </w:numPr>
        <w:pStyle w:val="Compact"/>
      </w:pPr>
      <w:r>
        <w:t xml:space="preserve">Partida: 23.09 (Preparaciones de los tipos utilizados para la alimentación de los animales).</w:t>
      </w:r>
    </w:p>
    <w:p>
      <w:pPr>
        <w:numPr>
          <w:ilvl w:val="1"/>
          <w:numId w:val="1013"/>
        </w:numPr>
        <w:pStyle w:val="Compact"/>
      </w:pPr>
      <w:r>
        <w:t xml:space="preserve">Subpartida: 2309.90 (Las demás).</w:t>
      </w:r>
    </w:p>
    <w:p>
      <w:pPr>
        <w:numPr>
          <w:ilvl w:val="1"/>
          <w:numId w:val="1013"/>
        </w:numPr>
        <w:pStyle w:val="Compact"/>
      </w:pPr>
      <w:r>
        <w:t xml:space="preserve">Fracción/NICO: No determinados en este dictamen, por limitarse la resolución al nivel de subpartida.</w:t>
      </w:r>
    </w:p>
    <w:p>
      <w:pPr>
        <w:pStyle w:val="FirstParagraph"/>
      </w:pPr>
      <w:r>
        <w:t xml:space="preserve">Resolución final: La mercancía descrita se clasifica en la subpartida 2309.90, por aplicación de RGI 1 y 6, conforme al texto de la partida 23.09 y la Nota 1 del Capítulo 23, y por exclusión fundada de las alternativas analizadas en los Capítulos 23 y 19, así como de la subpartida 2309.10 de alimentos para perros o gatos.</w:t>
      </w:r>
    </w:p>
    <w:bookmarkEnd w:id="22"/>
    <w:bookmarkStart w:id="23" w:name="notas"/>
    <w:p>
      <w:pPr>
        <w:pStyle w:val="Heading3"/>
      </w:pPr>
      <w:r>
        <w:t xml:space="preserve">NOTAS:</w:t>
      </w:r>
    </w:p>
    <w:p>
      <w:r>
        <w:pict>
          <v:rect style="width:0;height:1.5pt" o:hralign="center" o:hrstd="t" o:hr="t"/>
        </w:pict>
      </w:r>
    </w:p>
    <w:bookmarkEnd w:id="23"/>
    <w:bookmarkStart w:id="24" w:name="documentación-consultada"/>
    <w:p>
      <w:pPr>
        <w:pStyle w:val="Heading3"/>
      </w:pPr>
      <w:r>
        <w:t xml:space="preserve">Documentación consultada</w:t>
      </w:r>
    </w:p>
    <w:p>
      <w:pPr>
        <w:numPr>
          <w:ilvl w:val="0"/>
          <w:numId w:val="1014"/>
        </w:numPr>
        <w:pStyle w:val="Compact"/>
      </w:pPr>
      <w:r>
        <w:t xml:space="preserve">Referencias: Ley de los Impuestos Generales de Importación y de Exportación</w:t>
      </w:r>
    </w:p>
    <w:p>
      <w:pPr>
        <w:numPr>
          <w:ilvl w:val="0"/>
          <w:numId w:val="1014"/>
        </w:numPr>
        <w:pStyle w:val="Compact"/>
      </w:pPr>
      <w:r>
        <w:t xml:space="preserve">Versión LIGIE: 7ma Enmienda del Sistema Armonizado</w:t>
      </w:r>
    </w:p>
    <w:p>
      <w:pPr>
        <w:numPr>
          <w:ilvl w:val="0"/>
          <w:numId w:val="1014"/>
        </w:numPr>
        <w:pStyle w:val="Compact"/>
      </w:pPr>
      <w:r>
        <w:t xml:space="preserve">Archivo: LIGIE-UNIFICADA-LIGIE_20250728-20250728.pdf</w:t>
      </w:r>
    </w:p>
    <w:p>
      <w:pPr>
        <w:numPr>
          <w:ilvl w:val="0"/>
          <w:numId w:val="1014"/>
        </w:numPr>
        <w:pStyle w:val="Compact"/>
      </w:pPr>
      <w:r>
        <w:t xml:space="preserve">DOF: con actualizaciones al 30 de agosto de 2025</w:t>
      </w:r>
    </w:p>
    <w:p>
      <w:r>
        <w:pict>
          <v:rect style="width:0;height:1.5pt" o:hralign="center" o:hrstd="t" o:hr="t"/>
        </w:pict>
      </w:r>
    </w:p>
    <w:p>
      <w:pPr>
        <w:pStyle w:val="FirstParagraph"/>
      </w:pPr>
      <w:r>
        <w:rPr>
          <w:bCs/>
          <w:b/>
        </w:rPr>
        <w:t xml:space="preserve">Disclaimer:</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2025-09-16T02:00:16Z</dcterms:created>
  <dcterms:modified xsi:type="dcterms:W3CDTF">2025-09-16T02:00:16Z</dcterms:modified>
</cp:coreProperties>
</file>

<file path=docProps/custom.xml><?xml version="1.0" encoding="utf-8"?>
<Properties xmlns="http://schemas.openxmlformats.org/officeDocument/2006/custom-properties" xmlns:vt="http://schemas.openxmlformats.org/officeDocument/2006/docPropsVTypes"/>
</file>