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15:33:03</w:t>
      </w:r>
    </w:p>
    <w:p>
      <w:pPr>
        <w:pStyle w:val="BodyText"/>
      </w:pPr>
      <w:r>
        <w:t xml:space="preserve">Cuenta: Ver18-b</w:t>
      </w:r>
    </w:p>
    <w:p>
      <w:pPr>
        <w:pStyle w:val="BodyText"/>
      </w:pPr>
      <w:r>
        <w:t xml:space="preserve">Usuario: cmhs</w:t>
      </w:r>
    </w:p>
    <w:p>
      <w:pPr>
        <w:pStyle w:val="BodyText"/>
      </w:pPr>
      <w:r>
        <w:t xml:space="preserve">ITEM: Resorte neumático compuesto por un fuelle de caucho vulcanizado reforzado con tejido, placas de acero y un anillo central de acero, para emplearse como componente en el sistema de suspensión de semirremolques o autobuses. El producto está diseñado para absorber impactos e irregularidades del camino y actuar como aislante de vibraciones y como actuador para el ajuste de altura del chasis.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87</w:t>
            </w:r>
          </w:p>
        </w:tc>
        <w:tc>
          <w:p>
            <w:pPr>
              <w:pStyle w:val="Compact"/>
              <w:jc w:val="left"/>
            </w:pPr>
            <w:r>
              <w:t xml:space="preserve">Por la RGI 1 y 3(a), la descripción más específica prevalece sobre las genéricas. El Capítulo 87 abarca vehículos y sus partes y accesorios; las partidas 87.08 (partes de vehículos automóviles) y 87.16 (remolques; sus partes) se alinean con un componente de suspensión para autobuses y semirremolques.</w:t>
            </w:r>
          </w:p>
        </w:tc>
      </w:tr>
      <w:tr>
        <w:tc>
          <w:p>
            <w:pPr>
              <w:pStyle w:val="Compact"/>
              <w:jc w:val="right"/>
            </w:pPr>
            <w:r>
              <w:rPr>
                <w:bCs/>
                <w:b/>
              </w:rPr>
              <w:t xml:space="preserve">40</w:t>
            </w:r>
          </w:p>
        </w:tc>
        <w:tc>
          <w:p>
            <w:pPr>
              <w:pStyle w:val="Compact"/>
              <w:jc w:val="left"/>
            </w:pPr>
            <w:r>
              <w:t xml:space="preserve">Si no es identificable como destinado exclusiva o principalmente a vehículos, podría ubicarse en “las demás manufacturas de caucho vulcanizado” (4016), un cajón de sastre para artículos de caucho. No obstante, conforme a la RGI 3(a), el régimen específico de partes de vehículos del Capítulo 87 prevalece cuando se establece su uso como parte de suspensión.</w:t>
            </w:r>
          </w:p>
        </w:tc>
      </w:tr>
      <w:tr>
        <w:tc>
          <w:p>
            <w:pPr>
              <w:pStyle w:val="Compact"/>
              <w:jc w:val="right"/>
            </w:pPr>
            <w:r>
              <w:rPr>
                <w:bCs/>
                <w:b/>
              </w:rPr>
              <w:t xml:space="preserve">73</w:t>
            </w:r>
          </w:p>
        </w:tc>
        <w:tc>
          <w:p>
            <w:pPr>
              <w:pStyle w:val="Compact"/>
              <w:jc w:val="left"/>
            </w:pPr>
            <w:r>
              <w:t xml:space="preserve">Solo si se tratara como un resorte de acero; la partida 73.20 abarca resortes de hierro o acero. Dado que se trata de un “resorte neumático” compuesto cuyo carácter esencial es el fuelle de caucho vulcanizado, la RGI 3(b) orienta a excluir 73 en favor de la partida que refleje su uso o material principal.</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(RGI 1, Notas explicativas) .</w:t>
      </w:r>
      <w:r>
        <w:t xml:space="preserve"> </w:t>
      </w:r>
      <w:r>
        <w:t xml:space="preserve">• “CUALQUIER REFERENCIA A UNA MATERIA EN UNA PARTIDA DETERMINADA ALCANZA A DICHA MATERIA, INCLUSO MEZCLADA O ASOCIADA CON OTRAS MATERIAS… LA CLASIFICACION DE ESTOS PRODUCTOS MEZCLADOS O DE ESTOS ARTICULOS COMPUESTOS SE EFECTUARA DE ACUERDO CON LOS PRINCIPIOS ENUNCIADOS EN LA REGLA 3.” (RGI 2 b) .</w:t>
      </w:r>
      <w:r>
        <w:t xml:space="preserve"> </w:t>
      </w:r>
      <w:r>
        <w:t xml:space="preserve">• “LA PARTIDA CON DESCRIPCION MAS ESPECIFICA TENDRA PRIORIDAD SOBRE LAS PARTIDAS DE ALCANCE MAS GENERICO…” (RGI 3 a), con notas explicativas que ordenan aplicar primero la especificidad, luego el carácter esencial y, de ser necesario, la última por orden de numeración) .</w:t>
      </w:r>
      <w:r>
        <w:t xml:space="preserve"> </w:t>
      </w:r>
      <w:r>
        <w:t xml:space="preserve">• “La clasificación… debe hacerse según la materia o el artículo que confiera el carácter esencial cuando sea posible determinarlo.” (RGI 3 b), Notas explicativas) .</w:t>
      </w:r>
      <w:r>
        <w:t xml:space="preserve"> </w:t>
      </w:r>
      <w:r>
        <w:t xml:space="preserve">• “Las Reglas 1 a 5… rigen, mutatis mutandis, la clasificación a nivel de subpartidas…” (RGI 6, Notas explicativas) .</w:t>
      </w:r>
    </w:p>
    <w:p>
      <w:pPr>
        <w:numPr>
          <w:ilvl w:val="0"/>
          <w:numId w:val="1001"/>
        </w:numPr>
      </w:pPr>
      <w:r>
        <w:t xml:space="preserve">Capítulo 87 (Vehículos; sus partes y accesorios)</w:t>
      </w:r>
      <w:r>
        <w:t xml:space="preserve"> </w:t>
      </w:r>
      <w:r>
        <w:t xml:space="preserve">• Partida 87.08: “Partes y accesorios de vehículos automóviles de las partidas 87.01 a 87.05.” Subpartida 8708.80: “Sistemas de suspensión y sus partes (incluidos los amortiguadores).” .</w:t>
      </w:r>
      <w:r>
        <w:t xml:space="preserve"> </w:t>
      </w:r>
      <w:r>
        <w:t xml:space="preserve">• Capítulo 87, partida 87.16: “Remolques y semirremolques…; sus partes.” Subpartida 8716.90: “Partes.” .</w:t>
      </w:r>
      <w:r>
        <w:t xml:space="preserve"> </w:t>
      </w:r>
      <w:r>
        <w:t xml:space="preserve">• Nota Explicativa Nacional (NESA) para el Capítulo 87 (resumen): “Para efectos de la partida 87.16, se consideran remolques aquellos vehículos que no son capaces de moverse por sus propios medios…” .</w:t>
      </w:r>
    </w:p>
    <w:p>
      <w:pPr>
        <w:numPr>
          <w:ilvl w:val="0"/>
          <w:numId w:val="1001"/>
        </w:numPr>
      </w:pPr>
      <w:r>
        <w:t xml:space="preserve">Capítulo 40 (Caucho y sus manufacturas)</w:t>
      </w:r>
      <w:r>
        <w:t xml:space="preserve"> </w:t>
      </w:r>
      <w:r>
        <w:t xml:space="preserve">• Notas del Capítulo 40 (resumen): el término caucho incluye el caucho natural y sintético y, salvo disposición en contrario, el capítulo abarca el caucho y sus manufacturas (Nota 1) y enumera ciertas exclusiones (Nota 2) .</w:t>
      </w:r>
      <w:r>
        <w:t xml:space="preserve"> </w:t>
      </w:r>
      <w:r>
        <w:t xml:space="preserve">• Partida 40.16: “Manufacturas de caucho vulcanizado, excepto el caucho endurecido.” Subpartida 4016.95: “Los demás artículos inflables.” Subpartida 4016.99: “Las demás,” incluyendo líneas nacionales como “Elementos para control de vibración…” .</w:t>
      </w:r>
    </w:p>
    <w:p>
      <w:pPr>
        <w:pStyle w:val="FirstParagraph"/>
      </w:pPr>
      <w:r>
        <w:t xml:space="preserve">II. Análisis jurídico-técnico</w:t>
      </w:r>
    </w:p>
    <w:p>
      <w:pPr>
        <w:pStyle w:val="BodyText"/>
      </w:pPr>
      <w:r>
        <w:t xml:space="preserve">Producto descrito: Resorte neumático compuesto por un fuelle de caucho vulcanizado reforzado con tejido, placas de acero y un anillo central de acero, para usarse como componente del sistema de suspensión de semirremolques o autobuses; absorbe impactos y vibraciones y permite el ajuste de altura del chasis.</w:t>
      </w:r>
    </w:p>
    <w:p>
      <w:pPr>
        <w:numPr>
          <w:ilvl w:val="0"/>
          <w:numId w:val="1002"/>
        </w:numPr>
        <w:pStyle w:val="Compact"/>
      </w:pPr>
      <w:r>
        <w:t xml:space="preserve">Selección de capítulo por RGI 1 y texto de partidas</w:t>
      </w:r>
    </w:p>
    <w:p>
      <w:pPr>
        <w:numPr>
          <w:ilvl w:val="0"/>
          <w:numId w:val="1003"/>
        </w:numPr>
        <w:pStyle w:val="Compact"/>
      </w:pPr>
      <w:r>
        <w:t xml:space="preserve">Por función y destino, el artículo es un componente de la suspensión de un vehículo. La partida 87.08 cubre expresamente “Sistemas de suspensión y sus partes (incluidos los amortiguadores)” para vehículos automóviles de 87.01–87.05, lo que incluye autobuses (87.02). Conforme a la RGI 1, esta es una descripción legal precisa de la función y uso de la mercancía.</w:t>
      </w:r>
    </w:p>
    <w:p>
      <w:pPr>
        <w:numPr>
          <w:ilvl w:val="0"/>
          <w:numId w:val="1003"/>
        </w:numPr>
        <w:pStyle w:val="Compact"/>
      </w:pPr>
      <w:r>
        <w:t xml:space="preserve">Únicamente si el artículo es para remolques/semirremolques, la mercancía recae en el Capítulo 87, partida 87.16 (“Remolques y semirremolques…; sus partes”) y subpartida 8716.90 (“Partes”), ya que los remolques son vehículos no autopropulsados según la nota nacional y el texto legal de 87.16.</w:t>
      </w:r>
    </w:p>
    <w:p>
      <w:pPr>
        <w:numPr>
          <w:ilvl w:val="0"/>
          <w:numId w:val="1004"/>
        </w:numPr>
        <w:pStyle w:val="Compact"/>
      </w:pPr>
      <w:r>
        <w:t xml:space="preserve">Selección de subpartida por RGI 6</w:t>
      </w:r>
    </w:p>
    <w:p>
      <w:pPr>
        <w:numPr>
          <w:ilvl w:val="0"/>
          <w:numId w:val="1005"/>
        </w:numPr>
        <w:pStyle w:val="Compact"/>
      </w:pPr>
      <w:r>
        <w:t xml:space="preserve">Dentro de 87.08, la subpartida 8708.80 nombra específicamente “Sistemas de suspensión y sus partes”, la cual es más específica que las líneas residuales “los demás”; por tanto, por la RGI 6 en relación con la RGI 3(a), 8708.80 prevalece para componentes de suspensión de vehículos automóviles de 87.01–87.05 (autobuses).</w:t>
      </w:r>
    </w:p>
    <w:p>
      <w:pPr>
        <w:numPr>
          <w:ilvl w:val="0"/>
          <w:numId w:val="1006"/>
        </w:numPr>
        <w:pStyle w:val="Compact"/>
      </w:pPr>
      <w:r>
        <w:t xml:space="preserve">Análisis de artículo compuesto (caucho + acero)</w:t>
      </w:r>
    </w:p>
    <w:p>
      <w:pPr>
        <w:numPr>
          <w:ilvl w:val="0"/>
          <w:numId w:val="1007"/>
        </w:numPr>
        <w:pStyle w:val="Compact"/>
      </w:pPr>
      <w:r>
        <w:t xml:space="preserve">El resorte neumático es un conjunto compuesto. Conforme a las RGI 2(b) y 3(b), la clasificación de mercancías compuestas procede por la partida que confiere el carácter esencial. Aquí, el carácter esencial deriva de su función como componente de suspensión para vehículos (aislamiento de impactos/vibraciones y control de altura), más que de sus materiales constitutivos, lo que orienta a la partida 87.08 (si es para autobuses) o 87.16 (si es para remolques) en lugar de las disposiciones del Capítulo 40 basadas en el material.</w:t>
      </w:r>
    </w:p>
    <w:p>
      <w:pPr>
        <w:pStyle w:val="FirstParagraph"/>
      </w:pPr>
      <w:r>
        <w:t xml:space="preserve">III. Exclusión de partidas alternativas dentro de los Capítulos 87 y 40</w:t>
      </w:r>
    </w:p>
    <w:p>
      <w:pPr>
        <w:numPr>
          <w:ilvl w:val="0"/>
          <w:numId w:val="1008"/>
        </w:numPr>
        <w:pStyle w:val="Compact"/>
      </w:pPr>
      <w:r>
        <w:t xml:space="preserve">Exclusión de 8708.99 (“Los demás”): Una disposición residual “los demás” en 87.08 es desplazada por la subpartida más específica 8708.80 para “Sistemas de suspensión y sus partes”, conforme a la RGI 3(a).</w:t>
      </w:r>
    </w:p>
    <w:p>
      <w:pPr>
        <w:numPr>
          <w:ilvl w:val="0"/>
          <w:numId w:val="1008"/>
        </w:numPr>
        <w:pStyle w:val="Compact"/>
      </w:pPr>
      <w:r>
        <w:t xml:space="preserve">Exclusión de 8716.90 (“Partes”) cuando la mercancía es para autobuses: La partida 87.16 abarca remolques y sus partes; no abarca autobuses. Para partes de autobuses (vehículos de 87.02), la partida 87.08 es la disposición legal específica que nombra sistemas de suspensión y partes. Bajo la RGI 3(a), una descripción específica (8708.80) prevalece sobre una disposición genérica de “partes” de otra partida (8716.90). Por tanto, 8716.90 solo aplica cuando el artículo es apto para su uso exclusiva o principalmente con remolques/semirremolques; en ausencia de esa condición, se descarta en favor de 8708.80.</w:t>
      </w:r>
    </w:p>
    <w:p>
      <w:pPr>
        <w:numPr>
          <w:ilvl w:val="0"/>
          <w:numId w:val="1008"/>
        </w:numPr>
        <w:pStyle w:val="Compact"/>
      </w:pPr>
      <w:r>
        <w:t xml:space="preserve">Exclusión de 4016.95 (“Los demás artículos inflables”) y 4016.99 (“Las demás”): Aunque el fuelle se infla y es de caucho vulcanizado, el Capítulo 40 es material-centrista y residual para artículos de caucho. Dado que existe una partida que nombra “sistemas de suspensión y partes” en el Capítulo 87, las RGI 1 y 3(a) exigen preferir la disposición más específica basada en función/destino (8708.80) sobre las partidas genéricas de artículos de caucho (4016.95/4016.99). Incluso líneas nacionales listan genéricamente “Elementos para control de vibración” en 4016.99, lo que evidencia su carácter residual; esto no desplaza la disposición específica de partes de suspensión cuando la mercancía es identificable como tal para vehículos de 87.01–87.05.</w:t>
      </w:r>
    </w:p>
    <w:p>
      <w:pPr>
        <w:pStyle w:val="FirstParagraph"/>
      </w:pPr>
      <w:r>
        <w:t xml:space="preserve">Nota importante sobre descartar 8716.90: La clasificación final no es 8716.90 cuando el resorte neumático es para autobuses (vehículos automóviles de 87.02) porque la partida 87.08 cubre específica y expresamente “sistemas de suspensión y sus partes”, que es una descripción legal más precisa que “partes” de remolques en 87.16.90; la RGI 3(a) manda que prevalezca la descripción más específica. Solo cuando el artículo sea para remolques/semirremolques debe seleccionarse 8716.90.</w:t>
      </w:r>
    </w:p>
    <w:p>
      <w:pPr>
        <w:pStyle w:val="BodyText"/>
      </w:pPr>
      <w:r>
        <w:t xml:space="preserve">IV. Requisitos documentales para el importador</w:t>
      </w:r>
    </w:p>
    <w:p>
      <w:pPr>
        <w:pStyle w:val="BodyText"/>
      </w:pPr>
      <w:r>
        <w:t xml:space="preserve">Para sustentar el uso exclusivo o principal y la identificación como componente de suspensión:</w:t>
      </w:r>
    </w:p>
    <w:p>
      <w:pPr>
        <w:numPr>
          <w:ilvl w:val="0"/>
          <w:numId w:val="1009"/>
        </w:numPr>
        <w:pStyle w:val="Compact"/>
      </w:pPr>
      <w:r>
        <w:t xml:space="preserve">Ficha técnica y planos de ingeniería que especifiquen la función como resorte neumático para suspensión, construcción (fuelle de caucho con refuerzo textil, placas/anillo de acero), dimensiones, presión de operación y carrera.</w:t>
      </w:r>
    </w:p>
    <w:p>
      <w:pPr>
        <w:numPr>
          <w:ilvl w:val="0"/>
          <w:numId w:val="1009"/>
        </w:numPr>
        <w:pStyle w:val="Compact"/>
      </w:pPr>
      <w:r>
        <w:t xml:space="preserve">Lista de aplicaciones o números de parte OEM/aftermarket que vinculen el modelo a chasises de autobús (87.02) y/o modelos de remolque/semirremolque (87.16); manual de instalación que indique el tipo de vehículo.</w:t>
      </w:r>
    </w:p>
    <w:p>
      <w:pPr>
        <w:numPr>
          <w:ilvl w:val="0"/>
          <w:numId w:val="1009"/>
        </w:numPr>
        <w:pStyle w:val="Compact"/>
      </w:pPr>
      <w:r>
        <w:t xml:space="preserve">Fotografías del artículo y sus interfaces de montaje; empaque/etiquetado indicando el vehículo objetivo.</w:t>
      </w:r>
    </w:p>
    <w:p>
      <w:pPr>
        <w:numPr>
          <w:ilvl w:val="0"/>
          <w:numId w:val="1009"/>
        </w:numPr>
        <w:pStyle w:val="Compact"/>
      </w:pPr>
      <w:r>
        <w:t xml:space="preserve">Evidencia que respalde el uso principal (registros de ventas por aplicación, cruces de catálogo).</w:t>
      </w:r>
      <w:r>
        <w:t xml:space="preserve"> </w:t>
      </w:r>
      <w:r>
        <w:t xml:space="preserve">Estos documentos respaldan la aplicación de las RGI 1, 3(a), 3(b) y la selección entre subpartidas conforme a la RGI 6.</w:t>
      </w:r>
    </w:p>
    <w:p>
      <w:pPr>
        <w:pStyle w:val="FirstParagraph"/>
      </w:pPr>
      <w:r>
        <w:t xml:space="preserve">V. Conclusión</w:t>
      </w:r>
    </w:p>
    <w:p>
      <w:pPr>
        <w:numPr>
          <w:ilvl w:val="0"/>
          <w:numId w:val="1010"/>
        </w:numPr>
        <w:pStyle w:val="Compact"/>
      </w:pPr>
      <w:r>
        <w:t xml:space="preserve">Determinación condicionada</w:t>
      </w:r>
    </w:p>
    <w:p>
      <w:pPr>
        <w:pStyle w:val="FirstParagraph"/>
      </w:pPr>
      <w:r>
        <w:t xml:space="preserve">Opción A (si el artículo es para vehículos automóviles de 87.01–87.05, p. ej., autobuses 87.02, y es identificable como componente de suspensión)</w:t>
      </w:r>
      <w:r>
        <w:t xml:space="preserve"> </w:t>
      </w:r>
      <w:r>
        <w:t xml:space="preserve">• Fundamento legal: partida 87.08; subpartida “Sistemas de suspensión y sus partes” (RGI 1, RGI 6) .</w:t>
      </w:r>
      <w:r>
        <w:t xml:space="preserve"> </w:t>
      </w:r>
      <w:r>
        <w:t xml:space="preserve">• Cuadro de clasificación:</w:t>
      </w:r>
    </w:p>
    <w:p>
      <w:pPr>
        <w:numPr>
          <w:ilvl w:val="0"/>
          <w:numId w:val="1011"/>
        </w:numPr>
        <w:pStyle w:val="Compact"/>
      </w:pPr>
      <w:r>
        <w:t xml:space="preserve">Capítulo: 87</w:t>
      </w:r>
    </w:p>
    <w:p>
      <w:pPr>
        <w:numPr>
          <w:ilvl w:val="0"/>
          <w:numId w:val="1011"/>
        </w:numPr>
        <w:pStyle w:val="Compact"/>
      </w:pPr>
      <w:r>
        <w:t xml:space="preserve">Partida: 8708</w:t>
      </w:r>
    </w:p>
    <w:p>
      <w:pPr>
        <w:numPr>
          <w:ilvl w:val="0"/>
          <w:numId w:val="1011"/>
        </w:numPr>
        <w:pStyle w:val="Compact"/>
      </w:pPr>
      <w:r>
        <w:t xml:space="preserve">Subpartida (propuesta): 8708.80</w:t>
      </w:r>
    </w:p>
    <w:p>
      <w:pPr>
        <w:numPr>
          <w:ilvl w:val="0"/>
          <w:numId w:val="1011"/>
        </w:numPr>
        <w:pStyle w:val="Compact"/>
      </w:pPr>
      <w:r>
        <w:t xml:space="preserve">Subdivisión nacional (Fracción): Por determinar conforme a la línea nacional específica</w:t>
      </w:r>
    </w:p>
    <w:p>
      <w:pPr>
        <w:numPr>
          <w:ilvl w:val="0"/>
          <w:numId w:val="1011"/>
        </w:numPr>
        <w:pStyle w:val="Compact"/>
      </w:pPr>
      <w:r>
        <w:t xml:space="preserve">NICO: Por determinar</w:t>
      </w:r>
    </w:p>
    <w:p>
      <w:pPr>
        <w:pStyle w:val="FirstParagraph"/>
      </w:pPr>
      <w:r>
        <w:t xml:space="preserve">Opción B (si el artículo es para remolques/semirremolques de la partida 87.16, apto para su uso exclusiva o principalmente con ellos)</w:t>
      </w:r>
      <w:r>
        <w:t xml:space="preserve"> </w:t>
      </w:r>
      <w:r>
        <w:t xml:space="preserve">• Fundamento legal: partida 87.16; subpartida “Partes” (RGI 1, RGI 6) .</w:t>
      </w:r>
      <w:r>
        <w:t xml:space="preserve"> </w:t>
      </w:r>
      <w:r>
        <w:t xml:space="preserve">• Cuadro de clasificación:</w:t>
      </w:r>
    </w:p>
    <w:p>
      <w:pPr>
        <w:numPr>
          <w:ilvl w:val="0"/>
          <w:numId w:val="1012"/>
        </w:numPr>
        <w:pStyle w:val="Compact"/>
      </w:pPr>
      <w:r>
        <w:t xml:space="preserve">Capítulo: 87</w:t>
      </w:r>
    </w:p>
    <w:p>
      <w:pPr>
        <w:numPr>
          <w:ilvl w:val="0"/>
          <w:numId w:val="1012"/>
        </w:numPr>
        <w:pStyle w:val="Compact"/>
      </w:pPr>
      <w:r>
        <w:t xml:space="preserve">Partida: 8716</w:t>
      </w:r>
    </w:p>
    <w:p>
      <w:pPr>
        <w:numPr>
          <w:ilvl w:val="0"/>
          <w:numId w:val="1012"/>
        </w:numPr>
        <w:pStyle w:val="Compact"/>
      </w:pPr>
      <w:r>
        <w:t xml:space="preserve">Subpartida (propuesta): 8716.90</w:t>
      </w:r>
    </w:p>
    <w:p>
      <w:pPr>
        <w:numPr>
          <w:ilvl w:val="0"/>
          <w:numId w:val="1012"/>
        </w:numPr>
        <w:pStyle w:val="Compact"/>
      </w:pPr>
      <w:r>
        <w:t xml:space="preserve">Subdivisión nacional (Fracción): Por determinar conforme a la línea nacional específica</w:t>
      </w:r>
    </w:p>
    <w:p>
      <w:pPr>
        <w:numPr>
          <w:ilvl w:val="0"/>
          <w:numId w:val="1012"/>
        </w:numPr>
        <w:pStyle w:val="Compact"/>
      </w:pPr>
      <w:r>
        <w:t xml:space="preserve">NICO: Por determinar</w:t>
      </w:r>
    </w:p>
    <w:p>
      <w:pPr>
        <w:pStyle w:val="FirstParagraph"/>
      </w:pPr>
      <w:r>
        <w:t xml:space="preserve">Opción C (solo si no es identificable como parte de vehículo de la Sección 87 y se presenta como artículo genérico de caucho)</w:t>
      </w:r>
      <w:r>
        <w:t xml:space="preserve"> </w:t>
      </w:r>
      <w:r>
        <w:t xml:space="preserve">• Fundamento legal: partida 40.16; subpartida “Las demás” para las demás manufacturas de caucho vulcanizado (RGI 1, RGI 3(a)) .</w:t>
      </w:r>
      <w:r>
        <w:t xml:space="preserve"> </w:t>
      </w:r>
      <w:r>
        <w:t xml:space="preserve">• Cuadro de clasificación:</w:t>
      </w:r>
    </w:p>
    <w:p>
      <w:pPr>
        <w:numPr>
          <w:ilvl w:val="0"/>
          <w:numId w:val="1013"/>
        </w:numPr>
        <w:pStyle w:val="Compact"/>
      </w:pPr>
      <w:r>
        <w:t xml:space="preserve">Capítulo: 40</w:t>
      </w:r>
    </w:p>
    <w:p>
      <w:pPr>
        <w:numPr>
          <w:ilvl w:val="0"/>
          <w:numId w:val="1013"/>
        </w:numPr>
        <w:pStyle w:val="Compact"/>
      </w:pPr>
      <w:r>
        <w:t xml:space="preserve">Partida: 4016</w:t>
      </w:r>
    </w:p>
    <w:p>
      <w:pPr>
        <w:numPr>
          <w:ilvl w:val="0"/>
          <w:numId w:val="1013"/>
        </w:numPr>
        <w:pStyle w:val="Compact"/>
      </w:pPr>
      <w:r>
        <w:t xml:space="preserve">Subpartida (propuesta): 4016.99</w:t>
      </w:r>
    </w:p>
    <w:p>
      <w:pPr>
        <w:numPr>
          <w:ilvl w:val="0"/>
          <w:numId w:val="1013"/>
        </w:numPr>
        <w:pStyle w:val="Compact"/>
      </w:pPr>
      <w:r>
        <w:t xml:space="preserve">Subdivisión nacional (Fracción): Por determinar conforme a la línea nacional específica</w:t>
      </w:r>
    </w:p>
    <w:p>
      <w:pPr>
        <w:numPr>
          <w:ilvl w:val="0"/>
          <w:numId w:val="1013"/>
        </w:numPr>
        <w:pStyle w:val="Compact"/>
      </w:pPr>
      <w:r>
        <w:t xml:space="preserve">NICO: Por determinar</w:t>
      </w:r>
    </w:p>
    <w:p>
      <w:pPr>
        <w:pStyle w:val="FirstParagraph"/>
      </w:pPr>
      <w:r>
        <w:t xml:space="preserve">CRITERIOS FALTANTES:</w:t>
      </w:r>
    </w:p>
    <w:p>
      <w:pPr>
        <w:numPr>
          <w:ilvl w:val="0"/>
          <w:numId w:val="1014"/>
        </w:numPr>
        <w:pStyle w:val="Compact"/>
      </w:pPr>
      <w:r>
        <w:t xml:space="preserve">Identificación definitiva del(los) tipo(s) de vehículo para los cuales el resorte neumático está diseñado y se comercializa (autobús de 87.02 vs remolque/semirremolque de 87.16).</w:t>
      </w:r>
    </w:p>
    <w:p>
      <w:pPr>
        <w:numPr>
          <w:ilvl w:val="0"/>
          <w:numId w:val="1014"/>
        </w:numPr>
        <w:pStyle w:val="Compact"/>
      </w:pPr>
      <w:r>
        <w:t xml:space="preserve">Evidencia del uso exclusivo o principal (listas de aplicaciones, N/P de OEM, manuales de instalación).</w:t>
      </w:r>
    </w:p>
    <w:p>
      <w:pPr>
        <w:numPr>
          <w:ilvl w:val="0"/>
          <w:numId w:val="1014"/>
        </w:numPr>
        <w:pStyle w:val="Compact"/>
      </w:pPr>
      <w:r>
        <w:t xml:space="preserve">Especificaciones e interfaces de montaje que indiquen la familia de vehículo (chasis de vehículo automotor vs bogie de remolque).</w:t>
      </w:r>
    </w:p>
    <w:p>
      <w:pPr>
        <w:numPr>
          <w:ilvl w:val="0"/>
          <w:numId w:val="1014"/>
        </w:numPr>
        <w:pStyle w:val="Compact"/>
      </w:pPr>
      <w:r>
        <w:t xml:space="preserve">Cualesquiera marcas/etiquetas/referencias de catálogo que vinculen el modelo con autobuses o remolques.</w:t>
      </w:r>
    </w:p>
    <w:p>
      <w:pPr>
        <w:pStyle w:val="FirstParagraph"/>
      </w:pPr>
      <w:r>
        <w:t xml:space="preserve">Resolution</w:t>
      </w:r>
      <w:r>
        <w:t xml:space="preserve"> </w:t>
      </w:r>
      <w:r>
        <w:t xml:space="preserve">Sujeto a la evidencia documental, la subpartida más específica por función es:</w:t>
      </w:r>
    </w:p>
    <w:p>
      <w:pPr>
        <w:numPr>
          <w:ilvl w:val="0"/>
          <w:numId w:val="1015"/>
        </w:numPr>
        <w:pStyle w:val="Compact"/>
      </w:pPr>
      <w:r>
        <w:t xml:space="preserve">Para autobuses (vehículos automóviles 87.01–87.05): 8708.80 (Sistemas de suspensión y sus partes) .</w:t>
      </w:r>
    </w:p>
    <w:p>
      <w:pPr>
        <w:numPr>
          <w:ilvl w:val="0"/>
          <w:numId w:val="1015"/>
        </w:numPr>
        <w:pStyle w:val="Compact"/>
      </w:pPr>
      <w:r>
        <w:t xml:space="preserve">Para remolques/semirremolques: 8716.90 (Partes) .</w:t>
      </w:r>
    </w:p>
    <w:p>
      <w:pPr>
        <w:numPr>
          <w:ilvl w:val="0"/>
          <w:numId w:val="1015"/>
        </w:numPr>
        <w:pStyle w:val="Compact"/>
      </w:pPr>
      <w:r>
        <w:t xml:space="preserve">A falta de identificación como parte de vehículo, artículo de caucho residual: 4016.99 (Las demás) .</w:t>
      </w:r>
    </w:p>
    <w:p>
      <w:pPr>
        <w:pStyle w:val="FirstParagraph"/>
      </w:pPr>
      <w:r>
        <w:t xml:space="preserve">La subpartida debe seleccionarse conforme a las RGI 1, 3(a), 3(b) y 6, priorizando el texto legal más específico y el carácter esencial del artículo como componente de suspensión.</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87.16.90 no se menciona en los anexos de la LIGIE.</w:t>
      </w:r>
    </w:p>
    <w:p>
      <w:pPr>
        <w:pStyle w:val="BodyText"/>
      </w:pPr>
      <w:r>
        <w:t xml:space="preserve">El código 87.16.90 no se menciona en el DOF en el período 15/07/2025 al 30/08/2025.</w:t>
      </w:r>
    </w:p>
    <w:bookmarkEnd w:id="23"/>
    <w:bookmarkStart w:id="24" w:name="documentación-consultada"/>
    <w:p>
      <w:pPr>
        <w:pStyle w:val="Heading3"/>
      </w:pPr>
      <w:r>
        <w:t xml:space="preserve">Documentación consultada</w:t>
      </w:r>
    </w:p>
    <w:p>
      <w:pPr>
        <w:numPr>
          <w:ilvl w:val="0"/>
          <w:numId w:val="1016"/>
        </w:numPr>
        <w:pStyle w:val="Compact"/>
      </w:pPr>
      <w:r>
        <w:t xml:space="preserve">Referencias: Ley de los Impuestos Generales de Importación y de Exportación</w:t>
      </w:r>
    </w:p>
    <w:p>
      <w:pPr>
        <w:numPr>
          <w:ilvl w:val="0"/>
          <w:numId w:val="1016"/>
        </w:numPr>
        <w:pStyle w:val="Compact"/>
      </w:pPr>
      <w:r>
        <w:t xml:space="preserve">Versión LIGIE: 7ma Enmienda del Sistema Armonizado</w:t>
      </w:r>
    </w:p>
    <w:p>
      <w:pPr>
        <w:numPr>
          <w:ilvl w:val="0"/>
          <w:numId w:val="1016"/>
        </w:numPr>
        <w:pStyle w:val="Compact"/>
      </w:pPr>
      <w:r>
        <w:t xml:space="preserve">Archivo: LIGIE-UNIFICADA-LIGIE_20250728-20250728.pdf</w:t>
      </w:r>
    </w:p>
    <w:p>
      <w:pPr>
        <w:numPr>
          <w:ilvl w:val="0"/>
          <w:numId w:val="1016"/>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2025-09-16T02:00:19Z</dcterms:created>
  <dcterms:modified xsi:type="dcterms:W3CDTF">2025-09-16T02:00:19Z</dcterms:modified>
</cp:coreProperties>
</file>

<file path=docProps/custom.xml><?xml version="1.0" encoding="utf-8"?>
<Properties xmlns="http://schemas.openxmlformats.org/officeDocument/2006/custom-properties" xmlns:vt="http://schemas.openxmlformats.org/officeDocument/2006/docPropsVTypes"/>
</file>