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15:09:52</w:t>
      </w:r>
    </w:p>
    <w:p>
      <w:pPr>
        <w:pStyle w:val="BodyText"/>
      </w:pPr>
      <w:r>
        <w:t xml:space="preserve">Cuenta: Ver18-b</w:t>
      </w:r>
    </w:p>
    <w:p>
      <w:pPr>
        <w:pStyle w:val="BodyText"/>
      </w:pPr>
      <w:r>
        <w:t xml:space="preserve">Usuario: cmhs</w:t>
      </w:r>
    </w:p>
    <w:p>
      <w:pPr>
        <w:pStyle w:val="BodyText"/>
      </w:pPr>
      <w:r>
        <w:t xml:space="preserve">ITEM: Vehículo de transferencia de material asfáltico, que es una máquina autopropulsada, compuesta principalmente por una tolva receptora, una tolva intermedia con un sinfín mezclador de tres vías y transportadores. El producto también incorpora un compartimento de motor, una posición para el operador y ruedas. Está diseñado para evitar la segregación térmica y de material de una mezcla asfáltica ya preparada durante la transferencia desde un camión de volteo hacia una pavimentadora de asfalto durante el tendido continuo.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87</w:t>
            </w:r>
          </w:p>
        </w:tc>
        <w:tc>
          <w:p>
            <w:pPr>
              <w:pStyle w:val="Compact"/>
              <w:jc w:val="left"/>
            </w:pPr>
            <w:r>
              <w:t xml:space="preserve">Máquina autopropulsada con ruedas, con motor y puesto del operador, diseñada para realizar una tarea especial (transferencia/control de temperatura/mezcla de asfalto) y no para transporte. La partida 87.05 abarca vehículos automóviles para usos especiales (p. ej., camiones hormigonera, esparcidores), análoga a este vehículo de transferencia de material asfáltico; aplicar RGI 1 y preferir el texto específico conforme a la RGI 3(a) . Las Notas Nacionales 7–8 confirman que los vehículos equipados permanentemente con dispositivos con función propia se clasifican en 87.05, no en 87.04 para transporte de mercancías .</w:t>
            </w:r>
          </w:p>
        </w:tc>
      </w:tr>
      <w:tr>
        <w:tc>
          <w:p>
            <w:pPr>
              <w:pStyle w:val="Compact"/>
              <w:jc w:val="right"/>
            </w:pPr>
            <w:r>
              <w:rPr>
                <w:bCs/>
                <w:b/>
              </w:rPr>
              <w:t xml:space="preserve">84</w:t>
            </w:r>
          </w:p>
        </w:tc>
        <w:tc>
          <w:p>
            <w:pPr>
              <w:pStyle w:val="Compact"/>
              <w:jc w:val="left"/>
            </w:pPr>
            <w:r>
              <w:t xml:space="preserve">Si no se considera vehículo automóvil, podría verse como maquinaria de manipulación (84.28 transportadores) o maquinaria de mezcla para materia mineral (84.74), o residualmente 84.79; sin embargo, estas son menos específicas que 87.05 para un vehículo autopropulsado de uso especial, por lo que la RGI 3(a) remite a Capítulo 87 .</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“Los títulos de las Secciones, de los Capítulos o de los Subcapítulos solo tienen un valor indicativo, ya que la clasificación está determinada legalmente por los textos de las partidas y de las Notas de Sección o de Capítulo…” (Regla 1, Notas explicativas) .</w:t>
      </w:r>
      <w:r>
        <w:t xml:space="preserve"> </w:t>
      </w:r>
      <w:r>
        <w:t xml:space="preserve">• “La partida con descripción más específica tendrá prioridad sobre las partidas de alcance más genérico… [y] la Regla 3 b) … se clasificarán según la materia o con el artículo que les confiera su carácter esencial…” (Regla 3, Notas explicativas) .</w:t>
      </w:r>
      <w:r>
        <w:t xml:space="preserve"> </w:t>
      </w:r>
      <w:r>
        <w:t xml:space="preserve">• “Las Reglas 1 a 5… rigen, mutatis mutandis, la clasificación a nivel de subpartidas…” (Regla 6, Notas explicativas) .</w:t>
      </w:r>
    </w:p>
    <w:p>
      <w:pPr>
        <w:numPr>
          <w:ilvl w:val="0"/>
          <w:numId w:val="1001"/>
        </w:numPr>
      </w:pPr>
      <w:r>
        <w:t xml:space="preserve">Notas y NESA aplicables (Capítulos 84 y 87)</w:t>
      </w:r>
      <w:r>
        <w:t xml:space="preserve"> </w:t>
      </w:r>
      <w:r>
        <w:t xml:space="preserve">• Capítulo 84 (NESA): “Salvo disposición en contrario y sin perjuicio de lo dispuesto en la Nota 2 anterior, así como en la Nota 3 de la Sección XVI, las máquinas que tengan múltiples utilizaciones se clasifican en la partida que corresponda a su utilización principal. Cuando no exista tal partida o no sea posible determinar la utilización principal, se clasifican en la partida 84.79.” .</w:t>
      </w:r>
      <w:r>
        <w:t xml:space="preserve"> </w:t>
      </w:r>
      <w:r>
        <w:t xml:space="preserve">• Capítulo 87, Notas Nacionales: “Para efectos de la partida 87.04… si [el vehículo] tiene alguna función propia o adicional, el medio de transporte se considerará como un vehículo automóvil para uso especial de la partida 87.05.” (Nota 7) . “Para efectos de la partida 87.05, se entiende como ‘vehículos automóviles para usos especiales’ a aquellos vehículos… equipados permanentemente… con artefactos para realizar tareas especiales, distintas a la del transporte de personas o mercancías.” (Nota 8) .</w:t>
      </w:r>
    </w:p>
    <w:p>
      <w:pPr>
        <w:numPr>
          <w:ilvl w:val="0"/>
          <w:numId w:val="1001"/>
        </w:numPr>
      </w:pPr>
      <w:r>
        <w:t xml:space="preserve">Textos de partidas relevantes</w:t>
      </w:r>
      <w:r>
        <w:t xml:space="preserve"> </w:t>
      </w:r>
      <w:r>
        <w:t xml:space="preserve">• 84.28: “Las demás máquinas y aparatos de elevación, carga, descarga o manipulación (por ejemplo… transportadores…)” .</w:t>
      </w:r>
      <w:r>
        <w:t xml:space="preserve"> </w:t>
      </w:r>
      <w:r>
        <w:t xml:space="preserve">• 84.29: máquinas de movimiento de tierras y análogas, “autopropulsadas” (buldóceres, excavadoras, compactadoras, etc.) .</w:t>
      </w:r>
      <w:r>
        <w:t xml:space="preserve"> </w:t>
      </w:r>
      <w:r>
        <w:t xml:space="preserve">• 84.30: “Las demás máquinas… para… explanar, nivelar, traillar (‘scraping’), excavar, compactar, apisonar… extraer o perforar tierra o minerales…” .</w:t>
      </w:r>
      <w:r>
        <w:t xml:space="preserve"> </w:t>
      </w:r>
      <w:r>
        <w:t xml:space="preserve">• 84.79: “Máquinas y aparatos mecánicos con función propia, no expresados ni comprendidos en otra parte de este Capítulo.” Subpartida 8479.10: “Máquinas y aparatos para obras públicas, la construcción o trabajos análogos.” Incluye, a nivel nacional, equipos viales tales como “esparcidoras de asfalto autopropulsadas…” .</w:t>
      </w:r>
      <w:r>
        <w:t xml:space="preserve"> </w:t>
      </w:r>
      <w:r>
        <w:t xml:space="preserve">• 87.05: “Vehículos automóviles para usos especiales… (por ejemplo… camiones hormigonera, coches esparcidores…)” .</w:t>
      </w:r>
      <w:r>
        <w:t xml:space="preserve"> </w:t>
      </w:r>
      <w:r>
        <w:t xml:space="preserve">• 87.09: “Carretillas automóvil… de los tipos utilizados en fábricas, almacenes, puertos o aeropuertos, para transporte de mercancías a corta distancia…” .</w:t>
      </w:r>
    </w:p>
    <w:p>
      <w:pPr>
        <w:pStyle w:val="FirstParagraph"/>
      </w:pPr>
      <w:r>
        <w:t xml:space="preserve">II. Análisis jurídico-técnico</w:t>
      </w:r>
      <w:r>
        <w:t xml:space="preserve"> </w:t>
      </w:r>
      <w:r>
        <w:t xml:space="preserve">Objeto: “Vehículo de transferencia de material asfáltico” (MTV) autopropulsado, con tolva receptora, tolva intermedia con sinfín mezclador de tres vías y transportadores; con motor, puesto del operador y ruedas; diseñado para evitar la segregación térmica y de material en la mezcla asfáltica al transferirla del camión a la pavimentadora durante el tendido continuo.</w:t>
      </w:r>
    </w:p>
    <w:p>
      <w:pPr>
        <w:numPr>
          <w:ilvl w:val="0"/>
          <w:numId w:val="1002"/>
        </w:numPr>
        <w:pStyle w:val="Compact"/>
      </w:pPr>
      <w:r>
        <w:t xml:space="preserve">Capítulo aplicable</w:t>
      </w:r>
    </w:p>
    <w:p>
      <w:pPr>
        <w:numPr>
          <w:ilvl w:val="0"/>
          <w:numId w:val="1003"/>
        </w:numPr>
        <w:pStyle w:val="Compact"/>
      </w:pPr>
      <w:r>
        <w:t xml:space="preserve">Por RGI 1, se atiende al texto de las partidas y Notas. El bien es una “máquina” autopropulsada que efectúa funciones técnicas específicas en obras viales (recepción, mezcla/homogeneizado y transferencia continua de mezcla asfáltica). El Capítulo 84 regula “máquinas” y, además, incluye múltiples máquinas viales autopropulsadas (v.gr., 84.29 “autopropulsadas”) , por lo que la sola autopropulsión no desplaza la clasificación al Capítulo 87. Se confirma Capítulo 84.</w:t>
      </w:r>
    </w:p>
    <w:p>
      <w:pPr>
        <w:numPr>
          <w:ilvl w:val="0"/>
          <w:numId w:val="1004"/>
        </w:numPr>
        <w:pStyle w:val="Compact"/>
      </w:pPr>
      <w:r>
        <w:t xml:space="preserve">Partida</w:t>
      </w:r>
    </w:p>
    <w:p>
      <w:pPr>
        <w:numPr>
          <w:ilvl w:val="0"/>
          <w:numId w:val="1005"/>
        </w:numPr>
        <w:pStyle w:val="Compact"/>
      </w:pPr>
      <w:r>
        <w:t xml:space="preserve">84.28 (manipulación/carga/transportadores): el MTV incorpora transportadores; no obstante, su finalidad principal en obras viales es estabilizar térmica y mecánicamente la mezcla y asegurar un flujo continuo y homogéneo hacia la pavimentadora. La NESA del Cap. 84 ordena clasificar máquinas de múltiples utilizaciones por su utilización principal; si no hay partida específica, en 84.79 (función propia) .</w:t>
      </w:r>
    </w:p>
    <w:p>
      <w:pPr>
        <w:numPr>
          <w:ilvl w:val="0"/>
          <w:numId w:val="1005"/>
        </w:numPr>
        <w:pStyle w:val="Compact"/>
      </w:pPr>
      <w:r>
        <w:t xml:space="preserve">84.29 y 84.30: no resultan aplicables pues sus textos se ciñen al movimiento de tierras, excavación, compactación, perforación y labores similares, no a la transferencia/mezcla de asfalto en caliente ni a asegurar su homogeneidad durante el tendido .</w:t>
      </w:r>
    </w:p>
    <w:p>
      <w:pPr>
        <w:numPr>
          <w:ilvl w:val="0"/>
          <w:numId w:val="1005"/>
        </w:numPr>
        <w:pStyle w:val="Compact"/>
      </w:pPr>
      <w:r>
        <w:t xml:space="preserve">84.79: texto residual específico para “máquinas… con función propia, no expresadas… en otra parte” (RGI 1). Dado que ninguna partida previa del Cap. 84 describe de manera más precisa un equipo de transferencia y acondicionamiento de mezcla asfáltica para “obras públicas” (pavimentación), procede 84.79 por función propia. Dentro de 84.79, la subpartida 8479.10 comprende expresamente máquinas “para obras públicas, la construcción o trabajos análogos”, donde se ubican, entre otros, equipos viales para manejo de mezcla asfáltica (p. ej., esparcidoras de asfalto) .</w:t>
      </w:r>
    </w:p>
    <w:p>
      <w:pPr>
        <w:numPr>
          <w:ilvl w:val="0"/>
          <w:numId w:val="1006"/>
        </w:numPr>
        <w:pStyle w:val="Compact"/>
      </w:pPr>
      <w:r>
        <w:t xml:space="preserve">Subpartida</w:t>
      </w:r>
    </w:p>
    <w:p>
      <w:pPr>
        <w:numPr>
          <w:ilvl w:val="0"/>
          <w:numId w:val="1007"/>
        </w:numPr>
        <w:pStyle w:val="Compact"/>
      </w:pPr>
      <w:r>
        <w:t xml:space="preserve">Aplicando RGI 6, se selecciona la subpartida por su texto: 8479.10 “Máquinas y aparatos para obras públicas, la construcción o trabajos análogos.” El MTV es un equipo especializado e indispensable del proceso de pavimentación en obra pública, diseñado para asegurar calidad/continuidad de la mezcla durante el tendido. Se encuadra en 8479.10 por su destino y función dentro de las obras viales .</w:t>
      </w:r>
    </w:p>
    <w:p>
      <w:pPr>
        <w:pStyle w:val="FirstParagraph"/>
      </w:pPr>
      <w:r>
        <w:t xml:space="preserve">III. Exclusión de partidas o capítulos alternativos</w:t>
      </w:r>
    </w:p>
    <w:p>
      <w:pPr>
        <w:numPr>
          <w:ilvl w:val="0"/>
          <w:numId w:val="1008"/>
        </w:numPr>
        <w:pStyle w:val="Compact"/>
      </w:pPr>
      <w:r>
        <w:t xml:space="preserve">84.28 (transportadores): aunque el MTV incorpora transportadores, la partida 84.28 describe genéricamente elevación/manipulación; el MTV realiza, además, acondicionamiento térmico y remezclado para una finalidad propia de “obras públicas” (pavimentación). Conforme a RGI 3 a), la subpartida 8479.10, que identifica “máquinas… para obras públicas”, es más específica que la genérica 84.28; y conforme a la NESA del Cap. 84, la clasificación se determina por su utilización principal y, de no existir partida específica, en 84.79 (función propia) .</w:t>
      </w:r>
    </w:p>
    <w:p>
      <w:pPr>
        <w:numPr>
          <w:ilvl w:val="0"/>
          <w:numId w:val="1008"/>
        </w:numPr>
        <w:pStyle w:val="Compact"/>
      </w:pPr>
      <w:r>
        <w:t xml:space="preserve">84.29/84.30: sus textos se refieren a buldóceres, excavadoras, compactadoras y a máquinas de explanación, nivelación, perforación y similares, no a transferencia/mezcla de asfalto; por RGI 1, no corresponden .</w:t>
      </w:r>
    </w:p>
    <w:p>
      <w:pPr>
        <w:numPr>
          <w:ilvl w:val="0"/>
          <w:numId w:val="1008"/>
        </w:numPr>
        <w:pStyle w:val="Compact"/>
      </w:pPr>
      <w:r>
        <w:t xml:space="preserve">87.05 (vehículos para usos especiales): el MTV es una “máquina” autopropulsada de obra, no un vehículo automotor de carretera tipo “camión/coches” del tenor de 87.05; además, el propio Capítulo 84 aloja numerosas máquinas viales autopropulsadas (v.gr., 84.29, y dentro de 8479.10 las “esparcidoras de asfalto autopropulsadas”), lo que evidencia que la autopropulsión no traslada per se al Cap. 87. En términos de RGI 3 a), la descripción “máquinas… para obras públicas” (8479.10) resulta más específica para el MTV que “vehículos automóviles para usos especiales” (87.05) . Las Notas Nacionales 7 y 8 del Cap. 87 se refieren a medios de transporte (87.04) que, por tener una función adicional, pasan a 87.05; no es el caso de una máquina de obra cuya función principal no es transportar personas o mercancías .</w:t>
      </w:r>
    </w:p>
    <w:p>
      <w:pPr>
        <w:numPr>
          <w:ilvl w:val="0"/>
          <w:numId w:val="1008"/>
        </w:numPr>
        <w:pStyle w:val="Compact"/>
      </w:pPr>
      <w:r>
        <w:t xml:space="preserve">87.09 (carretillas automóvil): restringida a equipos de corta distancia en fábricas/puertos/aeropuertos y sin dispositivo de elevación; no corresponde a un equipo vial de obra para mezcla asfáltica .</w:t>
      </w:r>
    </w:p>
    <w:p>
      <w:pPr>
        <w:pStyle w:val="FirstParagraph"/>
      </w:pPr>
      <w:r>
        <w:t xml:space="preserve">Sobre la subpartida 8479.10 y la NOTA IMPORTANTE: Se confirma expresamente su aplicabilidad. 8479.10 no se descarta; por el contrario, se adopta como la clasificación propuesta, pues su texto describe de manera más específica el destino/uso del MTV en “obras públicas, la construcción o trabajos análogos”, y no existe otra partida en el Cap. 84 que describa con mayor precisión esta función principal (RGI 1 y 3 a)) .</w:t>
      </w:r>
    </w:p>
    <w:p>
      <w:pPr>
        <w:pStyle w:val="BodyText"/>
      </w:pPr>
      <w:r>
        <w:t xml:space="preserve">IV. Requisitos documentales</w:t>
      </w:r>
      <w:r>
        <w:t xml:space="preserve"> </w:t>
      </w:r>
      <w:r>
        <w:t xml:space="preserve">Para sustentar la clasificación en aduana, el importador deberá presentar, al menos:</w:t>
      </w:r>
    </w:p>
    <w:p>
      <w:pPr>
        <w:numPr>
          <w:ilvl w:val="0"/>
          <w:numId w:val="1009"/>
        </w:numPr>
        <w:pStyle w:val="Compact"/>
      </w:pPr>
      <w:r>
        <w:t xml:space="preserve">Ficha técnica y manual del fabricante que describan función principal, proceso de trabajo, disposición de tolvas, sinfines y transportadores, y si incorpora sistemas de control térmico .</w:t>
      </w:r>
    </w:p>
    <w:p>
      <w:pPr>
        <w:numPr>
          <w:ilvl w:val="0"/>
          <w:numId w:val="1009"/>
        </w:numPr>
        <w:pStyle w:val="Compact"/>
      </w:pPr>
      <w:r>
        <w:t xml:space="preserve">Especificaciones sobre el chasis/plataforma (si es máquina dedicada o está montada sobre chasis de vehículo automotor) y modo de desplazamiento en obra .</w:t>
      </w:r>
    </w:p>
    <w:p>
      <w:pPr>
        <w:numPr>
          <w:ilvl w:val="0"/>
          <w:numId w:val="1009"/>
        </w:numPr>
        <w:pStyle w:val="Compact"/>
      </w:pPr>
      <w:r>
        <w:t xml:space="preserve">Fotografías y/o videos operativos en obra que acrediten su utilización principal (transferencia/remezclado de mezcla asfáltica hacia pavimentadora) .</w:t>
      </w:r>
    </w:p>
    <w:p>
      <w:pPr>
        <w:numPr>
          <w:ilvl w:val="0"/>
          <w:numId w:val="1009"/>
        </w:numPr>
        <w:pStyle w:val="Compact"/>
      </w:pPr>
      <w:r>
        <w:t xml:space="preserve">Hoja de datos de peso, dimensiones, tipo de transportadores (de banda u otros) y presencia/ausencia de funciones de esparcido .</w:t>
      </w:r>
    </w:p>
    <w:p>
      <w:pPr>
        <w:pStyle w:val="FirstParagraph"/>
      </w:pPr>
      <w:r>
        <w:t xml:space="preserve">V. Conclusión</w:t>
      </w:r>
      <w:r>
        <w:t xml:space="preserve"> </w:t>
      </w:r>
      <w:r>
        <w:t xml:space="preserve">Clasificación propuesta (por subpartida):</w:t>
      </w:r>
    </w:p>
    <w:p>
      <w:pPr>
        <w:numPr>
          <w:ilvl w:val="0"/>
          <w:numId w:val="1010"/>
        </w:numPr>
        <w:pStyle w:val="Compact"/>
      </w:pPr>
      <w:r>
        <w:t xml:space="preserve">Capítulo: 84</w:t>
      </w:r>
    </w:p>
    <w:p>
      <w:pPr>
        <w:numPr>
          <w:ilvl w:val="0"/>
          <w:numId w:val="1010"/>
        </w:numPr>
        <w:pStyle w:val="Compact"/>
      </w:pPr>
      <w:r>
        <w:t xml:space="preserve">Partida: 84.79</w:t>
      </w:r>
    </w:p>
    <w:p>
      <w:pPr>
        <w:numPr>
          <w:ilvl w:val="0"/>
          <w:numId w:val="1010"/>
        </w:numPr>
        <w:pStyle w:val="Compact"/>
      </w:pPr>
      <w:r>
        <w:t xml:space="preserve">Subpartida: 8479.10</w:t>
      </w:r>
    </w:p>
    <w:p>
      <w:pPr>
        <w:numPr>
          <w:ilvl w:val="0"/>
          <w:numId w:val="1010"/>
        </w:numPr>
        <w:pStyle w:val="Compact"/>
      </w:pPr>
      <w:r>
        <w:t xml:space="preserve">Fracción/NICO: No determinado en este dictamen (alcance solicitado: subpartida) .</w:t>
      </w:r>
    </w:p>
    <w:p>
      <w:pPr>
        <w:pStyle w:val="FirstParagraph"/>
      </w:pPr>
      <w:r>
        <w:t xml:space="preserve">Resolución: Con fundamento en RGI 1, 3(a) y 6; en la NESA del Capítulo 84 relativa a máquinas de múltiples utilizaciones; y en los textos de las partidas 84.79 y subpartida 8479.10, el “vehículo de transferencia de material asfáltico” se clasifica a nivel de subpartida en 8479.10 (Máquinas y aparatos para obras públicas, la construcción o trabajos análogos) .</w:t>
      </w:r>
    </w:p>
    <w:p>
      <w:pPr>
        <w:pStyle w:val="BodyText"/>
      </w:pPr>
      <w:r>
        <w:t xml:space="preserve">Determinación condicionada</w:t>
      </w:r>
      <w:r>
        <w:t xml:space="preserve"> </w:t>
      </w:r>
      <w:r>
        <w:t xml:space="preserve">Opción A (preferente): Si el equipo no está construido sobre chasis de vehículo automotor de carretera y su función principal es recibir, remezclar y transferir mezcla asfáltica para obras viales, sin función de transporte de personas/mercancías.</w:t>
      </w:r>
    </w:p>
    <w:p>
      <w:pPr>
        <w:numPr>
          <w:ilvl w:val="0"/>
          <w:numId w:val="1011"/>
        </w:numPr>
        <w:pStyle w:val="Compact"/>
      </w:pPr>
      <w:r>
        <w:t xml:space="preserve">Capítulo 84 | Partida 84.79 | Subpartida 8479.10 | Fracción/NICO: No determinado (solo subpartida) .</w:t>
      </w:r>
      <w:r>
        <w:t xml:space="preserve"> </w:t>
      </w:r>
      <w:r>
        <w:t xml:space="preserve">Razón de descarte de 84.28: 8479.10 es más específica para máquinas de obras públicas (RGI 3 a)); 84.28 es genérica de manipulación/transportadores .</w:t>
      </w:r>
    </w:p>
    <w:p>
      <w:pPr>
        <w:pStyle w:val="FirstParagraph"/>
      </w:pPr>
      <w:r>
        <w:t xml:space="preserve">Opción B: Si se acredita que la función de remezclado/estabilización térmica es accesoria y que el equipo es esencialmente un transportador de acción continua por banda para mercancías.</w:t>
      </w:r>
    </w:p>
    <w:p>
      <w:pPr>
        <w:numPr>
          <w:ilvl w:val="0"/>
          <w:numId w:val="1012"/>
        </w:numPr>
        <w:pStyle w:val="Compact"/>
      </w:pPr>
      <w:r>
        <w:t xml:space="preserve">Capítulo 84 | Partida 84.28 | Subpartida 8428.33 | Fracción/NICO: No determinado (solo subpartida) .</w:t>
      </w:r>
      <w:r>
        <w:t xml:space="preserve"> </w:t>
      </w:r>
      <w:r>
        <w:t xml:space="preserve">Razón de descarte de 8479.10 bajo esta condición: prevalece la función principal de “aparato elevador o transportador de acción continua” y no se justificaría acudir a la residual 84.79 (NESA Cap. 84, utilización principal; RGI 1 y 3 a)) .</w:t>
      </w:r>
    </w:p>
    <w:p>
      <w:pPr>
        <w:pStyle w:val="FirstParagraph"/>
      </w:pPr>
      <w:r>
        <w:t xml:space="preserve">Opción C: Si el equipo está montado sobre chasis de vehículo automotor (carretero), diseñado como “vehículo automóvil para usos especiales” (no para transportar personas o mercancías), conforme a Nota 8 del Cap. 87.</w:t>
      </w:r>
    </w:p>
    <w:p>
      <w:pPr>
        <w:numPr>
          <w:ilvl w:val="0"/>
          <w:numId w:val="1013"/>
        </w:numPr>
        <w:pStyle w:val="Compact"/>
      </w:pPr>
      <w:r>
        <w:t xml:space="preserve">Capítulo 87 | Partida 87.05 | Subpartida 8705.90 | Fracción/NICO: No determinado (solo subpartida) .</w:t>
      </w:r>
      <w:r>
        <w:t xml:space="preserve"> </w:t>
      </w:r>
      <w:r>
        <w:t xml:space="preserve">Razón de descarte de 8479.10 bajo esta condición: de acreditarse que es “vehículo automóvil para usos especiales” (no mera “máquina” de obra), aplicaría 87.05 por texto expreso (RGI 1) y por la Nota Nacional 8 del Cap. 87 .</w:t>
      </w:r>
    </w:p>
    <w:p>
      <w:pPr>
        <w:pStyle w:val="FirstParagraph"/>
      </w:pPr>
      <w:r>
        <w:t xml:space="preserve">CRITERIOS FALTANTES:</w:t>
      </w:r>
    </w:p>
    <w:p>
      <w:pPr>
        <w:numPr>
          <w:ilvl w:val="0"/>
          <w:numId w:val="1014"/>
        </w:numPr>
        <w:pStyle w:val="Compact"/>
      </w:pPr>
      <w:r>
        <w:t xml:space="preserve">Confirmar si el equipo es una máquina dedicada de obra o si está construido sobre chasis de vehículo automotor de carretera (Cap. 87) .</w:t>
      </w:r>
    </w:p>
    <w:p>
      <w:pPr>
        <w:numPr>
          <w:ilvl w:val="0"/>
          <w:numId w:val="1014"/>
        </w:numPr>
        <w:pStyle w:val="Compact"/>
      </w:pPr>
      <w:r>
        <w:t xml:space="preserve">Precisar la función principal: remezclado/acondicionamiento para obra pública versus mera manipulación/transportadores de acción continua (NESA Cap. 84) .</w:t>
      </w:r>
    </w:p>
    <w:p>
      <w:pPr>
        <w:numPr>
          <w:ilvl w:val="0"/>
          <w:numId w:val="1014"/>
        </w:numPr>
        <w:pStyle w:val="Compact"/>
      </w:pPr>
      <w:r>
        <w:t xml:space="preserve">Especificar el tipo de transportadores (por banda u otros) y si el remezclado/estabilización térmica es esencial o accesorio (84.28 vs 84.79) .</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5"/>
        </w:numPr>
        <w:pStyle w:val="Compact"/>
      </w:pPr>
      <w:r>
        <w:t xml:space="preserve">Referencias: Ley de los Impuestos Generales de Importación y de Exportación</w:t>
      </w:r>
    </w:p>
    <w:p>
      <w:pPr>
        <w:numPr>
          <w:ilvl w:val="0"/>
          <w:numId w:val="1015"/>
        </w:numPr>
        <w:pStyle w:val="Compact"/>
      </w:pPr>
      <w:r>
        <w:t xml:space="preserve">Versión LIGIE: 7ma Enmienda del Sistema Armonizado</w:t>
      </w:r>
    </w:p>
    <w:p>
      <w:pPr>
        <w:numPr>
          <w:ilvl w:val="0"/>
          <w:numId w:val="1015"/>
        </w:numPr>
        <w:pStyle w:val="Compact"/>
      </w:pPr>
      <w:r>
        <w:t xml:space="preserve">Archivo: LIGIE-UNIFICADA-LIGIE_20250728-20250728.pdf</w:t>
      </w:r>
    </w:p>
    <w:p>
      <w:pPr>
        <w:numPr>
          <w:ilvl w:val="0"/>
          <w:numId w:val="1015"/>
        </w:numPr>
        <w:pStyle w:val="Compact"/>
      </w:pPr>
      <w:r>
        <w:t xml:space="preserve">DOF: con actualizaciones al 30 de agosto de 2025</w:t>
      </w:r>
    </w:p>
    <w:p>
      <w:r>
        <w:pict>
          <v:rect style="width:0;height:1.5pt" o:hralign="center" o:hrstd="t" o:hr="t"/>
        </w:pict>
      </w:r>
    </w:p>
    <w:p>
      <w:pPr>
        <w:pStyle w:val="FirstParagraph"/>
      </w:pPr>
      <w:r>
        <w:rPr>
          <w:bCs/>
          <w:b/>
        </w:rPr>
        <w:t xml:space="preserve">Descargo de responsabilidad:</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