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Fecha: 15/09/2025 15:16:52</w:t>
      </w:r>
    </w:p>
    <w:p>
      <w:pPr>
        <w:pStyle w:val="BodyText"/>
      </w:pPr>
      <w:r>
        <w:t xml:space="preserve">Cuenta: Ver18-b</w:t>
      </w:r>
    </w:p>
    <w:p>
      <w:pPr>
        <w:pStyle w:val="BodyText"/>
      </w:pPr>
      <w:r>
        <w:t xml:space="preserve">Usuario: cmhs</w:t>
      </w:r>
    </w:p>
    <w:p>
      <w:pPr>
        <w:pStyle w:val="BodyText"/>
      </w:pPr>
      <w:r>
        <w:t xml:space="preserve">ITEM: Aparato cosmético/estético para uso doméstico, no registrado como dispositivo médico y no destinado al tratamiento de enfermedades. Está diseñado para uso en el hogar y en establecimientos de belleza o de cuidado de la salud. Está equipado con una fuente de luz halógena en conjunto con una unidad óptica para emitir una luz polarizada supuestamente terapéutica.</w:t>
      </w:r>
    </w:p>
    <w:p>
      <w:r>
        <w:pict>
          <v:rect style="width:0;height:1.5pt" o:hralign="center" o:hrstd="t" o:hr="t"/>
        </w:pict>
      </w:r>
    </w:p>
    <w:bookmarkStart w:id="25" w:name="sugerencia-de-clasificación-arancelaria"/>
    <w:p>
      <w:pPr>
        <w:pStyle w:val="Heading1"/>
      </w:pPr>
      <w:r>
        <w:t xml:space="preserve">Sugerencia de Clasificación Arancelaria</w:t>
      </w:r>
    </w:p>
    <w:bookmarkStart w:id="20" w:name="fase-1"/>
    <w:p>
      <w:pPr>
        <w:pStyle w:val="Heading3"/>
      </w:pPr>
      <w:r>
        <w:t xml:space="preserve">Fase 1</w:t>
      </w:r>
    </w:p>
    <w:p>
      <w:pPr>
        <w:pStyle w:val="FirstParagraph"/>
      </w:pPr>
      <w:r>
        <w:rPr>
          <w:bCs/>
          <w:b/>
        </w:rPr>
        <w:t xml:space="preserve">Top 3 capítulos candidatos</w:t>
      </w:r>
    </w:p>
    <w:tbl>
      <w:tblPr>
        <w:tblStyle w:val="Table"/>
        <w:tblW w:type="pct" w:w="0.0"/>
        <w:tblLook w:firstRow="1" w:lastRow="0" w:firstColumn="0" w:lastColumn="0" w:noHBand="0" w:noVBand="0" w:val="0020"/>
      </w:tblPr>
      <w:tblGrid/>
      <w:tr>
        <w:tc>
          <w:p>
            <w:pPr>
              <w:pStyle w:val="Compact"/>
              <w:jc w:val="right"/>
            </w:pPr>
            <w:r>
              <w:t xml:space="preserve">Capítulo</w:t>
            </w:r>
          </w:p>
        </w:tc>
        <w:tc>
          <w:p>
            <w:pPr>
              <w:pStyle w:val="Compact"/>
              <w:jc w:val="left"/>
            </w:pPr>
            <w:r>
              <w:t xml:space="preserve">Justificación</w:t>
            </w:r>
          </w:p>
        </w:tc>
      </w:tr>
      <w:tr>
        <w:tc>
          <w:p>
            <w:pPr>
              <w:pStyle w:val="Compact"/>
              <w:jc w:val="right"/>
            </w:pPr>
            <w:r>
              <w:rPr>
                <w:bCs/>
                <w:b/>
              </w:rPr>
              <w:t xml:space="preserve">85</w:t>
            </w:r>
          </w:p>
        </w:tc>
        <w:tc>
          <w:p>
            <w:pPr>
              <w:pStyle w:val="Compact"/>
              <w:jc w:val="left"/>
            </w:pPr>
            <w:r>
              <w:t xml:space="preserve">Por RGI 1, clasificar conforme a los textos de partida/notas; se trata de un aparato eléctrico con función propia. Dentro del Cap. 85, la 85.43 abarca máquinas/aparatos eléctricos con funciones individuales no especificados en otra parte. No es simplemente una lámpara o tubo de la 85.39 (lámparas ultravioletas/infrarrojas, etc.). No es un dispositivo médico conforme a la Nota de la 90.18 (normalmente requiere un profesional de la salud). Las Notas del Cap. 90 remiten diversos artículos de luz/eléctricos al Cap. 85 (p. ej., 85.13, 85.36, 85.37). Si se considera como compuesto (lámpara + óptica), el carácter esencial es su función eléctrica de emisión de luz (RGI 3(b)).</w:t>
            </w:r>
          </w:p>
        </w:tc>
      </w:tr>
      <w:tr>
        <w:tc>
          <w:p>
            <w:pPr>
              <w:pStyle w:val="Compact"/>
              <w:jc w:val="right"/>
            </w:pPr>
            <w:r>
              <w:rPr>
                <w:bCs/>
                <w:b/>
              </w:rPr>
              <w:t xml:space="preserve">90</w:t>
            </w:r>
          </w:p>
        </w:tc>
        <w:tc>
          <w:p>
            <w:pPr>
              <w:pStyle w:val="Compact"/>
              <w:jc w:val="left"/>
            </w:pPr>
            <w:r>
              <w:t xml:space="preserve">Alternativa si se trata como “aparato óptico”: la 90.13 abarca láseres y otros aparatos/instrumentos de óptica no especificados en otra parte del Cap. 90. Sin embargo, el Cap. 90 excluye muchos dispositivos eléctricos de iluminación al Cap. 85 (p. ej., 85.13, 85.36, 85.37), y la 90.18 aplica a dispositivos médicos típicamente utilizados por profesionales de la salud (no es el caso). La 90.19 se dirige a masaje/mecanoterapia, terapia con ozono/oxígeno/aerosol, distintas de los aparatos de luz. Por RGI 3(a), el Cap. 85 sería más apropiado que este cajón residual óptico.</w:t>
            </w:r>
          </w:p>
        </w:tc>
      </w:tr>
    </w:tbl>
    <w:bookmarkEnd w:id="20"/>
    <w:bookmarkStart w:id="21" w:name="fase-3"/>
    <w:p>
      <w:pPr>
        <w:pStyle w:val="Heading3"/>
      </w:pPr>
      <w:r>
        <w:t xml:space="preserve">Fase 3</w:t>
      </w:r>
    </w:p>
    <w:bookmarkEnd w:id="21"/>
    <w:bookmarkStart w:id="22" w:name="dictamen-de-clasificación-arancelaria"/>
    <w:p>
      <w:pPr>
        <w:pStyle w:val="Heading3"/>
      </w:pPr>
      <w:r>
        <w:t xml:space="preserve">DICTAMEN DE CLASIFICACIÓN ARANCELARIA</w:t>
      </w:r>
    </w:p>
    <w:p>
      <w:pPr>
        <w:pStyle w:val="FirstParagraph"/>
      </w:pPr>
      <w:r>
        <w:t xml:space="preserve">I. Marco normativo aplicable</w:t>
      </w:r>
    </w:p>
    <w:p>
      <w:pPr>
        <w:numPr>
          <w:ilvl w:val="0"/>
          <w:numId w:val="1001"/>
        </w:numPr>
      </w:pPr>
      <w:r>
        <w:t xml:space="preserve">Reglas Generales de Interpretación (RGI)</w:t>
      </w:r>
      <w:r>
        <w:t xml:space="preserve"> </w:t>
      </w:r>
      <w:r>
        <w:t xml:space="preserve">• RGI 1: “Los títulos de las Secciones, de los Capítulos o de los Subcapítulos solo tienen un valor indicativo, ya que la clasificación está determinada legalmente por los textos de las partidas y de las Notas de Sección o de Capítulo…” .</w:t>
      </w:r>
      <w:r>
        <w:t xml:space="preserve"> </w:t>
      </w:r>
      <w:r>
        <w:t xml:space="preserve">• RGI 3(a): “La partida con descripción más específica tendrá prioridad sobre las partidas de alcance más genérico…” .</w:t>
      </w:r>
      <w:r>
        <w:t xml:space="preserve"> </w:t>
      </w:r>
      <w:r>
        <w:t xml:space="preserve">• RGI 3(b): “…se clasificarán según la materia o con el artículo que les confiera su carácter esencial, si fuera posible determinarlo…” .</w:t>
      </w:r>
      <w:r>
        <w:t xml:space="preserve"> </w:t>
      </w:r>
      <w:r>
        <w:t xml:space="preserve">• RGI 6: “La clasificación de mercancías en las subpartidas de una misma partida está determinada legalmente por los textos de estas subpartidas… bien entendido que solo pueden compararse subpartidas del mismo nivel.” .</w:t>
      </w:r>
    </w:p>
    <w:p>
      <w:pPr>
        <w:numPr>
          <w:ilvl w:val="0"/>
          <w:numId w:val="1001"/>
        </w:numPr>
      </w:pPr>
      <w:r>
        <w:t xml:space="preserve">Notas legales y NESA pertinentes (Capítulos 85 y 90)</w:t>
      </w:r>
      <w:r>
        <w:t xml:space="preserve"> </w:t>
      </w:r>
      <w:r>
        <w:t xml:space="preserve">• Capítulo 90, Nota 1(h): se excluyen, entre otros, “las lámparas eléctricas portátiles de la partida 85.13” y “los faros o unidades ‘sellados’ de la partida 85.39” (remisión a Cap. 85) .</w:t>
      </w:r>
      <w:r>
        <w:t xml:space="preserve"> </w:t>
      </w:r>
      <w:r>
        <w:t xml:space="preserve">• NESA Cap. 90, Partida 90.18: “La partida 90.18 comprende instrumentos y aparatos… caracterizados esencialmente por el hecho de que su uso normal exige… la intervención de un profesional en la salud…” .</w:t>
      </w:r>
      <w:r>
        <w:t xml:space="preserve"> </w:t>
      </w:r>
      <w:r>
        <w:t xml:space="preserve">• Texto de la Partida 90.13: “Láseres, excepto los diodos láser; los demás aparatos e instrumentos de óptica, no expresados ni comprendidos en otra parte de este Capítulo” (subpartidas 9013.10, 9013.20 y 9013.80) .</w:t>
      </w:r>
      <w:r>
        <w:t xml:space="preserve"> </w:t>
      </w:r>
      <w:r>
        <w:t xml:space="preserve">• Partida 90.19 (referencia comparativa): “Aparatos de mecanoterapia; aparatos para masajes; … y demás aparatos de terapia respiratoria.” .</w:t>
      </w:r>
      <w:r>
        <w:t xml:space="preserve"> </w:t>
      </w:r>
      <w:r>
        <w:t xml:space="preserve">• Partida 85.16 (ámbito): “Calentadores eléctricos…; los demás aparatos electrotérmicos de uso doméstico…” .</w:t>
      </w:r>
      <w:r>
        <w:t xml:space="preserve"> </w:t>
      </w:r>
      <w:r>
        <w:t xml:space="preserve">• Partida 85.39 (lámparas y tubos eléctricos) .</w:t>
      </w:r>
      <w:r>
        <w:t xml:space="preserve"> </w:t>
      </w:r>
      <w:r>
        <w:t xml:space="preserve">• Partida 85.13 (definición de aparato portátil, Nota Nacional): “Se entenderá por aparato portátil el diseñado… para ser transportado fácilmente a mano y cuyo peso es igual o inferior a 15 kg.” .</w:t>
      </w:r>
      <w:r>
        <w:t xml:space="preserve"> </w:t>
      </w:r>
      <w:r>
        <w:t xml:space="preserve">• Partida 85.43 (residual en Cap. 85): “Máquinas y aparatos eléctricos con función propia, no expresados ni comprendidos en otra parte de este Capítulo,” incluyendo subpartida 8543.70 “Las demás máquinas y aparatos” .</w:t>
      </w:r>
    </w:p>
    <w:p>
      <w:pPr>
        <w:pStyle w:val="FirstParagraph"/>
      </w:pPr>
      <w:r>
        <w:t xml:space="preserve">II. Análisis jurídico-técnico</w:t>
      </w:r>
    </w:p>
    <w:p>
      <w:pPr>
        <w:numPr>
          <w:ilvl w:val="0"/>
          <w:numId w:val="1002"/>
        </w:numPr>
      </w:pPr>
      <w:r>
        <w:t xml:space="preserve">Descripción del bien analizado</w:t>
      </w:r>
      <w:r>
        <w:t xml:space="preserve"> </w:t>
      </w:r>
      <w:r>
        <w:t xml:space="preserve">• Aparato de uso cosmético/estético para el hogar, no registrado como dispositivo médico ni destinado al tratamiento de enfermedades; equipado con fuente halógena y un conjunto óptico que emite luz polarizada “supuestamente terapéutica”.</w:t>
      </w:r>
    </w:p>
    <w:p>
      <w:pPr>
        <w:numPr>
          <w:ilvl w:val="0"/>
          <w:numId w:val="1002"/>
        </w:numPr>
      </w:pPr>
      <w:r>
        <w:t xml:space="preserve">Capítulo aplicable</w:t>
      </w:r>
      <w:r>
        <w:t xml:space="preserve"> </w:t>
      </w:r>
      <w:r>
        <w:t xml:space="preserve">• Por RGI 1, procede atender al texto de las partidas y Notas. El bien integra un “conjunto óptico” cuya función principal es emitir y dirigir luz polarizada sobre la piel. Esta función se basa esencialmente en propiedades ópticas (emisión + tratamiento óptico/polarización), por lo que el Capítulo 90 (instrumentos y aparatos ópticos) resulta pertinente, sin que sea de por sí una simple lámpara de iluminación general (exclusiones de la Nota 1(h) del Cap. 90 remiten las lámparas portátiles y faros a 85.13 y 85.39, respectivamente) .</w:t>
      </w:r>
    </w:p>
    <w:p>
      <w:pPr>
        <w:numPr>
          <w:ilvl w:val="0"/>
          <w:numId w:val="1002"/>
        </w:numPr>
      </w:pPr>
      <w:r>
        <w:t xml:space="preserve">Partida aplicable</w:t>
      </w:r>
      <w:r>
        <w:t xml:space="preserve"> </w:t>
      </w:r>
      <w:r>
        <w:t xml:space="preserve">• Dentro del Capítulo 90, la Partida 90.13 cubre “los demás aparatos e instrumentos de óptica, no expresados ni comprendidos en otra parte” . El aparato no es un láser (excluye 9013.20) ni una mira/periscopio/visor (excluye 9013.10). Por RGI 3(a), la descripción “aparatos e instrumentos de óptica, no expresados…” es más específica que las partidas eléctricas residuales del Cap. 85 para un aparato cuya función principal deriva de su sistema óptico.</w:t>
      </w:r>
    </w:p>
    <w:p>
      <w:pPr>
        <w:numPr>
          <w:ilvl w:val="0"/>
          <w:numId w:val="1002"/>
        </w:numPr>
      </w:pPr>
      <w:r>
        <w:t xml:space="preserve">Subpartida</w:t>
      </w:r>
      <w:r>
        <w:t xml:space="preserve"> </w:t>
      </w:r>
      <w:r>
        <w:t xml:space="preserve">• Aplicando RGI 6, entre 9013.10 (miras/periscopios), 9013.20 (láseres) y 9013.80 (“Los demás dispositivos, aparatos e instrumentos”), corresponde 9013.80, al no tratarse de un láser ni de un sistema de puntería/visión técnico-especializado .</w:t>
      </w:r>
    </w:p>
    <w:p>
      <w:pPr>
        <w:pStyle w:val="FirstParagraph"/>
      </w:pPr>
      <w:r>
        <w:t xml:space="preserve">III. Exclusión de partidas o capítulos alternativos (Capítulos 85 y 90)</w:t>
      </w:r>
    </w:p>
    <w:p>
      <w:pPr>
        <w:numPr>
          <w:ilvl w:val="0"/>
          <w:numId w:val="1003"/>
        </w:numPr>
        <w:pStyle w:val="Compact"/>
      </w:pPr>
      <w:r>
        <w:t xml:space="preserve">90.18 (instrumentos y aparatos médicos; p. ej., “aparatos de actinoterapia” bajo 9018.90 a nivel de subpartida/fracciones)</w:t>
      </w:r>
      <w:r>
        <w:t xml:space="preserve"> </w:t>
      </w:r>
      <w:r>
        <w:t xml:space="preserve">• La NESA del Cap. 90 aclara que la 90.18 comprende aparatos cuyo uso normal exige la intervención de un profesional de la salud, por su naturaleza médica (diagnóstico, prevención o tratamiento de enfermedades) y características constructivas (asepsia, acabados, etc.) . El producto dictaminado está expresamente “no registrado como dispositivo médico y no destinado al tratamiento de enfermedades” y se promueve para uso doméstico/estético; por ello, no encuadra jurídicamente en 90.18 pese a la existencia de “aparatos de actinoterapia” dentro de dicha partida a nivel de fracción nacional (9018.90.20) . En consecuencia, se descarta 90.18 por RGI 1.</w:t>
      </w:r>
    </w:p>
    <w:p>
      <w:pPr>
        <w:numPr>
          <w:ilvl w:val="0"/>
          <w:numId w:val="1003"/>
        </w:numPr>
        <w:pStyle w:val="Compact"/>
      </w:pPr>
      <w:r>
        <w:t xml:space="preserve">90.19 (mecanoterapia, masajes, terapia respiratoria)</w:t>
      </w:r>
      <w:r>
        <w:t xml:space="preserve"> </w:t>
      </w:r>
      <w:r>
        <w:t xml:space="preserve">• El aparato no ejecuta masaje, vibración o mecanoterapia ni funciones de terapia respiratoria, por lo que se excluye la 90.19 por falta de adecuación objetiva a su texto .</w:t>
      </w:r>
    </w:p>
    <w:p>
      <w:pPr>
        <w:numPr>
          <w:ilvl w:val="0"/>
          <w:numId w:val="1003"/>
        </w:numPr>
        <w:pStyle w:val="Compact"/>
      </w:pPr>
      <w:r>
        <w:t xml:space="preserve">85.39 (lámparas y tubos eléctricos)</w:t>
      </w:r>
      <w:r>
        <w:t xml:space="preserve"> </w:t>
      </w:r>
      <w:r>
        <w:t xml:space="preserve">• 85.39 clasifica fuentes luminosas (lámparas/tubos) como tales, no aparatos completos que integran óptica para una función específica distinta de la iluminación general. El bien no es la lámpara halógena (bulbo) aislada, sino un equipo con conjunto óptico y aplicación funcional propia; se descarta 85.39 por RGI 1 .</w:t>
      </w:r>
    </w:p>
    <w:p>
      <w:pPr>
        <w:numPr>
          <w:ilvl w:val="0"/>
          <w:numId w:val="1003"/>
        </w:numPr>
        <w:pStyle w:val="Compact"/>
      </w:pPr>
      <w:r>
        <w:t xml:space="preserve">85.16 (aparatos electrotérmicos de uso doméstico)</w:t>
      </w:r>
      <w:r>
        <w:t xml:space="preserve"> </w:t>
      </w:r>
      <w:r>
        <w:t xml:space="preserve">• Aunque una lámpara halógena genera calor, el carácter esencial del bien no es “calefactar” sino emitir luz polarizada mediante elementos ópticos. Por RGI 3(b), el sistema óptico confiere el carácter esencial; por tanto, 85.16 no procede .</w:t>
      </w:r>
    </w:p>
    <w:p>
      <w:pPr>
        <w:numPr>
          <w:ilvl w:val="0"/>
          <w:numId w:val="1003"/>
        </w:numPr>
        <w:pStyle w:val="Compact"/>
      </w:pPr>
      <w:r>
        <w:t xml:space="preserve">85.13 (lámparas eléctricas portátiles)</w:t>
      </w:r>
      <w:r>
        <w:t xml:space="preserve"> </w:t>
      </w:r>
      <w:r>
        <w:t xml:space="preserve">• Aun si el equipo fuese transportable, la Nota Nacional de 85.13 define “aparato portátil” por diseño y peso, pero el bien aquí no es una lámpara destinada a iluminación portátil general del tipo 85.13, sino un aparato óptico con fin específico. Además, la Nota 1(h) del Cap. 90 sólo excluye a 85.13 las “lámparas eléctricas portátiles” como tales, no a aparatos ópticos completos con función propia no de iluminación general. Se descarta 85.13 por falta de adecuación al texto y por RGI 3(b) (carácter esencial óptico) .</w:t>
      </w:r>
    </w:p>
    <w:p>
      <w:pPr>
        <w:numPr>
          <w:ilvl w:val="0"/>
          <w:numId w:val="1003"/>
        </w:numPr>
        <w:pStyle w:val="Compact"/>
      </w:pPr>
      <w:r>
        <w:t xml:space="preserve">85.43.70 (residual eléctrica)</w:t>
      </w:r>
      <w:r>
        <w:t xml:space="preserve"> </w:t>
      </w:r>
      <w:r>
        <w:t xml:space="preserve">• 85.43 es residual del Cap. 85: “Máquinas y aparatos eléctricos con función propia, no expresados ni comprendidos en otra parte de este Capítulo” y su subpartida 8543.70 “Las demás máquinas y aparatos” . Dado que el bien encuadra de manera específica en 90.13 como “aparato de óptica no expresado ni comprendido en otra parte del Capítulo 90”, la 85.43.70 se descarta por aplicación de RGI 1 y, en su caso, RGI 3(a) (la descripción óptica específica de 90.13 prevalece sobre la residual eléctrica de 85.43) .</w:t>
      </w:r>
    </w:p>
    <w:p>
      <w:pPr>
        <w:pStyle w:val="FirstParagraph"/>
      </w:pPr>
      <w:r>
        <w:t xml:space="preserve">IV. Requisitos documentales</w:t>
      </w:r>
      <w:r>
        <w:t xml:space="preserve"> </w:t>
      </w:r>
      <w:r>
        <w:t xml:space="preserve">Para sustentar la clasificación al momento del despacho, el importador deberá aportar:</w:t>
      </w:r>
    </w:p>
    <w:p>
      <w:pPr>
        <w:numPr>
          <w:ilvl w:val="0"/>
          <w:numId w:val="1004"/>
        </w:numPr>
        <w:pStyle w:val="Compact"/>
      </w:pPr>
      <w:r>
        <w:t xml:space="preserve">Ficha técnica y manual de usuario, detallando:</w:t>
      </w:r>
      <w:r>
        <w:t xml:space="preserve"> </w:t>
      </w:r>
      <w:r>
        <w:t xml:space="preserve">• Esquema funcional de la fuente halógena y del “conjunto óptico” (lentes/filtros/polarizador) y cómo se obtiene la luz polarizada.</w:t>
      </w:r>
      <w:r>
        <w:t xml:space="preserve"> </w:t>
      </w:r>
      <w:r>
        <w:t xml:space="preserve">• Finalidad prevista (cosmética/estética) y exclusión de tratamiento de enfermedades.</w:t>
      </w:r>
      <w:r>
        <w:t xml:space="preserve"> </w:t>
      </w:r>
      <w:r>
        <w:t xml:space="preserve">• Condiciones de uso (hogar/salón; requerimiento o no de profesional de la salud) .</w:t>
      </w:r>
    </w:p>
    <w:p>
      <w:pPr>
        <w:numPr>
          <w:ilvl w:val="0"/>
          <w:numId w:val="1004"/>
        </w:numPr>
        <w:pStyle w:val="Compact"/>
      </w:pPr>
      <w:r>
        <w:t xml:space="preserve">Fotografías del equipo y del cabezal óptico, así como diagramas del trayecto óptico (para acreditar su carácter de “aparato óptico”) .</w:t>
      </w:r>
    </w:p>
    <w:p>
      <w:pPr>
        <w:numPr>
          <w:ilvl w:val="0"/>
          <w:numId w:val="1004"/>
        </w:numPr>
        <w:pStyle w:val="Compact"/>
      </w:pPr>
      <w:r>
        <w:t xml:space="preserve">Folletos comerciales y/o sitio oficial que sustenten la función principal óptica, no la calefacción por sí misma (relevante para RGI 3(b) carácter esencial) .</w:t>
      </w:r>
    </w:p>
    <w:p>
      <w:pPr>
        <w:numPr>
          <w:ilvl w:val="0"/>
          <w:numId w:val="1004"/>
        </w:numPr>
        <w:pStyle w:val="Compact"/>
      </w:pPr>
      <w:r>
        <w:t xml:space="preserve">Declaración sobre el estado regulatorio (no registro sanitario como dispositivo médico) coherente con el uso no médico descrito (pertinente para excluir 90.18) .</w:t>
      </w:r>
    </w:p>
    <w:p>
      <w:pPr>
        <w:numPr>
          <w:ilvl w:val="0"/>
          <w:numId w:val="1004"/>
        </w:numPr>
        <w:pStyle w:val="Compact"/>
      </w:pPr>
      <w:r>
        <w:t xml:space="preserve">Especificación de la fuente de alimentación y si es o no “portátil” en el sentido de 85.13 (peso ≤ 15 kg), a efectos de descartar 85.13 con certeza .</w:t>
      </w:r>
    </w:p>
    <w:p>
      <w:pPr>
        <w:pStyle w:val="FirstParagraph"/>
      </w:pPr>
      <w:r>
        <w:t xml:space="preserve">V. Conclusión</w:t>
      </w:r>
      <w:r>
        <w:t xml:space="preserve"> </w:t>
      </w:r>
      <w:r>
        <w:t xml:space="preserve">Con base en RGI 1, RGI 3(a) y RGI 6, y atendiendo al texto de la 90.13, el bien se clasifica como “los demás aparatos e instrumentos de óptica” en 9013.80. Se descartan 90.18 (ámbito médico), 90.19 (masajes/mecanoterapia), 85.39 (lámparas como tales), 85.16 (electrotérmicos domésticos), 85.13 (lámparas portátiles) y, muy especialmente, 85.43.70 (residual eléctrica), por resultar menos específicas que la 90.13 respecto del carácter óptico principal del aparato, conforme a RGI 3(a) .</w:t>
      </w:r>
    </w:p>
    <w:p>
      <w:pPr>
        <w:pStyle w:val="BodyText"/>
      </w:pPr>
      <w:r>
        <w:t xml:space="preserve">Tabla de clasificación (determinación principal)</w:t>
      </w:r>
    </w:p>
    <w:p>
      <w:pPr>
        <w:numPr>
          <w:ilvl w:val="0"/>
          <w:numId w:val="1005"/>
        </w:numPr>
        <w:pStyle w:val="Compact"/>
      </w:pPr>
      <w:r>
        <w:t xml:space="preserve">Capítulo: 90</w:t>
      </w:r>
    </w:p>
    <w:p>
      <w:pPr>
        <w:numPr>
          <w:ilvl w:val="0"/>
          <w:numId w:val="1005"/>
        </w:numPr>
        <w:pStyle w:val="Compact"/>
      </w:pPr>
      <w:r>
        <w:t xml:space="preserve">Partida: 90.13</w:t>
      </w:r>
    </w:p>
    <w:p>
      <w:pPr>
        <w:numPr>
          <w:ilvl w:val="0"/>
          <w:numId w:val="1005"/>
        </w:numPr>
        <w:pStyle w:val="Compact"/>
      </w:pPr>
      <w:r>
        <w:t xml:space="preserve">Subpartida (NIVEL HS-6): 90.13.80</w:t>
      </w:r>
    </w:p>
    <w:p>
      <w:pPr>
        <w:numPr>
          <w:ilvl w:val="0"/>
          <w:numId w:val="1005"/>
        </w:numPr>
        <w:pStyle w:val="Compact"/>
      </w:pPr>
      <w:r>
        <w:t xml:space="preserve">Fracción (8 dígitos MX): N/D en este dictamen (alcance solicitado: hasta subpartida)</w:t>
      </w:r>
    </w:p>
    <w:p>
      <w:pPr>
        <w:numPr>
          <w:ilvl w:val="0"/>
          <w:numId w:val="1005"/>
        </w:numPr>
        <w:pStyle w:val="Compact"/>
      </w:pPr>
      <w:r>
        <w:t xml:space="preserve">NICO (10 dígitos MX): N/D</w:t>
      </w:r>
    </w:p>
    <w:p>
      <w:pPr>
        <w:pStyle w:val="FirstParagraph"/>
      </w:pPr>
      <w:r>
        <w:t xml:space="preserve">Determinación condicionada</w:t>
      </w:r>
    </w:p>
    <w:p>
      <w:pPr>
        <w:numPr>
          <w:ilvl w:val="0"/>
          <w:numId w:val="1006"/>
        </w:numPr>
        <w:pStyle w:val="Compact"/>
      </w:pPr>
      <w:r>
        <w:t xml:space="preserve">Opción A (si se acredita finalidad terapéutica médica y uso normal con intervención profesional de la salud, o reconocimiento regulatorio como dispositivo médico de actinoterapia):</w:t>
      </w:r>
      <w:r>
        <w:t xml:space="preserve"> </w:t>
      </w:r>
      <w:r>
        <w:t xml:space="preserve">• Capítulo 90; Partida 90.18; Subpartida 90.18.90</w:t>
      </w:r>
      <w:r>
        <w:t xml:space="preserve"> </w:t>
      </w:r>
      <w:r>
        <w:t xml:space="preserve">• Fracción y NICO: por determinar con documentación regulatoria y técnica (referencia de que “aparatos de actinoterapia” están listados a nivel fracción en 9018.90.20) .</w:t>
      </w:r>
    </w:p>
    <w:p>
      <w:pPr>
        <w:numPr>
          <w:ilvl w:val="0"/>
          <w:numId w:val="1006"/>
        </w:numPr>
        <w:pStyle w:val="Compact"/>
      </w:pPr>
      <w:r>
        <w:t xml:space="preserve">Opción B (si se prueba que carece de sistema óptico que confiera el carácter esencial y su función es predominantemente electrotérmica doméstica):</w:t>
      </w:r>
      <w:r>
        <w:t xml:space="preserve"> </w:t>
      </w:r>
      <w:r>
        <w:t xml:space="preserve">• Capítulo 85; Partida 85.16; Subpartida 85.16.79 (“Los demás” aparatos electrotérmicos) .</w:t>
      </w:r>
      <w:r>
        <w:t xml:space="preserve"> </w:t>
      </w:r>
      <w:r>
        <w:t xml:space="preserve">• Fracción y NICO: por determinar.</w:t>
      </w:r>
    </w:p>
    <w:p>
      <w:pPr>
        <w:numPr>
          <w:ilvl w:val="0"/>
          <w:numId w:val="1006"/>
        </w:numPr>
        <w:pStyle w:val="Compact"/>
      </w:pPr>
      <w:r>
        <w:t xml:space="preserve">Opción C (si, excepcionalmente, no encaja en partidas específicas del Cap. 90 ni en 85.16 y se trata de un aparato eléctrico con función propia no especificado en otra parte del Cap. 85):</w:t>
      </w:r>
      <w:r>
        <w:t xml:space="preserve"> </w:t>
      </w:r>
      <w:r>
        <w:t xml:space="preserve">• Capítulo 85; Partida 85.43; Subpartida 85.43.70.</w:t>
      </w:r>
      <w:r>
        <w:t xml:space="preserve"> </w:t>
      </w:r>
      <w:r>
        <w:t xml:space="preserve">• Fracción y NICO: por determinar .</w:t>
      </w:r>
    </w:p>
    <w:p>
      <w:pPr>
        <w:pStyle w:val="FirstParagraph"/>
      </w:pPr>
      <w:r>
        <w:t xml:space="preserve">CRITERIOS FALTANTES:</w:t>
      </w:r>
    </w:p>
    <w:p>
      <w:pPr>
        <w:numPr>
          <w:ilvl w:val="0"/>
          <w:numId w:val="1007"/>
        </w:numPr>
        <w:pStyle w:val="Compact"/>
      </w:pPr>
      <w:r>
        <w:t xml:space="preserve">Plano/diagrama óptico que acredite el tratamiento de la luz (lente/filtro/polarizador) y su función principal óptica.</w:t>
      </w:r>
    </w:p>
    <w:p>
      <w:pPr>
        <w:numPr>
          <w:ilvl w:val="0"/>
          <w:numId w:val="1007"/>
        </w:numPr>
        <w:pStyle w:val="Compact"/>
      </w:pPr>
      <w:r>
        <w:t xml:space="preserve">Evidencia del uso previsto: cosmético/estético vs. terapéutico médico; confirmación de no intervención de personal sanitario en el uso normal.</w:t>
      </w:r>
    </w:p>
    <w:p>
      <w:pPr>
        <w:numPr>
          <w:ilvl w:val="0"/>
          <w:numId w:val="1007"/>
        </w:numPr>
        <w:pStyle w:val="Compact"/>
      </w:pPr>
      <w:r>
        <w:t xml:space="preserve">Estado regulatorio (si existe registro como dispositivo médico en país de origen/destino).</w:t>
      </w:r>
    </w:p>
    <w:p>
      <w:pPr>
        <w:numPr>
          <w:ilvl w:val="0"/>
          <w:numId w:val="1007"/>
        </w:numPr>
        <w:pStyle w:val="Compact"/>
      </w:pPr>
      <w:r>
        <w:t xml:space="preserve">Datos físicos: peso, modo de alimentación (batería/red) para descartar con certeza 85.13.</w:t>
      </w:r>
    </w:p>
    <w:p>
      <w:pPr>
        <w:numPr>
          <w:ilvl w:val="0"/>
          <w:numId w:val="1007"/>
        </w:numPr>
        <w:pStyle w:val="Compact"/>
      </w:pPr>
      <w:r>
        <w:t xml:space="preserve">Ficha técnica completa y fotografías del equipo en operación.</w:t>
      </w:r>
    </w:p>
    <w:p>
      <w:pPr>
        <w:pStyle w:val="FirstParagraph"/>
      </w:pPr>
      <w:r>
        <w:t xml:space="preserve">Nota importante sobre 8543.70</w:t>
      </w:r>
      <w:r>
        <w:t xml:space="preserve"> </w:t>
      </w:r>
      <w:r>
        <w:t xml:space="preserve">Se descarta 8543.70 porque es una subpartida residual del Capítulo 85 (“Las demás máquinas y aparatos”) aplicable solo cuando no exista una clasificación más específica en ese Capítulo. En el presente caso, el aparato encuadra específicamente en el Capítulo 90 como “aparato de óptica” (90.13), de conformidad con RGI 1 y con la prioridad de la partida más específica (RGI 3(a)); por tanto, no procede trasladarlo a una residual eléctrica del Cap. 85 .</w:t>
      </w:r>
    </w:p>
    <w:bookmarkEnd w:id="22"/>
    <w:bookmarkStart w:id="23" w:name="notas"/>
    <w:p>
      <w:pPr>
        <w:pStyle w:val="Heading3"/>
      </w:pPr>
      <w:r>
        <w:t xml:space="preserve">NOTAS:</w:t>
      </w:r>
    </w:p>
    <w:p>
      <w:r>
        <w:pict>
          <v:rect style="width:0;height:1.5pt" o:hralign="center" o:hrstd="t" o:hr="t"/>
        </w:pict>
      </w:r>
    </w:p>
    <w:p>
      <w:pPr>
        <w:pStyle w:val="FirstParagraph"/>
      </w:pPr>
      <w:r>
        <w:t xml:space="preserve">El código 85.43.70 no se menciona en los anexos de la LIGIE.</w:t>
      </w:r>
    </w:p>
    <w:p>
      <w:pPr>
        <w:pStyle w:val="BodyText"/>
      </w:pPr>
      <w:r>
        <w:t xml:space="preserve">El código 85.43.70 no se menciona en el DOF en el período 15/07/2025 al 30/08/2025.</w:t>
      </w:r>
    </w:p>
    <w:bookmarkEnd w:id="23"/>
    <w:bookmarkStart w:id="24" w:name="documentación-consultada"/>
    <w:p>
      <w:pPr>
        <w:pStyle w:val="Heading3"/>
      </w:pPr>
      <w:r>
        <w:t xml:space="preserve">Documentación consultada</w:t>
      </w:r>
    </w:p>
    <w:p>
      <w:pPr>
        <w:numPr>
          <w:ilvl w:val="0"/>
          <w:numId w:val="1008"/>
        </w:numPr>
        <w:pStyle w:val="Compact"/>
      </w:pPr>
      <w:r>
        <w:t xml:space="preserve">Referencias: Ley de los Impuestos Generales de Importación y de Exportación</w:t>
      </w:r>
    </w:p>
    <w:p>
      <w:pPr>
        <w:numPr>
          <w:ilvl w:val="0"/>
          <w:numId w:val="1008"/>
        </w:numPr>
        <w:pStyle w:val="Compact"/>
      </w:pPr>
      <w:r>
        <w:t xml:space="preserve">Versión LIGIE: 7ma Enmienda del Sistema Armonizado</w:t>
      </w:r>
    </w:p>
    <w:p>
      <w:pPr>
        <w:numPr>
          <w:ilvl w:val="0"/>
          <w:numId w:val="1008"/>
        </w:numPr>
        <w:pStyle w:val="Compact"/>
      </w:pPr>
      <w:r>
        <w:t xml:space="preserve">Archivo: LIGIE-UNIFICADA-LIGIE_20250728-20250728.pdf</w:t>
      </w:r>
    </w:p>
    <w:p>
      <w:pPr>
        <w:numPr>
          <w:ilvl w:val="0"/>
          <w:numId w:val="1008"/>
        </w:numPr>
        <w:pStyle w:val="Compact"/>
      </w:pPr>
      <w:r>
        <w:t xml:space="preserve">DOF: con actualizaciones al 30 de agosto de 2025</w:t>
      </w:r>
    </w:p>
    <w:p>
      <w:r>
        <w:pict>
          <v:rect style="width:0;height:1.5pt" o:hralign="center" o:hrstd="t" o:hr="t"/>
        </w:pict>
      </w:r>
    </w:p>
    <w:p>
      <w:pPr>
        <w:pStyle w:val="FirstParagraph"/>
      </w:pPr>
      <w:r>
        <w:rPr>
          <w:bCs/>
          <w:b/>
        </w:rPr>
        <w:t xml:space="preserve">Disclaimer:</w:t>
      </w:r>
    </w:p>
    <w:p>
      <w:pPr>
        <w:pStyle w:val="BodyText"/>
      </w:pPr>
      <w:r>
        <w:t xml:space="preserve">Este reporte tiene fines únicamente informativos y sirve como apoyo al proceso de clasificación arancelaria mexicana. No sustituye el criterio técnico ni la revisión de un especialista.</w:t>
      </w:r>
    </w:p>
    <w:bookmarkEnd w:id="24"/>
    <w:bookmarkEnd w:id="25"/>
    <w:sectPr w:rsidR="00281319" w:rsidRPr="00281319" w:rsidSect="0007423B">
      <w:headerReference r:id="rId10" w:type="even"/>
      <w:headerReference r:id="rId9" w:type="default"/>
      <w:footerReference r:id="rId12" w:type="even"/>
      <w:footerReference r:id="rId14" w:type="default"/>
      <w:headerReference r:id="rId11" w:type="first"/>
      <w:footerReference r:id="rId13" w:type="first"/>
      <w:pgSz w:h="15840" w:w="12240"/>
      <w:pgMar w:bottom="1440" w:footer="708" w:gutter="0" w:header="708" w:left="1440" w:right="1440" w:top="1440"/>
      <w:lnNumType w:countBy="1" w:restart="continuous"/>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9416917"/>
      <w:docPartObj>
        <w:docPartGallery w:val="Page Numbers (Bottom of Page)"/>
        <w:docPartUnique/>
      </w:docPartObj>
    </w:sdtPr>
    <w:sdtContent>
      <w:p w14:paraId="4AD69DEA" w14:textId="77777777" w:rsidR="0007423B" w:rsidRDefault="0007423B" w:rsidP="006D0F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674E5D6" w14:textId="77777777" w:rsidR="004A333F" w:rsidRDefault="004A333F" w:rsidP="000742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850733"/>
      <w:docPartObj>
        <w:docPartGallery w:val="Page Numbers (Bottom of Page)"/>
        <w:docPartUnique/>
      </w:docPartObj>
    </w:sdtPr>
    <w:sdtContent>
      <w:p w14:paraId="7E26DDB2" w14:textId="77777777" w:rsidR="0007423B" w:rsidRDefault="0007423B" w:rsidP="006D0F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13F0EC" w14:textId="3947DEE2" w:rsidR="00B35C31" w:rsidRPr="0007423B" w:rsidRDefault="00B35C31" w:rsidP="0007423B">
    <w:pPr>
      <w:pStyle w:val="Footer"/>
      <w:ind w:right="360"/>
      <w:rPr>
        <w:sz w:val="22"/>
        <w:szCs w:val="22"/>
      </w:rPr>
    </w:pPr>
    <w:hyperlink r:id="rId1" w:history="1">
      <w:r w:rsidRPr="0007423B">
        <w:rPr>
          <w:rStyle w:val="Hyperlink"/>
          <w:sz w:val="22"/>
          <w:szCs w:val="22"/>
        </w:rPr>
        <w:t>www.clasifai.me</w:t>
      </w:r>
    </w:hyperlink>
    <w:r w:rsidRPr="0007423B">
      <w:rPr>
        <w:sz w:val="22"/>
        <w:szCs w:val="22"/>
      </w:rPr>
      <w:t xml:space="preserve">                                                                                                                        </w:t>
    </w:r>
  </w:p>
  <w:p w14:paraId="7C0E5FED" w14:textId="77777777" w:rsidR="004A333F" w:rsidRDefault="004A33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D3313" w14:textId="77777777" w:rsidR="004A333F" w:rsidRDefault="004A333F">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BB4A2" w14:textId="77777777" w:rsidR="004A333F" w:rsidRDefault="004A33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58D36" w14:textId="77777777" w:rsidR="00540440" w:rsidRDefault="00540440">
    <w:pPr>
      <w:pStyle w:val="Header"/>
    </w:pPr>
    <w:r>
      <w:rPr>
        <w:noProof/>
      </w:rPr>
      <w:drawing>
        <wp:inline distT="0" distB="0" distL="0" distR="0" wp14:anchorId="539C8D33" wp14:editId="37E1B0B3">
          <wp:extent cx="1702051" cy="548438"/>
          <wp:effectExtent l="0" t="0" r="0" b="0"/>
          <wp:docPr id="1335496474"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496474" name="Picture 2"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54572" cy="565361"/>
                  </a:xfrm>
                  <a:prstGeom prst="rect">
                    <a:avLst/>
                  </a:prstGeom>
                </pic:spPr>
              </pic:pic>
            </a:graphicData>
          </a:graphic>
        </wp:inline>
      </w:drawing>
    </w:r>
  </w:p>
  <w:p w14:paraId="4F271AF2" w14:textId="77777777" w:rsidR="009E1F74" w:rsidRDefault="009E1F74">
    <w:pPr>
      <w:pStyle w:val="Header"/>
      <w:rPr>
        <w:color w:val="595959" w:themeColor="text1" w:themeTint="A6"/>
      </w:rPr>
    </w:pPr>
    <w:r w:rsidRPr="005F0E2A">
      <w:rPr>
        <w:color w:val="595959" w:themeColor="text1" w:themeTint="A6"/>
      </w:rPr>
      <w:t xml:space="preserve">Sistema de </w:t>
    </w:r>
    <w:r w:rsidR="009A2204" w:rsidRPr="005F0E2A">
      <w:rPr>
        <w:color w:val="595959" w:themeColor="text1" w:themeTint="A6"/>
      </w:rPr>
      <w:t>a</w:t>
    </w:r>
    <w:r w:rsidRPr="005F0E2A">
      <w:rPr>
        <w:color w:val="595959" w:themeColor="text1" w:themeTint="A6"/>
      </w:rPr>
      <w:t>poyo a la clasificación arancelaria</w:t>
    </w:r>
  </w:p>
  <w:p w14:paraId="2A4196F3" w14:textId="77777777" w:rsidR="004A333F" w:rsidRPr="005F0E2A" w:rsidRDefault="004A333F">
    <w:pPr>
      <w:pStyle w:val="Header"/>
      <w:rPr>
        <w:color w:val="595959" w:themeColor="text1" w:themeTint="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A3572" w14:textId="77777777" w:rsidR="004A333F" w:rsidRDefault="004A333F">
    <w:pPr>
      <w:pStyle w:val="Header"/>
    </w:pPr>
  </w:p>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ea454b4c"/>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90"/>
  <w:embedSystemFonts/>
  <w:proofState w:grammar="clean" w:spelling="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accent1="accent1" w:accent2="accent2" w:accent3="accent3" w:accent4="accent4" w:accent5="accent5" w:accent6="accent6" w:bg1="light1" w:bg2="light2" w:followedHyperlink="followedHyperlink" w:hyperlink="hyperlink" w:t1="dark1" w:t2="dark2"/>
  <w:decimalSymbol w:val="."/>
  <w:listSeparator w:val=","/>
  <w:proofState w:grammar="clean" w:spelling="clea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EastAsia" w:hAnsiTheme="minorHAnsi"/>
        <w:kern w:val="2"/>
        <w:sz w:val="24"/>
        <w:szCs w:val="24"/>
        <w:lang w:bidi="ar-SA" w:eastAsia="zh-CN" w:val="en-MX"/>
        <w14:ligatures w14:val="standardContextual"/>
      </w:rPr>
    </w:rPrDefault>
    <w:pPrDefault>
      <w:pPr>
        <w:spacing w:after="160" w:line="278"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style>
  <w:style w:styleId="Heading1" w:type="paragraph">
    <w:name w:val="heading 1"/>
    <w:basedOn w:val="Normal"/>
    <w:next w:val="Normal"/>
    <w:link w:val="Heading1Char"/>
    <w:uiPriority w:val="9"/>
    <w:qFormat/>
    <w:rsid w:val="00CE6B9F"/>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Normal"/>
    <w:link w:val="Heading2Char"/>
    <w:uiPriority w:val="9"/>
    <w:semiHidden/>
    <w:unhideWhenUsed/>
    <w:qFormat/>
    <w:rsid w:val="00CE6B9F"/>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Normal"/>
    <w:link w:val="Heading3Char"/>
    <w:uiPriority w:val="9"/>
    <w:semiHidden/>
    <w:unhideWhenUsed/>
    <w:qFormat/>
    <w:rsid w:val="00CE6B9F"/>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Normal"/>
    <w:link w:val="Heading4Char"/>
    <w:uiPriority w:val="9"/>
    <w:semiHidden/>
    <w:unhideWhenUsed/>
    <w:qFormat/>
    <w:rsid w:val="00CE6B9F"/>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Normal"/>
    <w:link w:val="Heading5Char"/>
    <w:uiPriority w:val="9"/>
    <w:semiHidden/>
    <w:unhideWhenUsed/>
    <w:qFormat/>
    <w:rsid w:val="00CE6B9F"/>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Normal"/>
    <w:link w:val="Heading6Char"/>
    <w:uiPriority w:val="9"/>
    <w:semiHidden/>
    <w:unhideWhenUsed/>
    <w:qFormat/>
    <w:rsid w:val="00CE6B9F"/>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Normal"/>
    <w:link w:val="Heading7Char"/>
    <w:uiPriority w:val="9"/>
    <w:semiHidden/>
    <w:unhideWhenUsed/>
    <w:qFormat/>
    <w:rsid w:val="00CE6B9F"/>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Normal"/>
    <w:link w:val="Heading8Char"/>
    <w:uiPriority w:val="9"/>
    <w:semiHidden/>
    <w:unhideWhenUsed/>
    <w:qFormat/>
    <w:rsid w:val="00CE6B9F"/>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Normal"/>
    <w:link w:val="Heading9Char"/>
    <w:uiPriority w:val="9"/>
    <w:semiHidden/>
    <w:unhideWhenUsed/>
    <w:qFormat/>
    <w:rsid w:val="00CE6B9F"/>
    <w:pPr>
      <w:keepNext/>
      <w:keepLines/>
      <w:spacing w:after="0"/>
      <w:outlineLvl w:val="8"/>
    </w:pPr>
    <w:rPr>
      <w:rFonts w:cstheme="majorBidi" w:eastAsiaTheme="majorEastAsia"/>
      <w:color w:themeColor="text1" w:themeTint="D8" w:val="272727"/>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CE6B9F"/>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CE6B9F"/>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CE6B9F"/>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CE6B9F"/>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CE6B9F"/>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CE6B9F"/>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CE6B9F"/>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CE6B9F"/>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CE6B9F"/>
    <w:rPr>
      <w:rFonts w:cstheme="majorBidi" w:eastAsiaTheme="majorEastAsia"/>
      <w:color w:themeColor="text1" w:themeTint="D8" w:val="272727"/>
    </w:rPr>
  </w:style>
  <w:style w:styleId="Title" w:type="paragraph">
    <w:name w:val="Title"/>
    <w:basedOn w:val="Normal"/>
    <w:next w:val="Normal"/>
    <w:link w:val="TitleChar"/>
    <w:uiPriority w:val="10"/>
    <w:qFormat/>
    <w:rsid w:val="00CE6B9F"/>
    <w:pPr>
      <w:spacing w:after="80" w:line="240" w:lineRule="auto"/>
      <w:contextualSpacing/>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CE6B9F"/>
    <w:rPr>
      <w:rFonts w:asciiTheme="majorHAnsi" w:cstheme="majorBidi" w:eastAsiaTheme="majorEastAsia" w:hAnsiTheme="majorHAnsi"/>
      <w:spacing w:val="-10"/>
      <w:kern w:val="28"/>
      <w:sz w:val="56"/>
      <w:szCs w:val="56"/>
    </w:rPr>
  </w:style>
  <w:style w:styleId="Subtitle" w:type="paragraph">
    <w:name w:val="Subtitle"/>
    <w:basedOn w:val="Normal"/>
    <w:next w:val="Normal"/>
    <w:link w:val="SubtitleChar"/>
    <w:uiPriority w:val="11"/>
    <w:qFormat/>
    <w:rsid w:val="00CE6B9F"/>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CE6B9F"/>
    <w:rPr>
      <w:rFonts w:cstheme="majorBidi" w:eastAsiaTheme="majorEastAsia"/>
      <w:color w:themeColor="text1" w:themeTint="A6" w:val="595959"/>
      <w:spacing w:val="15"/>
      <w:sz w:val="28"/>
      <w:szCs w:val="28"/>
    </w:rPr>
  </w:style>
  <w:style w:styleId="Quote" w:type="paragraph">
    <w:name w:val="Quote"/>
    <w:basedOn w:val="Normal"/>
    <w:next w:val="Normal"/>
    <w:link w:val="QuoteChar"/>
    <w:uiPriority w:val="29"/>
    <w:qFormat/>
    <w:rsid w:val="00CE6B9F"/>
    <w:pPr>
      <w:spacing w:before="160"/>
      <w:jc w:val="center"/>
    </w:pPr>
    <w:rPr>
      <w:i/>
      <w:iCs/>
      <w:color w:themeColor="text1" w:themeTint="BF" w:val="404040"/>
    </w:rPr>
  </w:style>
  <w:style w:customStyle="1" w:styleId="QuoteChar" w:type="character">
    <w:name w:val="Quote Char"/>
    <w:basedOn w:val="DefaultParagraphFont"/>
    <w:link w:val="Quote"/>
    <w:uiPriority w:val="29"/>
    <w:rsid w:val="00CE6B9F"/>
    <w:rPr>
      <w:i/>
      <w:iCs/>
      <w:color w:themeColor="text1" w:themeTint="BF" w:val="404040"/>
    </w:rPr>
  </w:style>
  <w:style w:styleId="ListParagraph" w:type="paragraph">
    <w:name w:val="List Paragraph"/>
    <w:basedOn w:val="Normal"/>
    <w:uiPriority w:val="34"/>
    <w:qFormat/>
    <w:rsid w:val="00CE6B9F"/>
    <w:pPr>
      <w:ind w:left="720"/>
      <w:contextualSpacing/>
    </w:pPr>
  </w:style>
  <w:style w:styleId="IntenseEmphasis" w:type="character">
    <w:name w:val="Intense Emphasis"/>
    <w:basedOn w:val="DefaultParagraphFont"/>
    <w:uiPriority w:val="21"/>
    <w:qFormat/>
    <w:rsid w:val="00CE6B9F"/>
    <w:rPr>
      <w:i/>
      <w:iCs/>
      <w:color w:themeColor="accent1" w:themeShade="BF" w:val="0F4761"/>
    </w:rPr>
  </w:style>
  <w:style w:styleId="IntenseQuote" w:type="paragraph">
    <w:name w:val="Intense Quote"/>
    <w:basedOn w:val="Normal"/>
    <w:next w:val="Normal"/>
    <w:link w:val="IntenseQuoteChar"/>
    <w:uiPriority w:val="30"/>
    <w:qFormat/>
    <w:rsid w:val="00CE6B9F"/>
    <w:pPr>
      <w:pBdr>
        <w:top w:color="0F4761" w:space="10" w:sz="4" w:themeColor="accent1" w:themeShade="BF" w:val="single"/>
        <w:bottom w:color="0F4761" w:space="10" w:sz="4" w:themeColor="accent1" w:themeShade="BF" w:val="single"/>
      </w:pBdr>
      <w:spacing w:after="360" w:before="360"/>
      <w:ind w:left="864" w:right="864"/>
      <w:jc w:val="center"/>
    </w:pPr>
    <w:rPr>
      <w:i/>
      <w:iCs/>
      <w:color w:themeColor="accent1" w:themeShade="BF" w:val="0F4761"/>
    </w:rPr>
  </w:style>
  <w:style w:customStyle="1" w:styleId="IntenseQuoteChar" w:type="character">
    <w:name w:val="Intense Quote Char"/>
    <w:basedOn w:val="DefaultParagraphFont"/>
    <w:link w:val="IntenseQuote"/>
    <w:uiPriority w:val="30"/>
    <w:rsid w:val="00CE6B9F"/>
    <w:rPr>
      <w:i/>
      <w:iCs/>
      <w:color w:themeColor="accent1" w:themeShade="BF" w:val="0F4761"/>
    </w:rPr>
  </w:style>
  <w:style w:styleId="IntenseReference" w:type="character">
    <w:name w:val="Intense Reference"/>
    <w:basedOn w:val="DefaultParagraphFont"/>
    <w:uiPriority w:val="32"/>
    <w:qFormat/>
    <w:rsid w:val="00CE6B9F"/>
    <w:rPr>
      <w:b/>
      <w:bCs/>
      <w:smallCaps/>
      <w:color w:themeColor="accent1" w:themeShade="BF" w:val="0F4761"/>
      <w:spacing w:val="5"/>
    </w:rPr>
  </w:style>
  <w:style w:styleId="Header" w:type="paragraph">
    <w:name w:val="header"/>
    <w:basedOn w:val="Normal"/>
    <w:link w:val="HeaderChar"/>
    <w:uiPriority w:val="99"/>
    <w:unhideWhenUsed/>
    <w:rsid w:val="00540440"/>
    <w:pPr>
      <w:tabs>
        <w:tab w:pos="4680" w:val="center"/>
        <w:tab w:pos="9360" w:val="right"/>
      </w:tabs>
      <w:spacing w:after="0" w:line="240" w:lineRule="auto"/>
    </w:pPr>
  </w:style>
  <w:style w:customStyle="1" w:styleId="HeaderChar" w:type="character">
    <w:name w:val="Header Char"/>
    <w:basedOn w:val="DefaultParagraphFont"/>
    <w:link w:val="Header"/>
    <w:uiPriority w:val="99"/>
    <w:rsid w:val="00540440"/>
  </w:style>
  <w:style w:styleId="Footer" w:type="paragraph">
    <w:name w:val="footer"/>
    <w:basedOn w:val="Normal"/>
    <w:link w:val="FooterChar"/>
    <w:uiPriority w:val="99"/>
    <w:unhideWhenUsed/>
    <w:rsid w:val="00540440"/>
    <w:pPr>
      <w:tabs>
        <w:tab w:pos="4680" w:val="center"/>
        <w:tab w:pos="9360" w:val="right"/>
      </w:tabs>
      <w:spacing w:after="0" w:line="240" w:lineRule="auto"/>
    </w:pPr>
  </w:style>
  <w:style w:customStyle="1" w:styleId="FooterChar" w:type="character">
    <w:name w:val="Footer Char"/>
    <w:basedOn w:val="DefaultParagraphFont"/>
    <w:link w:val="Footer"/>
    <w:uiPriority w:val="99"/>
    <w:rsid w:val="00540440"/>
  </w:style>
  <w:style w:styleId="Hyperlink" w:type="character">
    <w:name w:val="Hyperlink"/>
    <w:basedOn w:val="DefaultParagraphFont"/>
    <w:uiPriority w:val="99"/>
    <w:unhideWhenUsed/>
    <w:rsid w:val="00B35C31"/>
    <w:rPr>
      <w:color w:themeColor="hyperlink" w:val="467886"/>
      <w:u w:val="single"/>
    </w:rPr>
  </w:style>
  <w:style w:styleId="PageNumber" w:type="character">
    <w:name w:val="page number"/>
    <w:basedOn w:val="DefaultParagraphFont"/>
    <w:uiPriority w:val="99"/>
    <w:semiHidden/>
    <w:unhideWhenUsed/>
    <w:rsid w:val="0007423B"/>
  </w:style>
  <w:style w:styleId="LineNumber" w:type="character">
    <w:name w:val="line number"/>
    <w:basedOn w:val="DefaultParagraphFont"/>
    <w:uiPriority w:val="99"/>
    <w:semiHidden/>
    <w:unhideWhenUsed/>
    <w:rsid w:val="0007423B"/>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s>
</file>

<file path=word/_rels/footer2.xml.rels><?xml version="1.0" encoding="UTF-8" standalone="yes"?>
<Relationships xmlns="http://schemas.openxmlformats.org/package/2006/relationships"><Relationship Id="rId1" Type="http://schemas.openxmlformats.org/officeDocument/2006/relationships/hyperlink" Target="http://www.clasifai.me" TargetMode="External"/></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Doc4.dotx</Template>
  <TotalTime>0</TotalTime>
  <Pages>2</Pages>
  <Words>3</Words>
  <Characters>22</Characters>
  <Application>Microsoft Office Word</Application>
  <DocSecurity>0</DocSecurity>
  <Lines>1</Lines>
  <Paragraphs>1</Paragraphs>
  <ScaleCrop>false</ScaleCrop>
  <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2025-09-16T02:00:18Z</dcterms:created>
  <dcterms:modified xsi:type="dcterms:W3CDTF">2025-09-16T02:00:18Z</dcterms:modified>
</cp:coreProperties>
</file>

<file path=docProps/custom.xml><?xml version="1.0" encoding="utf-8"?>
<Properties xmlns="http://schemas.openxmlformats.org/officeDocument/2006/custom-properties" xmlns:vt="http://schemas.openxmlformats.org/officeDocument/2006/docPropsVTypes"/>
</file>