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Fecha: 15/09/2025 14:14:25</w:t>
      </w:r>
    </w:p>
    <w:p>
      <w:pPr>
        <w:pStyle w:val="BodyText"/>
      </w:pPr>
      <w:r>
        <w:t xml:space="preserve">Cuenta: Ver18-b</w:t>
      </w:r>
    </w:p>
    <w:p>
      <w:pPr>
        <w:pStyle w:val="BodyText"/>
      </w:pPr>
      <w:r>
        <w:t xml:space="preserve">Usuario: cmhs</w:t>
      </w:r>
    </w:p>
    <w:p>
      <w:pPr>
        <w:pStyle w:val="BodyText"/>
      </w:pPr>
      <w:r>
        <w:t xml:space="preserve">ITEM: Pollo cocido en polvo, elaborado a partir de carne de pollo que se ha molido, cocido y secado por aspersión, envasado en saco de 25 kg. Los ingredientes son los siguientes: carne de pollo separada mecánicamente y cocida (99.9 %) y antioxidante (extracto de romero) (0.1 %).</w:t>
      </w:r>
    </w:p>
    <w:p>
      <w:r>
        <w:pict>
          <v:rect style="width:0;height:1.5pt" o:hralign="center" o:hrstd="t" o:hr="t"/>
        </w:pict>
      </w:r>
    </w:p>
    <w:bookmarkStart w:id="25" w:name="sugerencia-de-clasificación-arancelaria"/>
    <w:p>
      <w:pPr>
        <w:pStyle w:val="Heading1"/>
      </w:pPr>
      <w:r>
        <w:t xml:space="preserve">Sugerencia de Clasificación Arancelaria</w:t>
      </w:r>
    </w:p>
    <w:bookmarkStart w:id="20" w:name="fase-1"/>
    <w:p>
      <w:pPr>
        <w:pStyle w:val="Heading3"/>
      </w:pPr>
      <w:r>
        <w:t xml:space="preserve">Fase 1</w:t>
      </w:r>
    </w:p>
    <w:p>
      <w:pPr>
        <w:pStyle w:val="FirstParagraph"/>
      </w:pPr>
      <w:r>
        <w:rPr>
          <w:bCs/>
          <w:b/>
        </w:rPr>
        <w:t xml:space="preserve">Top 3 capítulos candidatos</w:t>
      </w:r>
    </w:p>
    <w:tbl>
      <w:tblPr>
        <w:tblStyle w:val="Table"/>
        <w:tblW w:type="pct" w:w="0.0"/>
        <w:tblLook w:firstRow="1" w:lastRow="0" w:firstColumn="0" w:lastColumn="0" w:noHBand="0" w:noVBand="0" w:val="0020"/>
      </w:tblPr>
      <w:tblGrid/>
      <w:tr>
        <w:tc>
          <w:p>
            <w:pPr>
              <w:pStyle w:val="Compact"/>
              <w:jc w:val="right"/>
            </w:pPr>
            <w:r>
              <w:t xml:space="preserve">Capítulo</w:t>
            </w:r>
          </w:p>
        </w:tc>
        <w:tc>
          <w:p>
            <w:pPr>
              <w:pStyle w:val="Compact"/>
              <w:jc w:val="left"/>
            </w:pPr>
            <w:r>
              <w:t xml:space="preserve">Justificación</w:t>
            </w:r>
          </w:p>
        </w:tc>
      </w:tr>
      <w:tr>
        <w:tc>
          <w:p>
            <w:pPr>
              <w:pStyle w:val="Compact"/>
              <w:jc w:val="right"/>
            </w:pPr>
            <w:r>
              <w:rPr>
                <w:bCs/>
                <w:b/>
              </w:rPr>
              <w:t xml:space="preserve">02</w:t>
            </w:r>
          </w:p>
        </w:tc>
        <w:tc>
          <w:p>
            <w:pPr>
              <w:pStyle w:val="Compact"/>
              <w:jc w:val="left"/>
            </w:pPr>
            <w:r>
              <w:t xml:space="preserve">Por la RGI 1, la partida 02.10 cubre expresamente las harinas y polvos comestibles de carne; el producto es un polvo de pollo cocido que encaja en este texto. La carne de pollo separada mecánicamente se reconoce como carne comestible en las Notas del Capítulo 02 (por lo que procede en el Capítulo 02). El 0.1% de antioxidante de romero no altera el carácter esencial; los productos mezclados permanecen en la partida conforme a las RGI 2(b) y 3(b), según corresponda.</w:t>
            </w:r>
          </w:p>
        </w:tc>
      </w:tr>
      <w:tr>
        <w:tc>
          <w:p>
            <w:pPr>
              <w:pStyle w:val="Compact"/>
              <w:jc w:val="right"/>
            </w:pPr>
            <w:r>
              <w:rPr>
                <w:bCs/>
                <w:b/>
              </w:rPr>
              <w:t xml:space="preserve">16</w:t>
            </w:r>
          </w:p>
        </w:tc>
        <w:tc>
          <w:p>
            <w:pPr>
              <w:pStyle w:val="Compact"/>
              <w:jc w:val="left"/>
            </w:pPr>
            <w:r>
              <w:t xml:space="preserve">El Capítulo 16 abarca preparaciones de carne, pero la Nota 1 excluye los productos preparados o conservados por los procedimientos citados en el Capítulo 02; las harinas/polvos comestibles de carne están específicamente previstos en 02.10, por lo que el Capítulo 16 no aplica.</w:t>
            </w:r>
          </w:p>
        </w:tc>
      </w:tr>
      <w:tr>
        <w:tc>
          <w:p>
            <w:pPr>
              <w:pStyle w:val="Compact"/>
              <w:jc w:val="right"/>
            </w:pPr>
            <w:r>
              <w:rPr>
                <w:bCs/>
                <w:b/>
              </w:rPr>
              <w:t xml:space="preserve">23</w:t>
            </w:r>
          </w:p>
        </w:tc>
        <w:tc>
          <w:p>
            <w:pPr>
              <w:pStyle w:val="Compact"/>
              <w:jc w:val="left"/>
            </w:pPr>
            <w:r>
              <w:t xml:space="preserve">La partida 23.01 cubre harinas/polvos de carne no aptos para el consumo humano; dado que el producto es comestible (Nota 1 del Cap. 02 aclara que 02.10 excluye únicamente los bienes no comestibles), se excluye el Capítulo 23.</w:t>
            </w:r>
          </w:p>
        </w:tc>
      </w:tr>
    </w:tbl>
    <w:bookmarkEnd w:id="20"/>
    <w:bookmarkStart w:id="21" w:name="fase-3"/>
    <w:p>
      <w:pPr>
        <w:pStyle w:val="Heading3"/>
      </w:pPr>
      <w:r>
        <w:t xml:space="preserve">Fase 3</w:t>
      </w:r>
    </w:p>
    <w:bookmarkEnd w:id="21"/>
    <w:bookmarkStart w:id="22" w:name="dictamen-de-clasificación-arancelaria"/>
    <w:p>
      <w:pPr>
        <w:pStyle w:val="Heading3"/>
      </w:pPr>
      <w:r>
        <w:t xml:space="preserve">DICTAMEN DE CLASIFICACIÓN ARANCELARIA</w:t>
      </w:r>
    </w:p>
    <w:p>
      <w:pPr>
        <w:pStyle w:val="FirstParagraph"/>
      </w:pPr>
      <w:r>
        <w:t xml:space="preserve">I. Marco jurídico</w:t>
      </w:r>
    </w:p>
    <w:p>
      <w:pPr>
        <w:numPr>
          <w:ilvl w:val="0"/>
          <w:numId w:val="1001"/>
        </w:numPr>
      </w:pPr>
      <w:r>
        <w:t xml:space="preserve">Reglas Generales de Interpretación (RGI)</w:t>
      </w:r>
      <w:r>
        <w:t xml:space="preserve"> </w:t>
      </w:r>
      <w:r>
        <w:t xml:space="preserve">• RGI 1. “Los títulos de las Secciones, Capítulos o Subcapítulos se proporcionan únicamente como referencia; para fines legales, la clasificación se determinará conforme a los términos de las partidas y a las Notas de Sección o de Capítulo correspondientes…”</w:t>
      </w:r>
      <w:r>
        <w:t xml:space="preserve"> </w:t>
      </w:r>
      <w:r>
        <w:t xml:space="preserve">• RGI 2(b). “Toda referencia a una materia… en una partida se entenderá que incluye las mezclas o combinaciones de esa materia… La clasificación de mercancías constituidas por más de una materia se efectuará conforme a los principios de la Regla 3.”</w:t>
      </w:r>
      <w:r>
        <w:t xml:space="preserve"> </w:t>
      </w:r>
      <w:r>
        <w:t xml:space="preserve">• RGI 3(a). “La partida que describa más específicamente la mercancía tendrá prioridad sobre las partidas de alcance más general.”</w:t>
      </w:r>
      <w:r>
        <w:t xml:space="preserve"> </w:t>
      </w:r>
      <w:r>
        <w:t xml:space="preserve">• RGI 3(b). Cuando la Regla 3(a) no permita la clasificación de mezclas o mercancías compuestas, la clasificación se hará “como si estuvieran constituidas por la materia o el componente que les confiera su carácter esencial.”</w:t>
      </w:r>
      <w:r>
        <w:t xml:space="preserve"> </w:t>
      </w:r>
      <w:r>
        <w:t xml:space="preserve">• RGI 6. “Las Reglas 1 a 5 anteriores se aplicarán mutatis mutandis para la clasificación a nivel de subpartida… el alcance de una subpartida de dos guiones no se extiende más allá del de la subpartida de un guion a la que pertenece.”</w:t>
      </w:r>
    </w:p>
    <w:p>
      <w:pPr>
        <w:numPr>
          <w:ilvl w:val="0"/>
          <w:numId w:val="1001"/>
        </w:numPr>
      </w:pPr>
      <w:r>
        <w:t xml:space="preserve">Notas de Capítulo y textos legales (LIGIE/Notas Explicativas de la Nación – NESA)</w:t>
      </w:r>
      <w:r>
        <w:t xml:space="preserve"> </w:t>
      </w:r>
      <w:r>
        <w:t xml:space="preserve">• Capítulo 16, Nota 1: “Este Capítulo no comprende la carne ni las despojos comestibles… preparados o conservados por los procedimientos especificados en los Capítulos 02 y 03…”</w:t>
      </w:r>
      <w:r>
        <w:t xml:space="preserve"> </w:t>
      </w:r>
      <w:r>
        <w:t xml:space="preserve">• Subnota de Subpartida del Capítulo 16 (1602.10): Las “preparaciones homogeneizadas” son preparaciones finamente homogeneizadas “presentadas para la venta al por menor… en envases de un peso neto que no exceda de 250 g… Esta subpartida 1602.10 tiene prioridad sobre las demás subpartidas de la partida 16.02.”</w:t>
      </w:r>
      <w:r>
        <w:t xml:space="preserve"> </w:t>
      </w:r>
      <w:r>
        <w:t xml:space="preserve">• Capítulo 02, Nota 1(a): Para las partidas 02.01 a 02.08 y 02.10, “este Capítulo no comprende los productos no aptos para el consumo humano.”</w:t>
      </w:r>
      <w:r>
        <w:t xml:space="preserve"> </w:t>
      </w:r>
      <w:r>
        <w:t xml:space="preserve">• Nota Nacional, Capítulo 02, 1(b): “Carne deshuesada mecánicamente” significa una pasta semisólida comestible obtenida al moler carne originalmente adherida a las canales y separada del hueso por medios mecánicos; de uso común en carnes procesadas.</w:t>
      </w:r>
      <w:r>
        <w:t xml:space="preserve"> </w:t>
      </w:r>
      <w:r>
        <w:t xml:space="preserve">• Texto de la partida 02.10: “Carne y despojos comestibles, salados o en salmuera, secos o ahumados; harinas y polvos comestibles de carne o de despojos.” Dentro de esta partida, el grupo “Los demás, incluidas las harinas y polvos comestibles de carne o de despojos” conduce a las subpartidas 0210.91 a 0210.99; 0210.99 cubre “Los demás.”</w:t>
      </w:r>
    </w:p>
    <w:p>
      <w:pPr>
        <w:pStyle w:val="FirstParagraph"/>
      </w:pPr>
      <w:r>
        <w:t xml:space="preserve">II. Análisis jurídico‑técnico</w:t>
      </w:r>
      <w:r>
        <w:t xml:space="preserve"> </w:t>
      </w:r>
      <w:r>
        <w:t xml:space="preserve">Producto descrito: pollo cocido en polvo, obtenido de carne de pollo separada mecánicamente que se muele, cuece y seca por aspersión, en sacos de 25 kg; 99.9% carne de pollo, 0.1% antioxidante (extracto de romero).</w:t>
      </w:r>
    </w:p>
    <w:p>
      <w:pPr>
        <w:pStyle w:val="BodyText"/>
      </w:pPr>
      <w:r>
        <w:t xml:space="preserve">a) Determinación de Capítulo (Capítulo 02 vs. Capítulo 16)</w:t>
      </w:r>
    </w:p>
    <w:p>
      <w:pPr>
        <w:numPr>
          <w:ilvl w:val="0"/>
          <w:numId w:val="1002"/>
        </w:numPr>
        <w:pStyle w:val="Compact"/>
      </w:pPr>
      <w:r>
        <w:t xml:space="preserve">El producto es un polvo de carne obtenido por secado por aspersión (es decir, seco). El Capítulo 16 excluye expresamente la carne “preparada o conservada por los procedimientos especificados en el Capítulo 02” (p. ej., secado). Por lo tanto, por la RGI 1 y la Nota 1 del Capítulo 16, estas mercancías deben clasificarse en el Capítulo 02 si cumplen sus términos.</w:t>
      </w:r>
    </w:p>
    <w:p>
      <w:pPr>
        <w:numPr>
          <w:ilvl w:val="0"/>
          <w:numId w:val="1002"/>
        </w:numPr>
        <w:pStyle w:val="Compact"/>
      </w:pPr>
      <w:r>
        <w:t xml:space="preserve">Adicionalmente, el Capítulo 02 comprende productos comestibles (Nota 1(a) del Capítulo 02); no hay información que sugiera que las mercancías no sean aptas para consumo humano, por lo que no aplica la exclusión de la Nota 1(a).</w:t>
      </w:r>
    </w:p>
    <w:p>
      <w:pPr>
        <w:pStyle w:val="FirstParagraph"/>
      </w:pPr>
      <w:r>
        <w:t xml:space="preserve">b) Determinación de partida dentro del Capítulo 02</w:t>
      </w:r>
    </w:p>
    <w:p>
      <w:pPr>
        <w:numPr>
          <w:ilvl w:val="0"/>
          <w:numId w:val="1003"/>
        </w:numPr>
        <w:pStyle w:val="Compact"/>
      </w:pPr>
      <w:r>
        <w:t xml:space="preserve">La partida 02.10 cubre expresamente “harinas y polvos comestibles de carne o de despojos”, además de carne salada/en salmuera/seca/ahumada. Por la RGI 1, un polvo de carne comestible es prima facie clasificable en la partida 02.10 como “harina/polvo comestible de carne”.</w:t>
      </w:r>
    </w:p>
    <w:p>
      <w:pPr>
        <w:numPr>
          <w:ilvl w:val="0"/>
          <w:numId w:val="1003"/>
        </w:numPr>
        <w:pStyle w:val="Compact"/>
      </w:pPr>
      <w:r>
        <w:t xml:space="preserve">La pequeña adición de antioxidante (0.1%) no altera el carácter esencial del producto como polvo de carne; conforme a las RGI 2(b) y 3(b), una referencia a una materia incluye esa materia aun cuando esté mezclada con otras sustancias, y la clasificación sigue el componente que confiere el carácter esencial—en este caso, la carne de pollo al 99.9%.</w:t>
      </w:r>
    </w:p>
    <w:p>
      <w:pPr>
        <w:pStyle w:val="FirstParagraph"/>
      </w:pPr>
      <w:r>
        <w:t xml:space="preserve">c) Determinación de subpartida (RGI 6)</w:t>
      </w:r>
    </w:p>
    <w:p>
      <w:pPr>
        <w:numPr>
          <w:ilvl w:val="0"/>
          <w:numId w:val="1004"/>
        </w:numPr>
        <w:pStyle w:val="Compact"/>
      </w:pPr>
      <w:r>
        <w:t xml:space="preserve">Dentro de 02.10, el grupo de un guion “Los demás, incluidas las harinas y polvos comestibles de carne o de despojos” es el pertinente para los polvos de carne.</w:t>
      </w:r>
    </w:p>
    <w:p>
      <w:pPr>
        <w:numPr>
          <w:ilvl w:val="0"/>
          <w:numId w:val="1004"/>
        </w:numPr>
        <w:pStyle w:val="Compact"/>
      </w:pPr>
      <w:r>
        <w:t xml:space="preserve">Las subpartidas de dos guiones en este grupo distinguen especies: 0210.91 (primates), 0210.92 (cetáceos, sirenios, pinnípedos), 0210.93 (reptiles) y 0210.99 (Los demás). El pollo no está cubierto por 0210.91–0210.93; por lo tanto, por la RGI 6, la subpartida correcta es 0210.99.</w:t>
      </w:r>
    </w:p>
    <w:p>
      <w:pPr>
        <w:pStyle w:val="FirstParagraph"/>
      </w:pPr>
      <w:r>
        <w:t xml:space="preserve">III. Exclusión de partidas/subpartidas alternativas (Capítulos 02 y 16 únicamente)</w:t>
      </w:r>
    </w:p>
    <w:p>
      <w:pPr>
        <w:numPr>
          <w:ilvl w:val="0"/>
          <w:numId w:val="1005"/>
        </w:numPr>
        <w:pStyle w:val="Compact"/>
      </w:pPr>
      <w:r>
        <w:t xml:space="preserve">Partida 16.02 (Las demás preparaciones de carne): Excluida porque el Capítulo 16 no comprende carne preparada/conservada por los procesos del Capítulo 02; el secado (por aspersión) ubica el producto en el Capítulo 02 conforme a la Nota 1 del Capítulo 16 y la RGI 1. Aunque la carne esté cocida, el factor decisivo es que se trata de un polvo de carne comestible—expresamente descrito en la partida 02.10—por lo que, conforme a la RGI 3(a), 02.10 (que nombra específicamente el polvo de carne comestible) es más específica que la genérica “las demás preparaciones” de 16.02.</w:t>
      </w:r>
    </w:p>
    <w:p>
      <w:pPr>
        <w:numPr>
          <w:ilvl w:val="0"/>
          <w:numId w:val="1005"/>
        </w:numPr>
        <w:pStyle w:val="Compact"/>
      </w:pPr>
      <w:r>
        <w:t xml:space="preserve">Subpartida 1602.10 (Preparaciones homogeneizadas): No aplicable porque se limita a preparaciones finamente homogeneizadas “presentadas para la venta al por menor… en envases de ≤250 g,” condición que no se cumple con sacos de 25 kg; además, el producto no se presenta como alimento para lactantes/uso dietético conforme a esa subnota legal.</w:t>
      </w:r>
    </w:p>
    <w:p>
      <w:pPr>
        <w:numPr>
          <w:ilvl w:val="0"/>
          <w:numId w:val="1005"/>
        </w:numPr>
        <w:pStyle w:val="Compact"/>
      </w:pPr>
      <w:r>
        <w:t xml:space="preserve">Partida 16.03 (Extractos y jugos de carne): No aplicable; el producto no es un extracto ni jugo de carne, sino un polvo comestible de carne; la partida 02.10 nombra específicamente el polvo comestible de carne, lo cual prevalece por la RGI 3(a).</w:t>
      </w:r>
    </w:p>
    <w:p>
      <w:pPr>
        <w:numPr>
          <w:ilvl w:val="0"/>
          <w:numId w:val="1005"/>
        </w:numPr>
        <w:pStyle w:val="Compact"/>
      </w:pPr>
      <w:r>
        <w:t xml:space="preserve">Subpartidas 0210.11, 0210.12, 0210.19 (cerdo) y 0210.20 (bovino): No aplicables por especie; el producto es de pollo.</w:t>
      </w:r>
    </w:p>
    <w:p>
      <w:pPr>
        <w:numPr>
          <w:ilvl w:val="0"/>
          <w:numId w:val="1005"/>
        </w:numPr>
        <w:pStyle w:val="Compact"/>
      </w:pPr>
      <w:r>
        <w:t xml:space="preserve">Subpartidas 0210.91 (primates), 0210.92 (cetáceos/sirenios/pinnípedos), 0210.93 (reptiles): No aplicables por especie; el pollo no está incluido en estas subpartidas; “Los demás” (0210.99) aplica.</w:t>
      </w:r>
    </w:p>
    <w:p>
      <w:pPr>
        <w:numPr>
          <w:ilvl w:val="0"/>
          <w:numId w:val="1005"/>
        </w:numPr>
        <w:pStyle w:val="Compact"/>
      </w:pPr>
      <w:r>
        <w:t xml:space="preserve">Partida 02.09 (Tocino y grasa de animales sin carne; grasas de cerdo o de aves, fundidas o no): No aplicable; las mercancías son polvo de carne, no grasas ni tocino; el alcance de 02.09 es distinto y específico a estructuras de grasa/tocino.</w:t>
      </w:r>
    </w:p>
    <w:p>
      <w:pPr>
        <w:pStyle w:val="FirstParagraph"/>
      </w:pPr>
      <w:r>
        <w:t xml:space="preserve">IV. Requerimientos documentales (para sustentar los criterios legales anteriores)</w:t>
      </w:r>
      <w:r>
        <w:t xml:space="preserve"> </w:t>
      </w:r>
      <w:r>
        <w:t xml:space="preserve">Para verificar y respaldar la clasificación en el despacho aduanero, el importador deberá proporcionar:</w:t>
      </w:r>
    </w:p>
    <w:p>
      <w:pPr>
        <w:numPr>
          <w:ilvl w:val="0"/>
          <w:numId w:val="1006"/>
        </w:numPr>
        <w:pStyle w:val="Compact"/>
      </w:pPr>
      <w:r>
        <w:t xml:space="preserve">Ficha técnica detallada y formulación cuantitativa completa, que evidencie 99.9% carne de pollo y 0.1% antioxidante, para aplicar RGI 2(b)/3(b) sobre carácter esencial y confirmar comestibilidad conforme a la Nota 1(a) del Capítulo 02.</w:t>
      </w:r>
    </w:p>
    <w:p>
      <w:pPr>
        <w:numPr>
          <w:ilvl w:val="0"/>
          <w:numId w:val="1006"/>
        </w:numPr>
        <w:pStyle w:val="Compact"/>
      </w:pPr>
      <w:r>
        <w:t xml:space="preserve">Diagrama de proceso (molienda, cocción, secado por aspersión) y descripción de la forma física que confirme que el producto es un polvo de carne comestible conforme a la partida 02.10.</w:t>
      </w:r>
    </w:p>
    <w:p>
      <w:pPr>
        <w:numPr>
          <w:ilvl w:val="0"/>
          <w:numId w:val="1006"/>
        </w:numPr>
        <w:pStyle w:val="Compact"/>
      </w:pPr>
      <w:r>
        <w:t xml:space="preserve">Detalles de empaque y presentación (saco industrial de 25 kg) para excluir 1602.10 (presentaciones al por menor ≤250 g para uso infantil/dietético).</w:t>
      </w:r>
    </w:p>
    <w:p>
      <w:pPr>
        <w:numPr>
          <w:ilvl w:val="0"/>
          <w:numId w:val="1006"/>
        </w:numPr>
        <w:pStyle w:val="Compact"/>
      </w:pPr>
      <w:r>
        <w:t xml:space="preserve">Si se alegara salado/salmuera, certificado de laboratorio de contenido de NaCl sería relevante solo para notas nacionales específicas sobre aves saladas/en salmuera en 0210.99; de lo contrario, no es necesario para la clasificación como polvo de carne comestible.</w:t>
      </w:r>
    </w:p>
    <w:p>
      <w:pPr>
        <w:pStyle w:val="FirstParagraph"/>
      </w:pPr>
      <w:r>
        <w:t xml:space="preserve">V. Conclusión</w:t>
      </w:r>
    </w:p>
    <w:p>
      <w:pPr>
        <w:numPr>
          <w:ilvl w:val="0"/>
          <w:numId w:val="1007"/>
        </w:numPr>
        <w:pStyle w:val="Compact"/>
      </w:pPr>
      <w:r>
        <w:t xml:space="preserve">Tabla de clasificación (alcance limitado a nivel de subpartida):</w:t>
      </w:r>
      <w:r>
        <w:t xml:space="preserve"> </w:t>
      </w:r>
      <w:r>
        <w:t xml:space="preserve">• Capítulo: 02</w:t>
      </w:r>
      <w:r>
        <w:t xml:space="preserve"> </w:t>
      </w:r>
      <w:r>
        <w:t xml:space="preserve">• Partida: 02.10</w:t>
      </w:r>
      <w:r>
        <w:t xml:space="preserve"> </w:t>
      </w:r>
      <w:r>
        <w:t xml:space="preserve">• Subpartida: 0210.99</w:t>
      </w:r>
      <w:r>
        <w:t xml:space="preserve"> </w:t>
      </w:r>
      <w:r>
        <w:t xml:space="preserve">• Fracción: No determinada (alcance limitado a subpartida)</w:t>
      </w:r>
      <w:r>
        <w:t xml:space="preserve"> </w:t>
      </w:r>
      <w:r>
        <w:t xml:space="preserve">• NICO: No determinado (alcance limitado a subpartida)</w:t>
      </w:r>
    </w:p>
    <w:p>
      <w:pPr>
        <w:pStyle w:val="FirstParagraph"/>
      </w:pPr>
      <w:r>
        <w:t xml:space="preserve">Resolución: Mediante la aplicación de las RGI 1, 2(b), 3(a), 3(b) y 6, considerando la Nota 1 del Capítulo 16 y el texto legal de la partida 02.10, el producto “pollo cocido en polvo (carne de pollo separada mecánicamente, cocida y secada por aspersión; 99.9% carne; 0.1% extracto de romero)” se clasifica a nivel de subpartida como 0210.99, como un polvo de carne comestible comprendido en “Los demás, incluidas las harinas y polvos comestibles de carne o de despojos”, no cubierto por las subpartidas específicas por especie 0210.91 a 0210.93 ni por los grupos de cerdo o bovino.</w:t>
      </w:r>
    </w:p>
    <w:p>
      <w:pPr>
        <w:pStyle w:val="BodyText"/>
      </w:pPr>
      <w:r>
        <w:t xml:space="preserve">Determinación condicionada</w:t>
      </w:r>
      <w:r>
        <w:t xml:space="preserve"> </w:t>
      </w:r>
      <w:r>
        <w:t xml:space="preserve">No aplicable. Con base en la información proporcionada, la clasificación no depende de datos faltantes; el texto legal de 02.10 cubre expresamente los polvos de carne comestibles y el análisis por especie conduce a 0210.99 conforme a la RGI 6.</w:t>
      </w:r>
      <w:r>
        <w:t xml:space="preserve"> </w:t>
      </w:r>
      <w:r>
        <w:t xml:space="preserve">CRITERIOS FALTANTES: Ninguno.</w:t>
      </w:r>
    </w:p>
    <w:bookmarkEnd w:id="22"/>
    <w:bookmarkStart w:id="23" w:name="notas"/>
    <w:p>
      <w:pPr>
        <w:pStyle w:val="Heading3"/>
      </w:pPr>
      <w:r>
        <w:t xml:space="preserve">NOTAS:</w:t>
      </w:r>
    </w:p>
    <w:p>
      <w:r>
        <w:pict>
          <v:rect style="width:0;height:1.5pt" o:hralign="center" o:hrstd="t" o:hr="t"/>
        </w:pict>
      </w:r>
    </w:p>
    <w:bookmarkEnd w:id="23"/>
    <w:bookmarkStart w:id="24" w:name="documentación-consultada"/>
    <w:p>
      <w:pPr>
        <w:pStyle w:val="Heading3"/>
      </w:pPr>
      <w:r>
        <w:t xml:space="preserve">Documentación consultada</w:t>
      </w:r>
    </w:p>
    <w:p>
      <w:pPr>
        <w:numPr>
          <w:ilvl w:val="0"/>
          <w:numId w:val="1008"/>
        </w:numPr>
        <w:pStyle w:val="Compact"/>
      </w:pPr>
      <w:r>
        <w:t xml:space="preserve">Referencias: Ley de los Impuestos Generales de Importación y de Exportación</w:t>
      </w:r>
    </w:p>
    <w:p>
      <w:pPr>
        <w:numPr>
          <w:ilvl w:val="0"/>
          <w:numId w:val="1008"/>
        </w:numPr>
        <w:pStyle w:val="Compact"/>
      </w:pPr>
      <w:r>
        <w:t xml:space="preserve">Versión LIGIE: 7ma Enmienda del Sistema Armonizado</w:t>
      </w:r>
    </w:p>
    <w:p>
      <w:pPr>
        <w:numPr>
          <w:ilvl w:val="0"/>
          <w:numId w:val="1008"/>
        </w:numPr>
        <w:pStyle w:val="Compact"/>
      </w:pPr>
      <w:r>
        <w:t xml:space="preserve">Archivo: LIGIE-UNIFICADA-LIGIE_20250728-20250728.pdf</w:t>
      </w:r>
    </w:p>
    <w:p>
      <w:pPr>
        <w:numPr>
          <w:ilvl w:val="0"/>
          <w:numId w:val="1008"/>
        </w:numPr>
        <w:pStyle w:val="Compact"/>
      </w:pPr>
      <w:r>
        <w:t xml:space="preserve">DOF: con actualizaciones al 30 de agosto de 2025</w:t>
      </w:r>
    </w:p>
    <w:p>
      <w:r>
        <w:pict>
          <v:rect style="width:0;height:1.5pt" o:hralign="center" o:hrstd="t" o:hr="t"/>
        </w:pict>
      </w:r>
    </w:p>
    <w:p>
      <w:pPr>
        <w:pStyle w:val="FirstParagraph"/>
      </w:pPr>
      <w:r>
        <w:t xml:space="preserve">Disclaimer:</w:t>
      </w:r>
    </w:p>
    <w:p>
      <w:pPr>
        <w:pStyle w:val="BodyText"/>
      </w:pPr>
      <w:r>
        <w:t xml:space="preserve">Este reporte tiene fines únicamente informativos y sirve como apoyo al proceso de clasificación arancelaria mexicana. No sustituye el criterio técnico ni la revisión de un especialista.</w:t>
      </w:r>
    </w:p>
    <w:bookmarkEnd w:id="24"/>
    <w:bookmarkEnd w:id="25"/>
    <w:sectPr w:rsidR="00281319" w:rsidRPr="00281319" w:rsidSect="0007423B">
      <w:headerReference r:id="rId10" w:type="even"/>
      <w:headerReference r:id="rId9" w:type="default"/>
      <w:footerReference r:id="rId12" w:type="even"/>
      <w:footerReference r:id="rId14" w:type="default"/>
      <w:headerReference r:id="rId11" w:type="first"/>
      <w:footerReference r:id="rId13" w:type="first"/>
      <w:pgSz w:h="15840" w:w="12240"/>
      <w:pgMar w:bottom="1440" w:footer="708" w:gutter="0" w:header="708" w:left="1440" w:right="1440" w:top="1440"/>
      <w:lnNumType w:countBy="1" w:restart="continuous"/>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9416917"/>
      <w:docPartObj>
        <w:docPartGallery w:val="Page Numbers (Bottom of Page)"/>
        <w:docPartUnique/>
      </w:docPartObj>
    </w:sdtPr>
    <w:sdtContent>
      <w:p w14:paraId="4AD69DEA"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674E5D6" w14:textId="77777777" w:rsidR="004A333F" w:rsidRDefault="004A333F" w:rsidP="000742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850733"/>
      <w:docPartObj>
        <w:docPartGallery w:val="Page Numbers (Bottom of Page)"/>
        <w:docPartUnique/>
      </w:docPartObj>
    </w:sdtPr>
    <w:sdtContent>
      <w:p w14:paraId="7E26DDB2"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13F0EC" w14:textId="3947DEE2" w:rsidR="00B35C31" w:rsidRPr="0007423B" w:rsidRDefault="00B35C31" w:rsidP="0007423B">
    <w:pPr>
      <w:pStyle w:val="Footer"/>
      <w:ind w:right="360"/>
      <w:rPr>
        <w:sz w:val="22"/>
        <w:szCs w:val="22"/>
      </w:rPr>
    </w:pPr>
    <w:hyperlink r:id="rId1" w:history="1">
      <w:r w:rsidRPr="0007423B">
        <w:rPr>
          <w:rStyle w:val="Hyperlink"/>
          <w:sz w:val="22"/>
          <w:szCs w:val="22"/>
        </w:rPr>
        <w:t>www.clasifai.me</w:t>
      </w:r>
    </w:hyperlink>
    <w:r w:rsidRPr="0007423B">
      <w:rPr>
        <w:sz w:val="22"/>
        <w:szCs w:val="22"/>
      </w:rPr>
      <w:t xml:space="preserve">                                                                                                                        </w:t>
    </w:r>
  </w:p>
  <w:p w14:paraId="7C0E5FED" w14:textId="77777777" w:rsidR="004A333F" w:rsidRDefault="004A3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3313" w14:textId="77777777" w:rsidR="004A333F" w:rsidRDefault="004A333F">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BB4A2" w14:textId="77777777" w:rsidR="004A333F" w:rsidRDefault="004A3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8D36" w14:textId="77777777" w:rsidR="00540440" w:rsidRDefault="00540440">
    <w:pPr>
      <w:pStyle w:val="Header"/>
    </w:pPr>
    <w:r>
      <w:rPr>
        <w:noProof/>
      </w:rPr>
      <w:drawing>
        <wp:inline distT="0" distB="0" distL="0" distR="0" wp14:anchorId="539C8D33" wp14:editId="37E1B0B3">
          <wp:extent cx="1702051" cy="548438"/>
          <wp:effectExtent l="0" t="0" r="0" b="0"/>
          <wp:docPr id="1335496474"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96474" name="Picture 2"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54572" cy="565361"/>
                  </a:xfrm>
                  <a:prstGeom prst="rect">
                    <a:avLst/>
                  </a:prstGeom>
                </pic:spPr>
              </pic:pic>
            </a:graphicData>
          </a:graphic>
        </wp:inline>
      </w:drawing>
    </w:r>
  </w:p>
  <w:p w14:paraId="4F271AF2" w14:textId="77777777" w:rsidR="009E1F74" w:rsidRDefault="009E1F74">
    <w:pPr>
      <w:pStyle w:val="Header"/>
      <w:rPr>
        <w:color w:val="595959" w:themeColor="text1" w:themeTint="A6"/>
      </w:rPr>
    </w:pPr>
    <w:r w:rsidRPr="005F0E2A">
      <w:rPr>
        <w:color w:val="595959" w:themeColor="text1" w:themeTint="A6"/>
      </w:rPr>
      <w:t xml:space="preserve">Sistema de </w:t>
    </w:r>
    <w:r w:rsidR="009A2204" w:rsidRPr="005F0E2A">
      <w:rPr>
        <w:color w:val="595959" w:themeColor="text1" w:themeTint="A6"/>
      </w:rPr>
      <w:t>a</w:t>
    </w:r>
    <w:r w:rsidRPr="005F0E2A">
      <w:rPr>
        <w:color w:val="595959" w:themeColor="text1" w:themeTint="A6"/>
      </w:rPr>
      <w:t>poyo a la clasificación arancelaria</w:t>
    </w:r>
  </w:p>
  <w:p w14:paraId="2A4196F3" w14:textId="77777777" w:rsidR="004A333F" w:rsidRPr="005F0E2A" w:rsidRDefault="004A333F">
    <w:pPr>
      <w:pStyle w:val="Header"/>
      <w:rPr>
        <w:color w:val="595959" w:themeColor="text1" w:themeTint="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3572" w14:textId="77777777" w:rsidR="004A333F" w:rsidRDefault="004A333F">
    <w:pPr>
      <w:pStyle w:val="Header"/>
    </w:pPr>
  </w:p>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ea454b4c"/>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kern w:val="2"/>
        <w:sz w:val="24"/>
        <w:szCs w:val="24"/>
        <w:lang w:bidi="ar-SA" w:eastAsia="zh-CN" w:val="en-MX"/>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CE6B9F"/>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Normal"/>
    <w:link w:val="Heading2Char"/>
    <w:uiPriority w:val="9"/>
    <w:semiHidden/>
    <w:unhideWhenUsed/>
    <w:qFormat/>
    <w:rsid w:val="00CE6B9F"/>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Normal"/>
    <w:link w:val="Heading3Char"/>
    <w:uiPriority w:val="9"/>
    <w:semiHidden/>
    <w:unhideWhenUsed/>
    <w:qFormat/>
    <w:rsid w:val="00CE6B9F"/>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Normal"/>
    <w:link w:val="Heading4Char"/>
    <w:uiPriority w:val="9"/>
    <w:semiHidden/>
    <w:unhideWhenUsed/>
    <w:qFormat/>
    <w:rsid w:val="00CE6B9F"/>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Normal"/>
    <w:link w:val="Heading5Char"/>
    <w:uiPriority w:val="9"/>
    <w:semiHidden/>
    <w:unhideWhenUsed/>
    <w:qFormat/>
    <w:rsid w:val="00CE6B9F"/>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Normal"/>
    <w:link w:val="Heading6Char"/>
    <w:uiPriority w:val="9"/>
    <w:semiHidden/>
    <w:unhideWhenUsed/>
    <w:qFormat/>
    <w:rsid w:val="00CE6B9F"/>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CE6B9F"/>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CE6B9F"/>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CE6B9F"/>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CE6B9F"/>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CE6B9F"/>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CE6B9F"/>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CE6B9F"/>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CE6B9F"/>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CE6B9F"/>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CE6B9F"/>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CE6B9F"/>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CE6B9F"/>
    <w:rPr>
      <w:rFonts w:cstheme="majorBidi" w:eastAsiaTheme="majorEastAsia"/>
      <w:color w:themeColor="text1" w:themeTint="D8" w:val="272727"/>
    </w:rPr>
  </w:style>
  <w:style w:styleId="Title" w:type="paragraph">
    <w:name w:val="Title"/>
    <w:basedOn w:val="Normal"/>
    <w:next w:val="Normal"/>
    <w:link w:val="TitleChar"/>
    <w:uiPriority w:val="10"/>
    <w:qFormat/>
    <w:rsid w:val="00CE6B9F"/>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CE6B9F"/>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CE6B9F"/>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CE6B9F"/>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CE6B9F"/>
    <w:pPr>
      <w:spacing w:before="160"/>
      <w:jc w:val="center"/>
    </w:pPr>
    <w:rPr>
      <w:i/>
      <w:iCs/>
      <w:color w:themeColor="text1" w:themeTint="BF" w:val="404040"/>
    </w:rPr>
  </w:style>
  <w:style w:customStyle="1" w:styleId="QuoteChar" w:type="character">
    <w:name w:val="Quote Char"/>
    <w:basedOn w:val="DefaultParagraphFont"/>
    <w:link w:val="Quote"/>
    <w:uiPriority w:val="29"/>
    <w:rsid w:val="00CE6B9F"/>
    <w:rPr>
      <w:i/>
      <w:iCs/>
      <w:color w:themeColor="text1" w:themeTint="BF" w:val="404040"/>
    </w:rPr>
  </w:style>
  <w:style w:styleId="ListParagraph" w:type="paragraph">
    <w:name w:val="List Paragraph"/>
    <w:basedOn w:val="Normal"/>
    <w:uiPriority w:val="34"/>
    <w:qFormat/>
    <w:rsid w:val="00CE6B9F"/>
    <w:pPr>
      <w:ind w:left="720"/>
      <w:contextualSpacing/>
    </w:pPr>
  </w:style>
  <w:style w:styleId="IntenseEmphasis" w:type="character">
    <w:name w:val="Intense Emphasis"/>
    <w:basedOn w:val="DefaultParagraphFont"/>
    <w:uiPriority w:val="21"/>
    <w:qFormat/>
    <w:rsid w:val="00CE6B9F"/>
    <w:rPr>
      <w:i/>
      <w:iCs/>
      <w:color w:themeColor="accent1" w:themeShade="BF" w:val="0F4761"/>
    </w:rPr>
  </w:style>
  <w:style w:styleId="IntenseQuote" w:type="paragraph">
    <w:name w:val="Intense Quote"/>
    <w:basedOn w:val="Normal"/>
    <w:next w:val="Normal"/>
    <w:link w:val="IntenseQuoteChar"/>
    <w:uiPriority w:val="30"/>
    <w:qFormat/>
    <w:rsid w:val="00CE6B9F"/>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CE6B9F"/>
    <w:rPr>
      <w:i/>
      <w:iCs/>
      <w:color w:themeColor="accent1" w:themeShade="BF" w:val="0F4761"/>
    </w:rPr>
  </w:style>
  <w:style w:styleId="IntenseReference" w:type="character">
    <w:name w:val="Intense Reference"/>
    <w:basedOn w:val="DefaultParagraphFont"/>
    <w:uiPriority w:val="32"/>
    <w:qFormat/>
    <w:rsid w:val="00CE6B9F"/>
    <w:rPr>
      <w:b/>
      <w:bCs/>
      <w:smallCaps/>
      <w:color w:themeColor="accent1" w:themeShade="BF" w:val="0F4761"/>
      <w:spacing w:val="5"/>
    </w:rPr>
  </w:style>
  <w:style w:styleId="Header" w:type="paragraph">
    <w:name w:val="header"/>
    <w:basedOn w:val="Normal"/>
    <w:link w:val="HeaderChar"/>
    <w:uiPriority w:val="99"/>
    <w:unhideWhenUsed/>
    <w:rsid w:val="00540440"/>
    <w:pPr>
      <w:tabs>
        <w:tab w:pos="4680" w:val="center"/>
        <w:tab w:pos="9360" w:val="right"/>
      </w:tabs>
      <w:spacing w:after="0" w:line="240" w:lineRule="auto"/>
    </w:pPr>
  </w:style>
  <w:style w:customStyle="1" w:styleId="HeaderChar" w:type="character">
    <w:name w:val="Header Char"/>
    <w:basedOn w:val="DefaultParagraphFont"/>
    <w:link w:val="Header"/>
    <w:uiPriority w:val="99"/>
    <w:rsid w:val="00540440"/>
  </w:style>
  <w:style w:styleId="Footer" w:type="paragraph">
    <w:name w:val="footer"/>
    <w:basedOn w:val="Normal"/>
    <w:link w:val="FooterChar"/>
    <w:uiPriority w:val="99"/>
    <w:unhideWhenUsed/>
    <w:rsid w:val="00540440"/>
    <w:pPr>
      <w:tabs>
        <w:tab w:pos="4680" w:val="center"/>
        <w:tab w:pos="9360" w:val="right"/>
      </w:tabs>
      <w:spacing w:after="0" w:line="240" w:lineRule="auto"/>
    </w:pPr>
  </w:style>
  <w:style w:customStyle="1" w:styleId="FooterChar" w:type="character">
    <w:name w:val="Footer Char"/>
    <w:basedOn w:val="DefaultParagraphFont"/>
    <w:link w:val="Footer"/>
    <w:uiPriority w:val="99"/>
    <w:rsid w:val="00540440"/>
  </w:style>
  <w:style w:styleId="Hyperlink" w:type="character">
    <w:name w:val="Hyperlink"/>
    <w:basedOn w:val="DefaultParagraphFont"/>
    <w:uiPriority w:val="99"/>
    <w:unhideWhenUsed/>
    <w:rsid w:val="00B35C31"/>
    <w:rPr>
      <w:color w:themeColor="hyperlink" w:val="467886"/>
      <w:u w:val="single"/>
    </w:rPr>
  </w:style>
  <w:style w:styleId="PageNumber" w:type="character">
    <w:name w:val="page number"/>
    <w:basedOn w:val="DefaultParagraphFont"/>
    <w:uiPriority w:val="99"/>
    <w:semiHidden/>
    <w:unhideWhenUsed/>
    <w:rsid w:val="0007423B"/>
  </w:style>
  <w:style w:styleId="LineNumber" w:type="character">
    <w:name w:val="line number"/>
    <w:basedOn w:val="DefaultParagraphFont"/>
    <w:uiPriority w:val="99"/>
    <w:semiHidden/>
    <w:unhideWhenUsed/>
    <w:rsid w:val="0007423B"/>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s>
</file>

<file path=word/_rels/footer2.xml.rels><?xml version="1.0" encoding="UTF-8" standalone="yes"?>
<Relationships xmlns="http://schemas.openxmlformats.org/package/2006/relationships"><Relationship Id="rId1" Type="http://schemas.openxmlformats.org/officeDocument/2006/relationships/hyperlink" Target="http://www.clasifai.me" TargetMode="External"/></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Doc4.dotx</Template>
  <TotalTime>0</TotalTime>
  <Pages>2</Pages>
  <Words>3</Words>
  <Characters>22</Characters>
  <Application>Microsoft Office Word</Application>
  <DocSecurity>0</DocSecurity>
  <Lines>1</Lines>
  <Paragraphs>1</Paragraphs>
  <ScaleCrop>false</ScaleCrop>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2025-09-16T02:00:17Z</dcterms:created>
  <dcterms:modified xsi:type="dcterms:W3CDTF">2025-09-16T02:00:17Z</dcterms:modified>
</cp:coreProperties>
</file>

<file path=docProps/custom.xml><?xml version="1.0" encoding="utf-8"?>
<Properties xmlns="http://schemas.openxmlformats.org/officeDocument/2006/custom-properties" xmlns:vt="http://schemas.openxmlformats.org/officeDocument/2006/docPropsVTypes"/>
</file>