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Fecha: 15/09/2025 15:02:40</w:t>
      </w:r>
    </w:p>
    <w:p>
      <w:pPr>
        <w:pStyle w:val="BodyText"/>
      </w:pPr>
      <w:r>
        <w:t xml:space="preserve">Cuenta: Ver18-b</w:t>
      </w:r>
    </w:p>
    <w:p>
      <w:pPr>
        <w:pStyle w:val="BodyText"/>
      </w:pPr>
      <w:r>
        <w:t xml:space="preserve">Usuario: cmhs</w:t>
      </w:r>
    </w:p>
    <w:p>
      <w:pPr>
        <w:pStyle w:val="BodyText"/>
      </w:pPr>
      <w:r>
        <w:t xml:space="preserve">ITEM: Sistema de enfriamiento de la Unidad Central de Procesamiento (CPU) compuesto por un ventilador, un disipador de calor, soportes de fijación del ventilador, herrajes con tornillos para la instalación en zócalos de CPU, una placa universal con fijaciones plásticas y segmentos/orificios metálicos para tornillos, tornillos y pasta térmica. El disipador absorbe el calor generado por la CPU y el ventilador crea un flujo de aire para dispersar dicho calor.</w:t>
      </w:r>
    </w:p>
    <w:p>
      <w:r>
        <w:pict>
          <v:rect style="width:0;height:1.5pt" o:hralign="center" o:hrstd="t" o:hr="t"/>
        </w:pict>
      </w:r>
    </w:p>
    <w:bookmarkStart w:id="25" w:name="sugerencia-de-clasificación-arancelaria"/>
    <w:p>
      <w:pPr>
        <w:pStyle w:val="Heading1"/>
      </w:pPr>
      <w:r>
        <w:t xml:space="preserve">Sugerencia de Clasificación Arancelaria</w:t>
      </w:r>
    </w:p>
    <w:bookmarkStart w:id="20" w:name="fase-1"/>
    <w:p>
      <w:pPr>
        <w:pStyle w:val="Heading3"/>
      </w:pPr>
      <w:r>
        <w:t xml:space="preserve">Fase 1</w:t>
      </w:r>
    </w:p>
    <w:p>
      <w:pPr>
        <w:pStyle w:val="FirstParagraph"/>
      </w:pPr>
      <w:r>
        <w:rPr>
          <w:bCs/>
          <w:b/>
        </w:rPr>
        <w:t xml:space="preserve">Top 3 capítulos candidatos</w:t>
      </w:r>
    </w:p>
    <w:tbl>
      <w:tblPr>
        <w:tblStyle w:val="Table"/>
        <w:tblW w:type="pct" w:w="0.0"/>
        <w:tblLook w:firstRow="1" w:lastRow="0" w:firstColumn="0" w:lastColumn="0" w:noHBand="0" w:noVBand="0" w:val="0020"/>
      </w:tblPr>
      <w:tblGrid/>
      <w:tr>
        <w:tc>
          <w:p>
            <w:pPr>
              <w:pStyle w:val="Compact"/>
              <w:jc w:val="right"/>
            </w:pPr>
            <w:r>
              <w:t xml:space="preserve">Capítulo</w:t>
            </w:r>
          </w:p>
        </w:tc>
        <w:tc>
          <w:p>
            <w:pPr>
              <w:pStyle w:val="Compact"/>
              <w:jc w:val="left"/>
            </w:pPr>
            <w:r>
              <w:t xml:space="preserve">Justificación</w:t>
            </w:r>
          </w:p>
        </w:tc>
      </w:tr>
      <w:tr>
        <w:tc>
          <w:p>
            <w:pPr>
              <w:pStyle w:val="Compact"/>
              <w:jc w:val="right"/>
            </w:pPr>
            <w:r>
              <w:rPr>
                <w:bCs/>
                <w:b/>
              </w:rPr>
              <w:t xml:space="preserve">84</w:t>
            </w:r>
          </w:p>
        </w:tc>
        <w:tc>
          <w:p>
            <w:pPr>
              <w:pStyle w:val="Compact"/>
              <w:jc w:val="left"/>
            </w:pPr>
            <w:r>
              <w:t xml:space="preserve">Conforme a las RGI 1 y 3(b), los estuches para la venta al por menor se clasifican por el texto de la partida y, de ser necesario, por el componente que confiere el carácter esencial. El Capítulo 84 abarca ventiladores (84.14) y aparatos mecánicos relacionados; según la nota nacional a 84.14, un ventilador presentado con otros órganos se clasifica con el órgano que confiere el carácter esencial. Dado que este dispositivo realiza una función distinta al procesamiento de datos, la Nota 6 E) a 84.71 dirige la clasificación por la función (enfriamiento), no como una unidad de ADP.</w:t>
            </w:r>
          </w:p>
        </w:tc>
      </w:tr>
      <w:tr>
        <w:tc>
          <w:p>
            <w:pPr>
              <w:pStyle w:val="Compact"/>
              <w:jc w:val="right"/>
            </w:pPr>
            <w:r>
              <w:rPr>
                <w:bCs/>
                <w:b/>
              </w:rPr>
              <w:t xml:space="preserve">85</w:t>
            </w:r>
          </w:p>
        </w:tc>
        <w:tc>
          <w:p>
            <w:pPr>
              <w:pStyle w:val="Compact"/>
              <w:jc w:val="left"/>
            </w:pPr>
            <w:r>
              <w:t xml:space="preserve">Aunque el juego incluye un motor eléctrico (ventilador), no se prefiere el Capítulo 85: las notas a 85.09 excluyen expresamente los ventiladores y campanas hacia la partida 84.14, y 84.14 cubre específicamente los ventiladores. En virtud de la RGI 3(a), el Capítulo 84 es la opción más específica frente a un capítulo eléctrico general.</w:t>
            </w:r>
          </w:p>
        </w:tc>
      </w:tr>
      <w:tr>
        <w:tc>
          <w:p>
            <w:pPr>
              <w:pStyle w:val="Compact"/>
              <w:jc w:val="right"/>
            </w:pPr>
            <w:r>
              <w:rPr>
                <w:bCs/>
                <w:b/>
              </w:rPr>
              <w:t xml:space="preserve">76</w:t>
            </w:r>
          </w:p>
        </w:tc>
        <w:tc>
          <w:p>
            <w:pPr>
              <w:pStyle w:val="Compact"/>
              <w:jc w:val="left"/>
            </w:pPr>
            <w:r>
              <w:t xml:space="preserve">Si se considerara únicamente como un disipador de calor de aluminio, podría contemplarse el Capítulo 76 (aluminio y sus manufacturas), pero el producto es un juego de enfriamiento para venta al por menor con un ventilador; por la RGI 3(b) y la nota de 84.14 sobre ventiladores presentados con otros órganos, la clasificación regresa a maquinaria del Capítulo 84 en lugar de manufacturas de metal común.</w:t>
            </w:r>
          </w:p>
        </w:tc>
      </w:tr>
    </w:tbl>
    <w:bookmarkEnd w:id="20"/>
    <w:bookmarkStart w:id="21" w:name="fase-3"/>
    <w:p>
      <w:pPr>
        <w:pStyle w:val="Heading3"/>
      </w:pPr>
      <w:r>
        <w:t xml:space="preserve">Fase 3</w:t>
      </w:r>
    </w:p>
    <w:bookmarkEnd w:id="21"/>
    <w:bookmarkStart w:id="22" w:name="dictamen-de-clasificación-arancelaria"/>
    <w:p>
      <w:pPr>
        <w:pStyle w:val="Heading3"/>
      </w:pPr>
      <w:r>
        <w:t xml:space="preserve">DICTAMEN DE CLASIFICACIÓN ARANCELARIA</w:t>
      </w:r>
    </w:p>
    <w:p>
      <w:pPr>
        <w:pStyle w:val="FirstParagraph"/>
      </w:pPr>
      <w:r>
        <w:t xml:space="preserve">I. Marco normativo</w:t>
      </w:r>
    </w:p>
    <w:p>
      <w:pPr>
        <w:numPr>
          <w:ilvl w:val="0"/>
          <w:numId w:val="1001"/>
        </w:numPr>
      </w:pPr>
      <w:r>
        <w:t xml:space="preserve">Reglas Generales de Interpretación (RGI)</w:t>
      </w:r>
      <w:r>
        <w:t xml:space="preserve"> </w:t>
      </w:r>
      <w:r>
        <w:t xml:space="preserve">• RGI 1: La clasificación se determina por los textos de las partidas y de las Notas de Sección o de Capítulo pertinentes; los títulos son solo indicativos.</w:t>
      </w:r>
      <w:r>
        <w:t xml:space="preserve"> </w:t>
      </w:r>
      <w:r>
        <w:t xml:space="preserve">• RGI 3(a): Cuando las mercancías puedan clasificarse en dos o más partidas, prevalece la descripción más específica sobre la más genérica.</w:t>
      </w:r>
      <w:r>
        <w:t xml:space="preserve"> </w:t>
      </w:r>
      <w:r>
        <w:t xml:space="preserve">• RGI 3(b): Para los estuches presentados para la venta al por menor y las mercancías compuestas, la clasificación se efectúa según la materia o componente que les confiera el carácter esencial.</w:t>
      </w:r>
      <w:r>
        <w:t xml:space="preserve"> </w:t>
      </w:r>
      <w:r>
        <w:t xml:space="preserve">• RGI 6: La clasificación a nivel de subpartida se determina por los textos de las subpartidas y las Notas relativas, aplicando mutatis mutandis las RGI y comparando únicamente subpartidas del mismo nivel.</w:t>
      </w:r>
    </w:p>
    <w:p>
      <w:pPr>
        <w:numPr>
          <w:ilvl w:val="0"/>
          <w:numId w:val="1001"/>
        </w:numPr>
      </w:pPr>
      <w:r>
        <w:t xml:space="preserve">Capítulo 84, máquinas automáticas para tratamiento o procesamiento de datos (ADP) y sus unidades</w:t>
      </w:r>
      <w:r>
        <w:t xml:space="preserve"> </w:t>
      </w:r>
      <w:r>
        <w:t xml:space="preserve">• Texto de la partida 84.71: “Máquinas automáticas para tratamiento o procesamiento de datos y sus unidades; …” (alcance de las máquinas y unidades ADP).</w:t>
      </w:r>
      <w:r>
        <w:t xml:space="preserve"> </w:t>
      </w:r>
      <w:r>
        <w:t xml:space="preserve">• Nota 6 al Capítulo 84 (NESA): Una unidad de un sistema ADP debe ser de las destinadas exclusiva o principalmente a utilizarse en tal sistema, conectable a la CPU (directa o indirectamente a través de otras unidades), y capaz de recibir o entregar datos en una forma utilizable por el sistema; las unidades presentadas por separado se clasifican en 84.71 (resumen de la Nota 6 C)).</w:t>
      </w:r>
    </w:p>
    <w:p>
      <w:pPr>
        <w:numPr>
          <w:ilvl w:val="0"/>
          <w:numId w:val="1001"/>
        </w:numPr>
      </w:pPr>
      <w:r>
        <w:t xml:space="preserve">Partes y accesorios para máquinas ADP</w:t>
      </w:r>
      <w:r>
        <w:t xml:space="preserve"> </w:t>
      </w:r>
      <w:r>
        <w:t xml:space="preserve">• Texto de la partida 84.73: “Partes y accesorios … identificables como de uso exclusivo o principalmente con las máquinas de las partidas 84.70 a 84.72” (estructura de la partida; véase la subpartida específica más adelante).</w:t>
      </w:r>
      <w:r>
        <w:t xml:space="preserve"> </w:t>
      </w:r>
      <w:r>
        <w:t xml:space="preserve">• Subpartida 8473.30: “Partes y accesorios de las máquinas de la partida 84.71”.</w:t>
      </w:r>
    </w:p>
    <w:p>
      <w:pPr>
        <w:numPr>
          <w:ilvl w:val="0"/>
          <w:numId w:val="1001"/>
        </w:numPr>
      </w:pPr>
      <w:r>
        <w:t xml:space="preserve">Partidas alternativas potenciales consideradas (para su exclusión al amparo de la Sección III)</w:t>
      </w:r>
      <w:r>
        <w:t xml:space="preserve"> </w:t>
      </w:r>
      <w:r>
        <w:t xml:space="preserve">• Partida 84.14 “Ventiladores” (incluidos “los demás” ventiladores 8414.59).</w:t>
      </w:r>
      <w:r>
        <w:t xml:space="preserve"> </w:t>
      </w:r>
      <w:r>
        <w:t xml:space="preserve">• Partida 84.19 “Aparatos … para el tratamiento de materias … incluso … enfriamiento” y subpartida 8419.50 “Intercambiadores de calor”.</w:t>
      </w:r>
      <w:r>
        <w:br/>
      </w:r>
      <w:r>
        <w:t xml:space="preserve">• Partida 85.01 “Motores y generadores eléctricos” (alcance de los motores cuando se presentan como tales).</w:t>
      </w:r>
      <w:r>
        <w:t xml:space="preserve"> </w:t>
      </w:r>
      <w:r>
        <w:t xml:space="preserve">• Partida 85.48 “Partes eléctricas de máquinas o aparatos, no expresadas ni comprendidas en otra parte” (partidas eléctricas residuales).</w:t>
      </w:r>
    </w:p>
    <w:p>
      <w:pPr>
        <w:pStyle w:val="FirstParagraph"/>
      </w:pPr>
      <w:r>
        <w:t xml:space="preserve">II. Análisis técnico-jurídico</w:t>
      </w:r>
    </w:p>
    <w:p>
      <w:pPr>
        <w:numPr>
          <w:ilvl w:val="0"/>
          <w:numId w:val="1002"/>
        </w:numPr>
      </w:pPr>
      <w:r>
        <w:t xml:space="preserve">Descripción de la mercancía</w:t>
      </w:r>
      <w:r>
        <w:t xml:space="preserve"> </w:t>
      </w:r>
      <w:r>
        <w:t xml:space="preserve">Un “sistema de enfriamiento de CPU” compuesto por: un ventilador, un disipador de calor, soportes de fijación y herrajes para zócalos de CPU, una placa posterior universal con fijaciones plásticas e inserciones/orificios metálicos, tornillos y pasta térmica. El disipador absorbe el calor de la CPU y el ventilador produce flujo de aire para disiparlo.</w:t>
      </w:r>
    </w:p>
    <w:p>
      <w:pPr>
        <w:numPr>
          <w:ilvl w:val="0"/>
          <w:numId w:val="1002"/>
        </w:numPr>
      </w:pPr>
      <w:r>
        <w:t xml:space="preserve">Análisis a nivel de partida (RGI 1)</w:t>
      </w:r>
      <w:r>
        <w:t xml:space="preserve"> </w:t>
      </w:r>
      <w:r>
        <w:t xml:space="preserve">• El artículo es un conjunto identificable destinado exclusiva o principalmente al enfriamiento de la unidad central de procesamiento de una máquina ADP (partida 84.71). No es una “unidad” ADP conforme a la Nota 6 C) del Capítulo 84 (no procesa ni intercambia datos), por lo que la partida 84.71 no aplica como “unidad”. Sin embargo, es una parte/accesorio de las máquinas de la partida 84.71 (computadoras/máquinas ADP).</w:t>
      </w:r>
      <w:r>
        <w:t xml:space="preserve"> </w:t>
      </w:r>
      <w:r>
        <w:t xml:space="preserve">• La partida 84.73 prevé partes y accesorios identificables como de uso exclusivo o principal con las máquinas de 84.71 en la subpartida 8473.30 (“Partes y accesorios de las máquinas de la partida 84.71”).</w:t>
      </w:r>
    </w:p>
    <w:p>
      <w:pPr>
        <w:numPr>
          <w:ilvl w:val="0"/>
          <w:numId w:val="1002"/>
        </w:numPr>
      </w:pPr>
      <w:r>
        <w:t xml:space="preserve">Análisis de estuche/mercancía compuesta (RGI 3(b))</w:t>
      </w:r>
      <w:r>
        <w:t xml:space="preserve"> </w:t>
      </w:r>
      <w:r>
        <w:t xml:space="preserve">• El producto es un estuche para venta al por menor que comprende distintos artículos (ventilador, disipador, herrajes de montaje, compuesto térmico). En virtud de la RGI 3(b), debe clasificarse como si consistiera en el/los componente(s) que confieren el carácter esencial del estuche. El carácter esencial es la función de enfriamiento de la CPU lograda por el conjunto disipador y ventilador, diseñado para zócalos de CPU de máquinas ADP.</w:t>
      </w:r>
    </w:p>
    <w:p>
      <w:pPr>
        <w:numPr>
          <w:ilvl w:val="0"/>
          <w:numId w:val="1002"/>
        </w:numPr>
      </w:pPr>
      <w:r>
        <w:t xml:space="preserve">Selección de subpartida (RGI 6)</w:t>
      </w:r>
      <w:r>
        <w:t xml:space="preserve"> </w:t>
      </w:r>
      <w:r>
        <w:t xml:space="preserve">• Dentro de la partida 84.73, la subpartida pertinente es 8473.30 (“Partes y accesorios de las máquinas de la partida 84.71”), que cubre de manera más específica los accesorios dedicados a máquinas ADP, en comparación con otras subpartidas del mismo nivel.</w:t>
      </w:r>
    </w:p>
    <w:p>
      <w:pPr>
        <w:pStyle w:val="FirstParagraph"/>
      </w:pPr>
      <w:r>
        <w:t xml:space="preserve">Conclusión en esta etapa: Por aplicación de las RGI 1, 3(b) y 6, la mercancía es clasificable en la subpartida 8473.30.</w:t>
      </w:r>
    </w:p>
    <w:p>
      <w:pPr>
        <w:pStyle w:val="BodyText"/>
      </w:pPr>
      <w:r>
        <w:t xml:space="preserve">III. Exclusión de partidas alternativas (dentro de los Capítulos 84 y 85)</w:t>
      </w:r>
    </w:p>
    <w:p>
      <w:pPr>
        <w:numPr>
          <w:ilvl w:val="0"/>
          <w:numId w:val="1003"/>
        </w:numPr>
      </w:pPr>
      <w:r>
        <w:t xml:space="preserve">Partida 84.14 (ventiladores)</w:t>
      </w:r>
      <w:r>
        <w:t xml:space="preserve"> </w:t>
      </w:r>
      <w:r>
        <w:t xml:space="preserve">• La 84.14 abarca los ventiladores como tales, incluidos “los demás” ventiladores en 8414.59. El presente estuche no es un ventilador genérico; es un accesorio completo de enfriamiento de CPU, suministrado con soportes específicos para zócalos de CPU y pasta térmica, identificable como de uso exclusivo o principal con máquinas ADP de la 84.71. Conforme a la RGI 3(a), 8473.30 (partes y accesorios para 84.71) es más específica que la disposición genérica de “ventiladores” de 84.14.</w:t>
      </w:r>
    </w:p>
    <w:p>
      <w:pPr>
        <w:numPr>
          <w:ilvl w:val="0"/>
          <w:numId w:val="1003"/>
        </w:numPr>
      </w:pPr>
      <w:r>
        <w:t xml:space="preserve">Partida 84.19 (aparatos para tratamiento térmico, incluido enfriamiento; intercambiadores de calor 8419.50)</w:t>
      </w:r>
      <w:r>
        <w:t xml:space="preserve"> </w:t>
      </w:r>
      <w:r>
        <w:t xml:space="preserve">• La 84.19 abarca de forma amplia aparatos para tratar materias mediante, entre otros, enfriamiento, e incluye unidades de intercambio de calor en 8419.50. Sin embargo, el producto no es un intercambiador de calor general ni un aparato de enfriamiento industrial; es un accesorio dedicado para la CPU de una máquina ADP. Aplicando la RGI 3(a), 8473.30 nombra específicamente partes/accesorios de 84.71, que prevalecen sobre las disposiciones más generales de tratamiento térmico de 84.19.</w:t>
      </w:r>
    </w:p>
    <w:p>
      <w:pPr>
        <w:numPr>
          <w:ilvl w:val="0"/>
          <w:numId w:val="1003"/>
        </w:numPr>
      </w:pPr>
      <w:r>
        <w:t xml:space="preserve">Partida 85.01 (motores) y partida 85.48 (partes eléctricas n.e.p.)</w:t>
      </w:r>
      <w:r>
        <w:t xml:space="preserve"> </w:t>
      </w:r>
      <w:r>
        <w:t xml:space="preserve">• La 85.01 cubre los motores presentados como tales; el estuche no es un motor, sino un accesorio de enfriamiento que integra un ventilador motorizado con componentes no eléctricos y herrajes específicos para zócalos de CPU, e identificable para máquinas de 84.71; por tanto, 85.01 no aplica.</w:t>
      </w:r>
      <w:r>
        <w:t xml:space="preserve"> </w:t>
      </w:r>
      <w:r>
        <w:t xml:space="preserve">• La 85.48 es una partida residual para partes eléctricas no expresadas ni comprendidas en otra parte; dado que 8473.30 cubre específicamente la mercancía como accesorio ADP, 85.48 queda excluida por la RGI 1 (existe una disposición más específica).</w:t>
      </w:r>
    </w:p>
    <w:p>
      <w:pPr>
        <w:pStyle w:val="FirstParagraph"/>
      </w:pPr>
      <w:r>
        <w:t xml:space="preserve">IV. Requisitos documentales (para sustentar la clasificación propuesta)</w:t>
      </w:r>
    </w:p>
    <w:p>
      <w:pPr>
        <w:numPr>
          <w:ilvl w:val="0"/>
          <w:numId w:val="1004"/>
        </w:numPr>
        <w:pStyle w:val="Compact"/>
      </w:pPr>
      <w:r>
        <w:t xml:space="preserve">Hoja técnica y manual de instalación que identifiquen compatibilidad con zócalos de CPU y el uso previsto con máquinas ADP (tarjetas madre/CPU de PC).</w:t>
      </w:r>
    </w:p>
    <w:p>
      <w:pPr>
        <w:numPr>
          <w:ilvl w:val="0"/>
          <w:numId w:val="1004"/>
        </w:numPr>
        <w:pStyle w:val="Compact"/>
      </w:pPr>
      <w:r>
        <w:t xml:space="preserve">Fotografías del producto, empaque y todos los componentes (ventilador, disipador, soportes/placa posterior, pasta térmica).</w:t>
      </w:r>
    </w:p>
    <w:p>
      <w:pPr>
        <w:numPr>
          <w:ilvl w:val="0"/>
          <w:numId w:val="1004"/>
        </w:numPr>
        <w:pStyle w:val="Compact"/>
      </w:pPr>
      <w:r>
        <w:t xml:space="preserve">Vista explotada o lista de materiales especificando las partes incluidas en el estuche para venta al por menor.</w:t>
      </w:r>
    </w:p>
    <w:p>
      <w:pPr>
        <w:numPr>
          <w:ilvl w:val="0"/>
          <w:numId w:val="1004"/>
        </w:numPr>
        <w:pStyle w:val="Compact"/>
      </w:pPr>
      <w:r>
        <w:t xml:space="preserve">Evidencia de comercialización y uso previsto (extracto del catálogo/sitio del fabricante), mostrando que está diseñado exclusiva o principalmente para CPU de equipos de la partida 84.71.</w:t>
      </w:r>
    </w:p>
    <w:p>
      <w:pPr>
        <w:pStyle w:val="FirstParagraph"/>
      </w:pPr>
      <w:r>
        <w:t xml:space="preserve">V. Conclusión</w:t>
      </w:r>
    </w:p>
    <w:p>
      <w:pPr>
        <w:numPr>
          <w:ilvl w:val="0"/>
          <w:numId w:val="1005"/>
        </w:numPr>
        <w:pStyle w:val="Compact"/>
      </w:pPr>
      <w:r>
        <w:t xml:space="preserve">Clasificación arancelaria propuesta (limitada a nivel de subpartida, conforme a la instrucción):</w:t>
      </w:r>
      <w:r>
        <w:t xml:space="preserve"> </w:t>
      </w:r>
      <w:r>
        <w:t xml:space="preserve">• Capítulo: 84</w:t>
      </w:r>
      <w:r>
        <w:t xml:space="preserve"> </w:t>
      </w:r>
      <w:r>
        <w:t xml:space="preserve">• Partida: 84.73 (Partes y accesorios identificables como de uso con las máquinas de las partidas 84.70 a 84.72; véase subpartida específica para 84.71)</w:t>
      </w:r>
      <w:r>
        <w:t xml:space="preserve"> </w:t>
      </w:r>
      <w:r>
        <w:t xml:space="preserve">• Subpartida: 8473.30 (Partes y accesorios de las máquinas de la partida 84.71)</w:t>
      </w:r>
      <w:r>
        <w:t xml:space="preserve"> </w:t>
      </w:r>
      <w:r>
        <w:t xml:space="preserve">• Fracción nacional a 8 dígitos: No determinada (el dictamen se limita al nivel de subpartida de 6 dígitos, según lo solicitado)</w:t>
      </w:r>
      <w:r>
        <w:t xml:space="preserve"> </w:t>
      </w:r>
      <w:r>
        <w:t xml:space="preserve">• NICO: No aplicable en este dictamen</w:t>
      </w:r>
    </w:p>
    <w:p>
      <w:pPr>
        <w:pStyle w:val="FirstParagraph"/>
      </w:pPr>
      <w:r>
        <w:t xml:space="preserve">Resolución final: El “sistema de enfriamiento de CPU” descrito es clasificable en 8473.30.</w:t>
      </w:r>
    </w:p>
    <w:p>
      <w:pPr>
        <w:pStyle w:val="BodyText"/>
      </w:pPr>
      <w:r>
        <w:t xml:space="preserve">Determinación condicionada</w:t>
      </w:r>
    </w:p>
    <w:p>
      <w:pPr>
        <w:numPr>
          <w:ilvl w:val="0"/>
          <w:numId w:val="1006"/>
        </w:numPr>
      </w:pPr>
      <w:r>
        <w:t xml:space="preserve">Opción A (preferente): Si el estuche se presenta como se describe (ventilador + disipador + soportes/placa posterior específicos para zócalo de CPU + pasta térmica), destinado exclusiva o principalmente a CPU de máquinas ADP (84.71), entonces:</w:t>
      </w:r>
      <w:r>
        <w:t xml:space="preserve"> </w:t>
      </w:r>
      <w:r>
        <w:t xml:space="preserve">• Capítulo 84; Partida 84.73; Subpartida 8473.30; (fracción a 8 dígitos/NICO: no determinada en este dictamen).</w:t>
      </w:r>
    </w:p>
    <w:p>
      <w:pPr>
        <w:numPr>
          <w:ilvl w:val="0"/>
          <w:numId w:val="1006"/>
        </w:numPr>
      </w:pPr>
      <w:r>
        <w:t xml:space="preserve">Opción B: Si el ventilador se presenta por separado sin el disipador y sin identificación clara como de uso exclusivo o principal con máquinas ADP (p. ej., un ventilador genérico), entonces:</w:t>
      </w:r>
      <w:r>
        <w:t xml:space="preserve"> </w:t>
      </w:r>
      <w:r>
        <w:t xml:space="preserve">• Capítulo 84; Partida 84.14; Subpartida 8414.59 (Los demás ventiladores).</w:t>
      </w:r>
    </w:p>
    <w:p>
      <w:pPr>
        <w:numPr>
          <w:ilvl w:val="0"/>
          <w:numId w:val="1006"/>
        </w:numPr>
      </w:pPr>
      <w:r>
        <w:t xml:space="preserve">Opción C: Si el producto es un kit de enfriamiento por líquido de circuito cerrado (no descrito en el presente caso) que incorpora un radiador (intercambiador de calor) y bomba, presentado como un aparato que realiza el enfriamiento como tal:</w:t>
      </w:r>
      <w:r>
        <w:t xml:space="preserve"> </w:t>
      </w:r>
      <w:r>
        <w:t xml:space="preserve">• Capítulo 84; Partida 84.19; Subpartida 8419.50 (Intercambiadores de calor).</w:t>
      </w:r>
    </w:p>
    <w:p>
      <w:pPr>
        <w:pStyle w:val="FirstParagraph"/>
      </w:pPr>
      <w:r>
        <w:t xml:space="preserve">CRITERIOS PENDIENTES:</w:t>
      </w:r>
    </w:p>
    <w:p>
      <w:pPr>
        <w:numPr>
          <w:ilvl w:val="0"/>
          <w:numId w:val="1007"/>
        </w:numPr>
        <w:pStyle w:val="Compact"/>
      </w:pPr>
      <w:r>
        <w:t xml:space="preserve">Confirmación de que el estuche incluye la tornillería/montajes específicos para zócalo de CPU y se comercializa/usa exclusiva o principalmente con CPU de máquinas ADP.</w:t>
      </w:r>
    </w:p>
    <w:p>
      <w:pPr>
        <w:numPr>
          <w:ilvl w:val="0"/>
          <w:numId w:val="1007"/>
        </w:numPr>
        <w:pStyle w:val="Compact"/>
      </w:pPr>
      <w:r>
        <w:t xml:space="preserve">Confirmación de que la mercancía no es un ventilador genérico presentado sin identificación como accesorio de CPU.</w:t>
      </w:r>
    </w:p>
    <w:p>
      <w:pPr>
        <w:numPr>
          <w:ilvl w:val="0"/>
          <w:numId w:val="1007"/>
        </w:numPr>
        <w:pStyle w:val="Compact"/>
      </w:pPr>
      <w:r>
        <w:t xml:space="preserve">Confirmación de que el producto no es un sistema de enfriamiento líquido con radiador/bomba (lo que podría trasladar el análisis a 84.19).</w:t>
      </w:r>
    </w:p>
    <w:bookmarkEnd w:id="22"/>
    <w:bookmarkStart w:id="23" w:name="notas"/>
    <w:p>
      <w:pPr>
        <w:pStyle w:val="Heading3"/>
      </w:pPr>
      <w:r>
        <w:t xml:space="preserve">NOTAS:</w:t>
      </w:r>
    </w:p>
    <w:p>
      <w:r>
        <w:pict>
          <v:rect style="width:0;height:1.5pt" o:hralign="center" o:hrstd="t" o:hr="t"/>
        </w:pict>
      </w:r>
    </w:p>
    <w:bookmarkEnd w:id="23"/>
    <w:bookmarkStart w:id="24" w:name="documentación-consultada"/>
    <w:p>
      <w:pPr>
        <w:pStyle w:val="Heading3"/>
      </w:pPr>
      <w:r>
        <w:t xml:space="preserve">Documentación consultada</w:t>
      </w:r>
    </w:p>
    <w:p>
      <w:pPr>
        <w:numPr>
          <w:ilvl w:val="0"/>
          <w:numId w:val="1008"/>
        </w:numPr>
        <w:pStyle w:val="Compact"/>
      </w:pPr>
      <w:r>
        <w:t xml:space="preserve">Referencias: Ley de los Impuestos Generales de Importación y de Exportación</w:t>
      </w:r>
    </w:p>
    <w:p>
      <w:pPr>
        <w:numPr>
          <w:ilvl w:val="0"/>
          <w:numId w:val="1008"/>
        </w:numPr>
        <w:pStyle w:val="Compact"/>
      </w:pPr>
      <w:r>
        <w:t xml:space="preserve">Versión LIGIE: 7ma Enmienda del Sistema Armonizado</w:t>
      </w:r>
    </w:p>
    <w:p>
      <w:pPr>
        <w:numPr>
          <w:ilvl w:val="0"/>
          <w:numId w:val="1008"/>
        </w:numPr>
        <w:pStyle w:val="Compact"/>
      </w:pPr>
      <w:r>
        <w:t xml:space="preserve">Archivo: LIGIE-UNIFICADA-LIGIE_20250728-20250728.pdf</w:t>
      </w:r>
    </w:p>
    <w:p>
      <w:pPr>
        <w:numPr>
          <w:ilvl w:val="0"/>
          <w:numId w:val="1008"/>
        </w:numPr>
        <w:pStyle w:val="Compact"/>
      </w:pPr>
      <w:r>
        <w:t xml:space="preserve">DOF: con actualizaciones al 30 de agosto de 2025</w:t>
      </w:r>
    </w:p>
    <w:p>
      <w:r>
        <w:pict>
          <v:rect style="width:0;height:1.5pt" o:hralign="center" o:hrstd="t" o:hr="t"/>
        </w:pict>
      </w:r>
    </w:p>
    <w:p>
      <w:pPr>
        <w:pStyle w:val="FirstParagraph"/>
      </w:pPr>
      <w:r>
        <w:rPr>
          <w:bCs/>
          <w:b/>
        </w:rPr>
        <w:t xml:space="preserve">Aviso legal:</w:t>
      </w:r>
    </w:p>
    <w:p>
      <w:pPr>
        <w:pStyle w:val="BodyText"/>
      </w:pPr>
      <w:r>
        <w:t xml:space="preserve">Este reporte tiene fines únicamente informativos y sirve como apoyo al proceso de clasificación arancelaria mexicana. No sustituye el criterio técnico ni la revisión de un especialista.</w:t>
      </w:r>
    </w:p>
    <w:bookmarkEnd w:id="24"/>
    <w:bookmarkEnd w:id="25"/>
    <w:sectPr w:rsidR="00281319" w:rsidRPr="00281319" w:rsidSect="0007423B">
      <w:headerReference r:id="rId10" w:type="even"/>
      <w:headerReference r:id="rId9" w:type="default"/>
      <w:footerReference r:id="rId12" w:type="even"/>
      <w:footerReference r:id="rId14" w:type="default"/>
      <w:headerReference r:id="rId11" w:type="first"/>
      <w:footerReference r:id="rId13" w:type="first"/>
      <w:pgSz w:h="15840" w:w="12240"/>
      <w:pgMar w:bottom="1440" w:footer="708" w:gutter="0" w:header="708" w:left="1440" w:right="1440" w:top="1440"/>
      <w:lnNumType w:countBy="1" w:restart="continuous"/>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9416917"/>
      <w:docPartObj>
        <w:docPartGallery w:val="Page Numbers (Bottom of Page)"/>
        <w:docPartUnique/>
      </w:docPartObj>
    </w:sdtPr>
    <w:sdtContent>
      <w:p w14:paraId="4AD69DEA"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674E5D6" w14:textId="77777777" w:rsidR="004A333F" w:rsidRDefault="004A333F" w:rsidP="000742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850733"/>
      <w:docPartObj>
        <w:docPartGallery w:val="Page Numbers (Bottom of Page)"/>
        <w:docPartUnique/>
      </w:docPartObj>
    </w:sdtPr>
    <w:sdtContent>
      <w:p w14:paraId="7E26DDB2" w14:textId="77777777" w:rsidR="0007423B" w:rsidRDefault="0007423B" w:rsidP="006D0F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13F0EC" w14:textId="3947DEE2" w:rsidR="00B35C31" w:rsidRPr="0007423B" w:rsidRDefault="00B35C31" w:rsidP="0007423B">
    <w:pPr>
      <w:pStyle w:val="Footer"/>
      <w:ind w:right="360"/>
      <w:rPr>
        <w:sz w:val="22"/>
        <w:szCs w:val="22"/>
      </w:rPr>
    </w:pPr>
    <w:hyperlink r:id="rId1" w:history="1">
      <w:r w:rsidRPr="0007423B">
        <w:rPr>
          <w:rStyle w:val="Hyperlink"/>
          <w:sz w:val="22"/>
          <w:szCs w:val="22"/>
        </w:rPr>
        <w:t>www.clasifai.me</w:t>
      </w:r>
    </w:hyperlink>
    <w:r w:rsidRPr="0007423B">
      <w:rPr>
        <w:sz w:val="22"/>
        <w:szCs w:val="22"/>
      </w:rPr>
      <w:t xml:space="preserve">                                                                                                                        </w:t>
    </w:r>
  </w:p>
  <w:p w14:paraId="7C0E5FED" w14:textId="77777777" w:rsidR="004A333F" w:rsidRDefault="004A33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3313" w14:textId="77777777" w:rsidR="004A333F" w:rsidRDefault="004A333F">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BB4A2" w14:textId="77777777" w:rsidR="004A333F" w:rsidRDefault="004A33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8D36" w14:textId="77777777" w:rsidR="00540440" w:rsidRDefault="00540440">
    <w:pPr>
      <w:pStyle w:val="Header"/>
    </w:pPr>
    <w:r>
      <w:rPr>
        <w:noProof/>
      </w:rPr>
      <w:drawing>
        <wp:inline distT="0" distB="0" distL="0" distR="0" wp14:anchorId="539C8D33" wp14:editId="37E1B0B3">
          <wp:extent cx="1702051" cy="548438"/>
          <wp:effectExtent l="0" t="0" r="0" b="0"/>
          <wp:docPr id="1335496474" name="Picture 2"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496474" name="Picture 2"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754572" cy="565361"/>
                  </a:xfrm>
                  <a:prstGeom prst="rect">
                    <a:avLst/>
                  </a:prstGeom>
                </pic:spPr>
              </pic:pic>
            </a:graphicData>
          </a:graphic>
        </wp:inline>
      </w:drawing>
    </w:r>
  </w:p>
  <w:p w14:paraId="4F271AF2" w14:textId="77777777" w:rsidR="009E1F74" w:rsidRDefault="009E1F74">
    <w:pPr>
      <w:pStyle w:val="Header"/>
      <w:rPr>
        <w:color w:val="595959" w:themeColor="text1" w:themeTint="A6"/>
      </w:rPr>
    </w:pPr>
    <w:r w:rsidRPr="005F0E2A">
      <w:rPr>
        <w:color w:val="595959" w:themeColor="text1" w:themeTint="A6"/>
      </w:rPr>
      <w:t xml:space="preserve">Sistema de </w:t>
    </w:r>
    <w:r w:rsidR="009A2204" w:rsidRPr="005F0E2A">
      <w:rPr>
        <w:color w:val="595959" w:themeColor="text1" w:themeTint="A6"/>
      </w:rPr>
      <w:t>a</w:t>
    </w:r>
    <w:r w:rsidRPr="005F0E2A">
      <w:rPr>
        <w:color w:val="595959" w:themeColor="text1" w:themeTint="A6"/>
      </w:rPr>
      <w:t>poyo a la clasificación arancelaria</w:t>
    </w:r>
  </w:p>
  <w:p w14:paraId="2A4196F3" w14:textId="77777777" w:rsidR="004A333F" w:rsidRPr="005F0E2A" w:rsidRDefault="004A333F">
    <w:pPr>
      <w:pStyle w:val="Header"/>
      <w:rPr>
        <w:color w:val="595959" w:themeColor="text1" w:themeTint="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3572" w14:textId="77777777" w:rsidR="004A333F" w:rsidRDefault="004A333F">
    <w:pPr>
      <w:pStyle w:val="Header"/>
    </w:pPr>
  </w:p>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ea454b4c"/>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EastAsia" w:hAnsiTheme="minorHAnsi"/>
        <w:kern w:val="2"/>
        <w:sz w:val="24"/>
        <w:szCs w:val="24"/>
        <w:lang w:bidi="ar-SA" w:eastAsia="zh-CN" w:val="en-MX"/>
        <w14:ligatures w14:val="standardContextual"/>
      </w:rPr>
    </w:rPrDefault>
    <w:pPrDefault>
      <w:pPr>
        <w:spacing w:after="160" w:line="278" w:lineRule="auto"/>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style>
  <w:style w:styleId="Heading1" w:type="paragraph">
    <w:name w:val="heading 1"/>
    <w:basedOn w:val="Normal"/>
    <w:next w:val="Normal"/>
    <w:link w:val="Heading1Char"/>
    <w:uiPriority w:val="9"/>
    <w:qFormat/>
    <w:rsid w:val="00CE6B9F"/>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Normal"/>
    <w:link w:val="Heading2Char"/>
    <w:uiPriority w:val="9"/>
    <w:semiHidden/>
    <w:unhideWhenUsed/>
    <w:qFormat/>
    <w:rsid w:val="00CE6B9F"/>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Normal"/>
    <w:link w:val="Heading3Char"/>
    <w:uiPriority w:val="9"/>
    <w:semiHidden/>
    <w:unhideWhenUsed/>
    <w:qFormat/>
    <w:rsid w:val="00CE6B9F"/>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Normal"/>
    <w:link w:val="Heading4Char"/>
    <w:uiPriority w:val="9"/>
    <w:semiHidden/>
    <w:unhideWhenUsed/>
    <w:qFormat/>
    <w:rsid w:val="00CE6B9F"/>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Normal"/>
    <w:link w:val="Heading5Char"/>
    <w:uiPriority w:val="9"/>
    <w:semiHidden/>
    <w:unhideWhenUsed/>
    <w:qFormat/>
    <w:rsid w:val="00CE6B9F"/>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Normal"/>
    <w:link w:val="Heading6Char"/>
    <w:uiPriority w:val="9"/>
    <w:semiHidden/>
    <w:unhideWhenUsed/>
    <w:qFormat/>
    <w:rsid w:val="00CE6B9F"/>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Normal"/>
    <w:link w:val="Heading7Char"/>
    <w:uiPriority w:val="9"/>
    <w:semiHidden/>
    <w:unhideWhenUsed/>
    <w:qFormat/>
    <w:rsid w:val="00CE6B9F"/>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Normal"/>
    <w:link w:val="Heading8Char"/>
    <w:uiPriority w:val="9"/>
    <w:semiHidden/>
    <w:unhideWhenUsed/>
    <w:qFormat/>
    <w:rsid w:val="00CE6B9F"/>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Normal"/>
    <w:link w:val="Heading9Char"/>
    <w:uiPriority w:val="9"/>
    <w:semiHidden/>
    <w:unhideWhenUsed/>
    <w:qFormat/>
    <w:rsid w:val="00CE6B9F"/>
    <w:pPr>
      <w:keepNext/>
      <w:keepLines/>
      <w:spacing w:after="0"/>
      <w:outlineLvl w:val="8"/>
    </w:pPr>
    <w:rPr>
      <w:rFonts w:cstheme="majorBidi" w:eastAsiaTheme="majorEastAsia"/>
      <w:color w:themeColor="text1" w:themeTint="D8" w:val="272727"/>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CE6B9F"/>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CE6B9F"/>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CE6B9F"/>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CE6B9F"/>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CE6B9F"/>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CE6B9F"/>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CE6B9F"/>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CE6B9F"/>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CE6B9F"/>
    <w:rPr>
      <w:rFonts w:cstheme="majorBidi" w:eastAsiaTheme="majorEastAsia"/>
      <w:color w:themeColor="text1" w:themeTint="D8" w:val="272727"/>
    </w:rPr>
  </w:style>
  <w:style w:styleId="Title" w:type="paragraph">
    <w:name w:val="Title"/>
    <w:basedOn w:val="Normal"/>
    <w:next w:val="Normal"/>
    <w:link w:val="TitleChar"/>
    <w:uiPriority w:val="10"/>
    <w:qFormat/>
    <w:rsid w:val="00CE6B9F"/>
    <w:pPr>
      <w:spacing w:after="80" w:line="240" w:lineRule="auto"/>
      <w:contextualSpacing/>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CE6B9F"/>
    <w:rPr>
      <w:rFonts w:asciiTheme="majorHAnsi" w:cstheme="majorBidi" w:eastAsiaTheme="majorEastAsia" w:hAnsiTheme="majorHAnsi"/>
      <w:spacing w:val="-10"/>
      <w:kern w:val="28"/>
      <w:sz w:val="56"/>
      <w:szCs w:val="56"/>
    </w:rPr>
  </w:style>
  <w:style w:styleId="Subtitle" w:type="paragraph">
    <w:name w:val="Subtitle"/>
    <w:basedOn w:val="Normal"/>
    <w:next w:val="Normal"/>
    <w:link w:val="SubtitleChar"/>
    <w:uiPriority w:val="11"/>
    <w:qFormat/>
    <w:rsid w:val="00CE6B9F"/>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CE6B9F"/>
    <w:rPr>
      <w:rFonts w:cstheme="majorBidi" w:eastAsiaTheme="majorEastAsia"/>
      <w:color w:themeColor="text1" w:themeTint="A6" w:val="595959"/>
      <w:spacing w:val="15"/>
      <w:sz w:val="28"/>
      <w:szCs w:val="28"/>
    </w:rPr>
  </w:style>
  <w:style w:styleId="Quote" w:type="paragraph">
    <w:name w:val="Quote"/>
    <w:basedOn w:val="Normal"/>
    <w:next w:val="Normal"/>
    <w:link w:val="QuoteChar"/>
    <w:uiPriority w:val="29"/>
    <w:qFormat/>
    <w:rsid w:val="00CE6B9F"/>
    <w:pPr>
      <w:spacing w:before="160"/>
      <w:jc w:val="center"/>
    </w:pPr>
    <w:rPr>
      <w:i/>
      <w:iCs/>
      <w:color w:themeColor="text1" w:themeTint="BF" w:val="404040"/>
    </w:rPr>
  </w:style>
  <w:style w:customStyle="1" w:styleId="QuoteChar" w:type="character">
    <w:name w:val="Quote Char"/>
    <w:basedOn w:val="DefaultParagraphFont"/>
    <w:link w:val="Quote"/>
    <w:uiPriority w:val="29"/>
    <w:rsid w:val="00CE6B9F"/>
    <w:rPr>
      <w:i/>
      <w:iCs/>
      <w:color w:themeColor="text1" w:themeTint="BF" w:val="404040"/>
    </w:rPr>
  </w:style>
  <w:style w:styleId="ListParagraph" w:type="paragraph">
    <w:name w:val="List Paragraph"/>
    <w:basedOn w:val="Normal"/>
    <w:uiPriority w:val="34"/>
    <w:qFormat/>
    <w:rsid w:val="00CE6B9F"/>
    <w:pPr>
      <w:ind w:left="720"/>
      <w:contextualSpacing/>
    </w:pPr>
  </w:style>
  <w:style w:styleId="IntenseEmphasis" w:type="character">
    <w:name w:val="Intense Emphasis"/>
    <w:basedOn w:val="DefaultParagraphFont"/>
    <w:uiPriority w:val="21"/>
    <w:qFormat/>
    <w:rsid w:val="00CE6B9F"/>
    <w:rPr>
      <w:i/>
      <w:iCs/>
      <w:color w:themeColor="accent1" w:themeShade="BF" w:val="0F4761"/>
    </w:rPr>
  </w:style>
  <w:style w:styleId="IntenseQuote" w:type="paragraph">
    <w:name w:val="Intense Quote"/>
    <w:basedOn w:val="Normal"/>
    <w:next w:val="Normal"/>
    <w:link w:val="IntenseQuoteChar"/>
    <w:uiPriority w:val="30"/>
    <w:qFormat/>
    <w:rsid w:val="00CE6B9F"/>
    <w:pPr>
      <w:pBdr>
        <w:top w:color="0F4761" w:space="10" w:sz="4" w:themeColor="accent1" w:themeShade="BF" w:val="single"/>
        <w:bottom w:color="0F4761" w:space="10" w:sz="4" w:themeColor="accent1" w:themeShade="BF" w:val="single"/>
      </w:pBdr>
      <w:spacing w:after="360" w:before="360"/>
      <w:ind w:left="864" w:right="864"/>
      <w:jc w:val="center"/>
    </w:pPr>
    <w:rPr>
      <w:i/>
      <w:iCs/>
      <w:color w:themeColor="accent1" w:themeShade="BF" w:val="0F4761"/>
    </w:rPr>
  </w:style>
  <w:style w:customStyle="1" w:styleId="IntenseQuoteChar" w:type="character">
    <w:name w:val="Intense Quote Char"/>
    <w:basedOn w:val="DefaultParagraphFont"/>
    <w:link w:val="IntenseQuote"/>
    <w:uiPriority w:val="30"/>
    <w:rsid w:val="00CE6B9F"/>
    <w:rPr>
      <w:i/>
      <w:iCs/>
      <w:color w:themeColor="accent1" w:themeShade="BF" w:val="0F4761"/>
    </w:rPr>
  </w:style>
  <w:style w:styleId="IntenseReference" w:type="character">
    <w:name w:val="Intense Reference"/>
    <w:basedOn w:val="DefaultParagraphFont"/>
    <w:uiPriority w:val="32"/>
    <w:qFormat/>
    <w:rsid w:val="00CE6B9F"/>
    <w:rPr>
      <w:b/>
      <w:bCs/>
      <w:smallCaps/>
      <w:color w:themeColor="accent1" w:themeShade="BF" w:val="0F4761"/>
      <w:spacing w:val="5"/>
    </w:rPr>
  </w:style>
  <w:style w:styleId="Header" w:type="paragraph">
    <w:name w:val="header"/>
    <w:basedOn w:val="Normal"/>
    <w:link w:val="HeaderChar"/>
    <w:uiPriority w:val="99"/>
    <w:unhideWhenUsed/>
    <w:rsid w:val="00540440"/>
    <w:pPr>
      <w:tabs>
        <w:tab w:pos="4680" w:val="center"/>
        <w:tab w:pos="9360" w:val="right"/>
      </w:tabs>
      <w:spacing w:after="0" w:line="240" w:lineRule="auto"/>
    </w:pPr>
  </w:style>
  <w:style w:customStyle="1" w:styleId="HeaderChar" w:type="character">
    <w:name w:val="Header Char"/>
    <w:basedOn w:val="DefaultParagraphFont"/>
    <w:link w:val="Header"/>
    <w:uiPriority w:val="99"/>
    <w:rsid w:val="00540440"/>
  </w:style>
  <w:style w:styleId="Footer" w:type="paragraph">
    <w:name w:val="footer"/>
    <w:basedOn w:val="Normal"/>
    <w:link w:val="FooterChar"/>
    <w:uiPriority w:val="99"/>
    <w:unhideWhenUsed/>
    <w:rsid w:val="00540440"/>
    <w:pPr>
      <w:tabs>
        <w:tab w:pos="4680" w:val="center"/>
        <w:tab w:pos="9360" w:val="right"/>
      </w:tabs>
      <w:spacing w:after="0" w:line="240" w:lineRule="auto"/>
    </w:pPr>
  </w:style>
  <w:style w:customStyle="1" w:styleId="FooterChar" w:type="character">
    <w:name w:val="Footer Char"/>
    <w:basedOn w:val="DefaultParagraphFont"/>
    <w:link w:val="Footer"/>
    <w:uiPriority w:val="99"/>
    <w:rsid w:val="00540440"/>
  </w:style>
  <w:style w:styleId="Hyperlink" w:type="character">
    <w:name w:val="Hyperlink"/>
    <w:basedOn w:val="DefaultParagraphFont"/>
    <w:uiPriority w:val="99"/>
    <w:unhideWhenUsed/>
    <w:rsid w:val="00B35C31"/>
    <w:rPr>
      <w:color w:themeColor="hyperlink" w:val="467886"/>
      <w:u w:val="single"/>
    </w:rPr>
  </w:style>
  <w:style w:styleId="PageNumber" w:type="character">
    <w:name w:val="page number"/>
    <w:basedOn w:val="DefaultParagraphFont"/>
    <w:uiPriority w:val="99"/>
    <w:semiHidden/>
    <w:unhideWhenUsed/>
    <w:rsid w:val="0007423B"/>
  </w:style>
  <w:style w:styleId="LineNumber" w:type="character">
    <w:name w:val="line number"/>
    <w:basedOn w:val="DefaultParagraphFont"/>
    <w:uiPriority w:val="99"/>
    <w:semiHidden/>
    <w:unhideWhenUsed/>
    <w:rsid w:val="0007423B"/>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s>
</file>

<file path=word/_rels/footer2.xml.rels><?xml version="1.0" encoding="UTF-8" standalone="yes"?>
<Relationships xmlns="http://schemas.openxmlformats.org/package/2006/relationships"><Relationship Id="rId1" Type="http://schemas.openxmlformats.org/officeDocument/2006/relationships/hyperlink" Target="http://www.clasifai.me" TargetMode="External"/></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Doc4.dotx</Template>
  <TotalTime>0</TotalTime>
  <Pages>2</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2025-09-16T02:00:18Z</dcterms:created>
  <dcterms:modified xsi:type="dcterms:W3CDTF">2025-09-16T02:00:18Z</dcterms:modified>
</cp:coreProperties>
</file>

<file path=docProps/custom.xml><?xml version="1.0" encoding="utf-8"?>
<Properties xmlns="http://schemas.openxmlformats.org/officeDocument/2006/custom-properties" xmlns:vt="http://schemas.openxmlformats.org/officeDocument/2006/docPropsVTypes"/>
</file>