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12:35:16</w:t>
      </w:r>
    </w:p>
    <w:p>
      <w:pPr>
        <w:pStyle w:val="BodyText"/>
      </w:pPr>
      <w:r>
        <w:t xml:space="preserve">Cuenta: Ver18-b</w:t>
      </w:r>
    </w:p>
    <w:p>
      <w:pPr>
        <w:pStyle w:val="BodyText"/>
      </w:pPr>
      <w:r>
        <w:t xml:space="preserve">Usuario: cmhs</w:t>
      </w:r>
    </w:p>
    <w:p>
      <w:pPr>
        <w:pStyle w:val="BodyText"/>
      </w:pPr>
      <w:r>
        <w:t xml:space="preserve">ITEM: Preparación para la prevención de los signos clínicos de coccidiosis en corderos y becerros, en forma de suspensión oral, compuesta por un coccidiostato (diclazuril, 2.5 mg/ml), agua y otros excipientes. La preparación debe administrarse por vía oral en una sola dosis (1 mg de diclazuril por kg de peso vivo). La preparación se presenta en envases de 200 ml o 1 l, 2.5 l o 5 l. Está destinada a venderse directamente a los usuarios sin ningún otro empaque. Las indicaciones sobre el uso del producto (por ejemplo, el tipo de trastornos que el producto trata, el método de uso y la dosificación) se establecen en el envase del producto, su embalaje o el folleto adjunto.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30</w:t>
            </w:r>
          </w:p>
        </w:tc>
        <w:tc>
          <w:p>
            <w:pPr>
              <w:pStyle w:val="Compact"/>
              <w:jc w:val="left"/>
            </w:pPr>
            <w:r>
              <w:t xml:space="preserve">Por la RGI 1, clasificar por texto de partida y notas legales; la partida 3004 cubre los medicamentos de usos terapéuticos o profilácticos, dosificados o acondicionados para la venta al por menor, lo que coincide con un coccidiostato oral con dosificación y envases de venta al por menor (3004). Los productos veterinarios se incluyen en el Capítulo 30 (p. ej., 3005 menciona usos veterinarios; 30.06 en sus notas incluye geles veterinarios). Al ser una mezcla, el carácter esencial lo confiere el diclazuril conforme a la RGI 3(b).</w:t>
            </w:r>
          </w:p>
        </w:tc>
      </w:tr>
      <w:tr>
        <w:tc>
          <w:p>
            <w:pPr>
              <w:pStyle w:val="Compact"/>
              <w:jc w:val="right"/>
            </w:pPr>
            <w:r>
              <w:rPr>
                <w:bCs/>
                <w:b/>
              </w:rPr>
              <w:t xml:space="preserve">23</w:t>
            </w:r>
          </w:p>
        </w:tc>
        <w:tc>
          <w:p>
            <w:pPr>
              <w:pStyle w:val="Compact"/>
              <w:jc w:val="left"/>
            </w:pPr>
            <w:r>
              <w:t xml:space="preserve">El Capítulo 23 incluye preparaciones del tipo utilizado para la alimentación de los animales (23.09) y define su alcance en su Nota 1. Sin embargo, aplicando la RGI 3(a), un medicamento de la 3004 es más específico que las preparaciones para alimentación, y por la RGI 1 el artículo está acondicionado para venta al por menor como medicamento profiláctico.</w:t>
            </w:r>
          </w:p>
        </w:tc>
      </w:tr>
      <w:tr>
        <w:tc>
          <w:p>
            <w:pPr>
              <w:pStyle w:val="Compact"/>
              <w:jc w:val="right"/>
            </w:pPr>
            <w:r>
              <w:rPr>
                <w:bCs/>
                <w:b/>
              </w:rPr>
              <w:t xml:space="preserve">29</w:t>
            </w:r>
          </w:p>
        </w:tc>
        <w:tc>
          <w:p>
            <w:pPr>
              <w:pStyle w:val="Compact"/>
              <w:jc w:val="left"/>
            </w:pPr>
            <w:r>
              <w:t xml:space="preserve">El Capítulo 29 cubre únicamente compuestos orgánicos química y separadamente definidos (Nota 1), no preparaciones con excipientes. Dado que el artículo es una preparación, la clasificación como medicamento prevalece por RGI 1/3(a) sobre el ámbito del Capítulo 29.</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Pr>
      <w:r>
        <w:t xml:space="preserve">Reglas Generales de Interpretación (RGI), Regla 1: “La clasificación está legalmente determinada por los textos de las partidas y de las Notas de Secciones o de Capítulos” (traducción; véase RGI 1).</w:t>
      </w:r>
    </w:p>
    <w:p>
      <w:pPr>
        <w:numPr>
          <w:ilvl w:val="0"/>
          <w:numId w:val="1001"/>
        </w:numPr>
      </w:pPr>
      <w:r>
        <w:t xml:space="preserve">RGI 3(a): “La partida con descripción más específica tendrá prioridad sobre las partidas de alcance más genérico” (traducción; véase RGI 3(a)).</w:t>
      </w:r>
    </w:p>
    <w:p>
      <w:pPr>
        <w:numPr>
          <w:ilvl w:val="0"/>
          <w:numId w:val="1001"/>
        </w:numPr>
      </w:pPr>
      <w:r>
        <w:t xml:space="preserve">RGI 3(b): Para mezclas y mercancías compuestas, la clasificación será según la materia o el componente que les confiera el carácter esencial, cuando éste pueda determinarse (traducción; véase RGI 3(b)).</w:t>
      </w:r>
    </w:p>
    <w:p>
      <w:pPr>
        <w:numPr>
          <w:ilvl w:val="0"/>
          <w:numId w:val="1001"/>
        </w:numPr>
      </w:pPr>
      <w:r>
        <w:t xml:space="preserve">RGI 6: La clasificación a nivel de subpartida se determinará por los textos de dichas subpartidas y Notas relacionadas, aplicando mutatis mutandis las RGI y comparando únicamente subpartidas del mismo nivel (traducción; véase RGI 6 y su Nota Explicativa).</w:t>
      </w:r>
    </w:p>
    <w:p>
      <w:pPr>
        <w:numPr>
          <w:ilvl w:val="0"/>
          <w:numId w:val="1001"/>
        </w:numPr>
      </w:pPr>
      <w:r>
        <w:t xml:space="preserve">Capítulo 30, partida 30.04 (texto legal): “Medicamentos (excepto los productos de las partidas 30.02, 30.05 o 30.06) constituidos por productos mezclados o sin mezclar, para usos terapéuticos o profilácticos, presentados en dosis medidas (incluida la administración transdérmica) o acondicionados para la venta al por menor” (traducción).</w:t>
      </w:r>
    </w:p>
    <w:p>
      <w:pPr>
        <w:numPr>
          <w:ilvl w:val="0"/>
          <w:numId w:val="1001"/>
        </w:numPr>
      </w:pPr>
      <w:r>
        <w:t xml:space="preserve">Capítulo 30, partida 30.03 (texto legal): Medicamentos para usos terapéuticos o profilácticos, pero “no presentados en dosis medidas ni acondicionados para la venta al por menor” (traducción).</w:t>
      </w:r>
    </w:p>
    <w:p>
      <w:pPr>
        <w:numPr>
          <w:ilvl w:val="0"/>
          <w:numId w:val="1001"/>
        </w:numPr>
      </w:pPr>
      <w:r>
        <w:t xml:space="preserve">Capítulo 30, partida 30.02 (extractos del texto legal): incluye “Vacunas para medicina veterinaria” (traducción).</w:t>
      </w:r>
    </w:p>
    <w:p>
      <w:pPr>
        <w:numPr>
          <w:ilvl w:val="0"/>
          <w:numId w:val="1001"/>
        </w:numPr>
      </w:pPr>
      <w:r>
        <w:t xml:space="preserve">Capítulo 30, partida 30.06 (alcance según Notas Explicativas Nacionales—síntesis): esta partida sólo comprende los productos listados en los incisos a) a k) (p. ej., suturas estériles, preparaciones opacificantes para examen radiológico, placebos/kits para ensayos clínicos, ciertos geles utilizados como lubricantes, etc.) (traducción).</w:t>
      </w:r>
    </w:p>
    <w:p>
      <w:pPr>
        <w:numPr>
          <w:ilvl w:val="0"/>
          <w:numId w:val="1001"/>
        </w:numPr>
      </w:pPr>
      <w:r>
        <w:t xml:space="preserve">Capítulo 23, partida 23.09 (texto legal y Nota): “Preparaciones del tipo utilizado para la alimentación de los animales” (traducción); y la Nota 1 del Capítulo 23 aclara que la partida 23.09 comprende productos del tipo utilizado para la alimentación animal obtenidos por el procesamiento de materias vegetales o animales (traducción).</w:t>
      </w:r>
    </w:p>
    <w:p>
      <w:pPr>
        <w:pStyle w:val="FirstParagraph"/>
      </w:pPr>
      <w:r>
        <w:t xml:space="preserve">II. Análisis jurídico-técnico</w:t>
      </w:r>
    </w:p>
    <w:p>
      <w:pPr>
        <w:numPr>
          <w:ilvl w:val="0"/>
          <w:numId w:val="1002"/>
        </w:numPr>
        <w:pStyle w:val="Compact"/>
      </w:pPr>
      <w:r>
        <w:t xml:space="preserve">Descripción del producto evaluado: suspensión oral para la prevención de los signos clínicos de coccidiosis en corderos y becerros, que contiene diclazuril (2.5 mg/ml) como coccidiostato, con agua y excipientes; de administración oral en dosis única; envasada en presentaciones de 200 ml a 5 l; venta directa a usuarios; etiqueta/empaque/folleto con indicaciones, uso y dosificación.</w:t>
      </w:r>
    </w:p>
    <w:p>
      <w:pPr>
        <w:pStyle w:val="FirstParagraph"/>
      </w:pPr>
      <w:r>
        <w:t xml:space="preserve">A. Selección de capítulo y partida</w:t>
      </w:r>
    </w:p>
    <w:p>
      <w:pPr>
        <w:numPr>
          <w:ilvl w:val="0"/>
          <w:numId w:val="1003"/>
        </w:numPr>
        <w:pStyle w:val="Compact"/>
      </w:pPr>
      <w:r>
        <w:t xml:space="preserve">Por la RGI 1, rige el texto legal de la partida 30.04: comprende medicamentos para uso terapéutico o profiláctico, presentados en dosis medidas o acondicionados para la venta al por menor. La preparación descrita es un medicamento veterinario profiláctico contra la coccidiosis, presentado para venta directa al usuario con instrucciones y dosificación. Por lo tanto, cumple con “para usos terapéuticos o profilácticos” y “acondicionados para la venta al por menor” de la partida 30.04.</w:t>
      </w:r>
    </w:p>
    <w:p>
      <w:pPr>
        <w:numPr>
          <w:ilvl w:val="0"/>
          <w:numId w:val="1003"/>
        </w:numPr>
        <w:pStyle w:val="Compact"/>
      </w:pPr>
      <w:r>
        <w:t xml:space="preserve">La partida 30.03 no procede porque cubre medicamentos no presentados en dosis medidas ni para la venta al por menor, mientras que el producto se presenta expresamente para venta directa con instrucciones de dosificación.</w:t>
      </w:r>
    </w:p>
    <w:p>
      <w:pPr>
        <w:numPr>
          <w:ilvl w:val="0"/>
          <w:numId w:val="1003"/>
        </w:numPr>
        <w:pStyle w:val="Compact"/>
      </w:pPr>
      <w:r>
        <w:t xml:space="preserve">La partida 30.02 no procede; no se trata de una vacuna ni de un producto inmunológico para veterinaria, sino de una suspensión oral con coccidiostato.</w:t>
      </w:r>
    </w:p>
    <w:p>
      <w:pPr>
        <w:numPr>
          <w:ilvl w:val="0"/>
          <w:numId w:val="1003"/>
        </w:numPr>
        <w:pStyle w:val="Compact"/>
      </w:pPr>
      <w:r>
        <w:t xml:space="preserve">La partida 30.06 no procede; el producto no está entre los artículos listados de forma exhaustiva en los incisos a)–k) de esa partida (p. ej., suturas estériles, agentes opacificantes, kits para ensayos clínicos, geles como lubricantes).</w:t>
      </w:r>
    </w:p>
    <w:p>
      <w:pPr>
        <w:pStyle w:val="FirstParagraph"/>
      </w:pPr>
      <w:r>
        <w:t xml:space="preserve">Conclusión a nivel de partida: aplica la partida 30.04 por RGI 1, como descripción más específica frente a las preparaciones genéricas para alimentación animal del Capítulo 23 (véase sección III) conforme a la RGI 3(a).</w:t>
      </w:r>
    </w:p>
    <w:p>
      <w:pPr>
        <w:pStyle w:val="BodyText"/>
      </w:pPr>
      <w:r>
        <w:t xml:space="preserve">B. Selección de subpartida (RGI 6)</w:t>
      </w:r>
    </w:p>
    <w:p>
      <w:pPr>
        <w:numPr>
          <w:ilvl w:val="0"/>
          <w:numId w:val="1004"/>
        </w:numPr>
        <w:pStyle w:val="Compact"/>
      </w:pPr>
      <w:r>
        <w:t xml:space="preserve">Dentro de 3004, las subpartidas se distinguen por la presencia de clases activas particulares:</w:t>
      </w:r>
    </w:p>
    <w:p>
      <w:pPr>
        <w:numPr>
          <w:ilvl w:val="1"/>
          <w:numId w:val="1005"/>
        </w:numPr>
        <w:pStyle w:val="Compact"/>
      </w:pPr>
      <w:r>
        <w:t xml:space="preserve">3004.10: que contengan penicilinas/estreptomicinas (antibióticos) — no aplica.</w:t>
      </w:r>
    </w:p>
    <w:p>
      <w:pPr>
        <w:numPr>
          <w:ilvl w:val="1"/>
          <w:numId w:val="1005"/>
        </w:numPr>
        <w:pStyle w:val="Compact"/>
      </w:pPr>
      <w:r>
        <w:t xml:space="preserve">3004.20: otros antibióticos — no aplica.</w:t>
      </w:r>
    </w:p>
    <w:p>
      <w:pPr>
        <w:numPr>
          <w:ilvl w:val="1"/>
          <w:numId w:val="1005"/>
        </w:numPr>
        <w:pStyle w:val="Compact"/>
      </w:pPr>
      <w:r>
        <w:t xml:space="preserve">3004.31–3004.39: que contengan hormonas/derivados o ciertos alcaloides y similares — no aplica dado que el agente activo indicado es un coccidiostato fuera de esos grupos.</w:t>
      </w:r>
    </w:p>
    <w:p>
      <w:pPr>
        <w:numPr>
          <w:ilvl w:val="1"/>
          <w:numId w:val="1005"/>
        </w:numPr>
        <w:pStyle w:val="Compact"/>
      </w:pPr>
      <w:r>
        <w:t xml:space="preserve">3004.50: que contengan vitaminas o productos de la partida 29.36 — no aplica.</w:t>
      </w:r>
    </w:p>
    <w:p>
      <w:pPr>
        <w:numPr>
          <w:ilvl w:val="1"/>
          <w:numId w:val="1005"/>
        </w:numPr>
        <w:pStyle w:val="Compact"/>
      </w:pPr>
      <w:r>
        <w:t xml:space="preserve">3004.60: principios activos antipalúdicos listados en la Nota de subpartida — no aplica (la Nota lista activos relacionados con artemisinina; un coccidiostato de uso veterinario no está entre ellos).</w:t>
      </w:r>
    </w:p>
    <w:p>
      <w:pPr>
        <w:numPr>
          <w:ilvl w:val="0"/>
          <w:numId w:val="1004"/>
        </w:numPr>
        <w:pStyle w:val="Compact"/>
      </w:pPr>
      <w:r>
        <w:t xml:space="preserve">Por lo tanto, por RGI 6, el producto queda en la subpartida “Los demás” 3004.90.</w:t>
      </w:r>
    </w:p>
    <w:p>
      <w:pPr>
        <w:pStyle w:val="FirstParagraph"/>
      </w:pPr>
      <w:r>
        <w:t xml:space="preserve">Aplicando la RGI 3(b) a la preparación (principio activo más excipientes), el carácter esencial lo confiere el coccidiostato diclazuril; los excipientes no alteran la naturaleza del producto como medicamento profiláctico, lo que respalda su clasificación en 3004 y, dentro de ésta, en 3004.90 como “Los demás”.</w:t>
      </w:r>
    </w:p>
    <w:p>
      <w:pPr>
        <w:pStyle w:val="BodyText"/>
      </w:pPr>
      <w:r>
        <w:t xml:space="preserve">III. Exclusión de partidas o capítulos alternativos (Capítulos 30 y 23 únicamente)</w:t>
      </w:r>
    </w:p>
    <w:p>
      <w:pPr>
        <w:numPr>
          <w:ilvl w:val="0"/>
          <w:numId w:val="1006"/>
        </w:numPr>
        <w:pStyle w:val="Compact"/>
      </w:pPr>
      <w:r>
        <w:t xml:space="preserve">30.02 (vacunas, toxinas, cultivos; incluidas “Vacunas para medicina veterinaria”): no aplica porque el producto no es una vacuna ni un inmunológico; es una suspensión oral con coccidiostato.</w:t>
      </w:r>
    </w:p>
    <w:p>
      <w:pPr>
        <w:numPr>
          <w:ilvl w:val="0"/>
          <w:numId w:val="1006"/>
        </w:numPr>
        <w:pStyle w:val="Compact"/>
      </w:pPr>
      <w:r>
        <w:t xml:space="preserve">30.03 (medicamentos, no presentados en dosis medidas ni para la venta al por menor): excluida porque el producto se presenta para venta al por menor con indicaciones/uso, lo que lo ubica en la partida 30.04, no en la 30.03.</w:t>
      </w:r>
    </w:p>
    <w:p>
      <w:pPr>
        <w:numPr>
          <w:ilvl w:val="0"/>
          <w:numId w:val="1006"/>
        </w:numPr>
        <w:pStyle w:val="Compact"/>
      </w:pPr>
      <w:r>
        <w:t xml:space="preserve">30.06 (lista limitada de preparaciones/artículos farmacéuticos según Nota 4): excluida porque el producto no es uno de los artículos a)–k) enumerados para esa partida (p. ej., suturas estériles, agentes opacificantes, kits para ensayos clínicos, geles como lubricantes).</w:t>
      </w:r>
    </w:p>
    <w:p>
      <w:pPr>
        <w:numPr>
          <w:ilvl w:val="0"/>
          <w:numId w:val="1006"/>
        </w:numPr>
        <w:pStyle w:val="Compact"/>
      </w:pPr>
      <w:r>
        <w:t xml:space="preserve">23.09 (preparaciones del tipo utilizado para la alimentación de los animales) y Nota 1 del Capítulo 23: excluida. La 23.09 cubre productos de naturaleza alimenticia para animales obtenidos por procesamiento de materias vegetales/animales, no medicamentos para tratamiento profiláctico/terapéutico. En cambio, la 30.04 cubre expresamente medicamentos para uso terapéutico o profiláctico acondicionados para la venta al por menor. Por la RGI 3(a), la 30.04 es la descripción más específica para una suspensión oral de dosis única contra coccidiosis, en lugar del ámbito genérico de las preparaciones alimenticias del Capítulo 23.</w:t>
      </w:r>
    </w:p>
    <w:p>
      <w:pPr>
        <w:pStyle w:val="FirstParagraph"/>
      </w:pPr>
      <w:r>
        <w:t xml:space="preserve">IV. Requisitos documentales</w:t>
      </w:r>
      <w:r>
        <w:t xml:space="preserve"> </w:t>
      </w:r>
      <w:r>
        <w:t xml:space="preserve">Para acreditar las condiciones de la partida 30.04 (“para usos terapéuticos o profilácticos” y “acondicionados para la venta al por menor”), el importador deberá poder proporcionar, como mínimo:</w:t>
      </w:r>
    </w:p>
    <w:p>
      <w:pPr>
        <w:numPr>
          <w:ilvl w:val="0"/>
          <w:numId w:val="1007"/>
        </w:numPr>
        <w:pStyle w:val="Compact"/>
      </w:pPr>
      <w:r>
        <w:t xml:space="preserve">Etiqueta del producto, envase inmediato o embalaje exterior, y folleto que indiquen:</w:t>
      </w:r>
    </w:p>
    <w:p>
      <w:pPr>
        <w:numPr>
          <w:ilvl w:val="1"/>
          <w:numId w:val="1008"/>
        </w:numPr>
        <w:pStyle w:val="Compact"/>
      </w:pPr>
      <w:r>
        <w:t xml:space="preserve">indicación terapéutica/profiláctica (prevención de signos clínicos de coccidiosis) y especies (corderos, becerros),</w:t>
      </w:r>
    </w:p>
    <w:p>
      <w:pPr>
        <w:numPr>
          <w:ilvl w:val="1"/>
          <w:numId w:val="1008"/>
        </w:numPr>
        <w:pStyle w:val="Compact"/>
      </w:pPr>
      <w:r>
        <w:t xml:space="preserve">dosificación y vía de administración (dosis oral única; 1 mg/kg), y</w:t>
      </w:r>
    </w:p>
    <w:p>
      <w:pPr>
        <w:numPr>
          <w:ilvl w:val="1"/>
          <w:numId w:val="1008"/>
        </w:numPr>
        <w:pStyle w:val="Compact"/>
      </w:pPr>
      <w:r>
        <w:t xml:space="preserve">presentación/tamaños de envase destinados a venta directa al usuario (200 ml–5 l), que corroboren “acondicionados para la venta al por menor” conforme a la partida 30.04.</w:t>
      </w:r>
    </w:p>
    <w:p>
      <w:pPr>
        <w:numPr>
          <w:ilvl w:val="0"/>
          <w:numId w:val="1007"/>
        </w:numPr>
        <w:pStyle w:val="Compact"/>
      </w:pPr>
      <w:r>
        <w:t xml:space="preserve">Ficha técnica o composición que indique el principio activo (diclazuril) y su concentración, que sustente el carácter esencial bajo la RGI 3(b).</w:t>
      </w:r>
    </w:p>
    <w:p>
      <w:pPr>
        <w:pStyle w:val="FirstParagraph"/>
      </w:pPr>
      <w:r>
        <w:t xml:space="preserve">Estos documentos evidencian directamente los criterios del texto legal de la partida 30.04.</w:t>
      </w:r>
    </w:p>
    <w:p>
      <w:pPr>
        <w:pStyle w:val="BodyText"/>
      </w:pPr>
      <w:r>
        <w:t xml:space="preserve">V. Conclusión</w:t>
      </w:r>
    </w:p>
    <w:p>
      <w:pPr>
        <w:numPr>
          <w:ilvl w:val="0"/>
          <w:numId w:val="1009"/>
        </w:numPr>
        <w:pStyle w:val="Compact"/>
      </w:pPr>
      <w:r>
        <w:t xml:space="preserve">Determinación legal: Por aplicación de las RGI 1 y 3(a), el producto es un medicamento de uso profiláctico, acondicionado para la venta al por menor, de la partida 30.04; por la RGI 6, al no contener antibióticos, hormonas, alcaloides, vitaminas/productos de la 29.36 ni principios antipalúdicos, queda en la subpartida 3004.90 (“Los demás”).</w:t>
      </w:r>
    </w:p>
    <w:p>
      <w:pPr>
        <w:pStyle w:val="FirstParagraph"/>
      </w:pPr>
      <w:r>
        <w:t xml:space="preserve">Cuadro de clasificación:</w:t>
      </w:r>
    </w:p>
    <w:p>
      <w:pPr>
        <w:numPr>
          <w:ilvl w:val="0"/>
          <w:numId w:val="1010"/>
        </w:numPr>
        <w:pStyle w:val="Compact"/>
      </w:pPr>
      <w:r>
        <w:t xml:space="preserve">Capítulo: 30</w:t>
      </w:r>
    </w:p>
    <w:p>
      <w:pPr>
        <w:numPr>
          <w:ilvl w:val="0"/>
          <w:numId w:val="1010"/>
        </w:numPr>
        <w:pStyle w:val="Compact"/>
      </w:pPr>
      <w:r>
        <w:t xml:space="preserve">Partida: 30.04</w:t>
      </w:r>
    </w:p>
    <w:p>
      <w:pPr>
        <w:numPr>
          <w:ilvl w:val="0"/>
          <w:numId w:val="1010"/>
        </w:numPr>
        <w:pStyle w:val="Compact"/>
      </w:pPr>
      <w:r>
        <w:t xml:space="preserve">Subpartida (nivel solicitado): 3004.90</w:t>
      </w:r>
    </w:p>
    <w:p>
      <w:pPr>
        <w:numPr>
          <w:ilvl w:val="0"/>
          <w:numId w:val="1010"/>
        </w:numPr>
        <w:pStyle w:val="Compact"/>
      </w:pPr>
      <w:r>
        <w:t xml:space="preserve">Fracción nacional: No determinada en este acto (clasificación emitida a nivel de subpartida según lo solicitado)</w:t>
      </w:r>
    </w:p>
    <w:p>
      <w:pPr>
        <w:numPr>
          <w:ilvl w:val="0"/>
          <w:numId w:val="1010"/>
        </w:numPr>
        <w:pStyle w:val="Compact"/>
      </w:pPr>
      <w:r>
        <w:t xml:space="preserve">NICO: No determinado en este acto (clasificación emitida a nivel de subpartida según lo solicitado)</w:t>
      </w:r>
    </w:p>
    <w:p>
      <w:pPr>
        <w:pStyle w:val="FirstParagraph"/>
      </w:pPr>
      <w:r>
        <w:t xml:space="preserve">Resolución: La preparación para la prevención de los signos clínicos de coccidiosis en corderos y becerros, suspensión oral con diclazuril, acondicionada para la venta al por menor con dosificación e indicaciones, se clasifica en 3004.90.</w:t>
      </w:r>
    </w:p>
    <w:p>
      <w:pPr>
        <w:pStyle w:val="BodyText"/>
      </w:pPr>
      <w:r>
        <w:t xml:space="preserve">Nota sobre la observación importante del usuario: La clasificación final es 3004.90; en consecuencia, no es necesario descartar 3004.90.</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1"/>
        </w:numPr>
        <w:pStyle w:val="Compact"/>
      </w:pPr>
      <w:r>
        <w:t xml:space="preserve">Referencias: Ley de los Impuestos Generales de Importación y de Exportación</w:t>
      </w:r>
    </w:p>
    <w:p>
      <w:pPr>
        <w:numPr>
          <w:ilvl w:val="0"/>
          <w:numId w:val="1011"/>
        </w:numPr>
        <w:pStyle w:val="Compact"/>
      </w:pPr>
      <w:r>
        <w:t xml:space="preserve">Versión LIGIE: 7ma Enmienda del Sistema Armonizado</w:t>
      </w:r>
    </w:p>
    <w:p>
      <w:pPr>
        <w:numPr>
          <w:ilvl w:val="0"/>
          <w:numId w:val="1011"/>
        </w:numPr>
        <w:pStyle w:val="Compact"/>
      </w:pPr>
      <w:r>
        <w:t xml:space="preserve">Archivo: LIGIE-UNIFICADA-LIGIE_20250728-20250728.pdf</w:t>
      </w:r>
    </w:p>
    <w:p>
      <w:pPr>
        <w:numPr>
          <w:ilvl w:val="0"/>
          <w:numId w:val="1011"/>
        </w:numPr>
        <w:pStyle w:val="Compact"/>
      </w:pPr>
      <w:r>
        <w:t xml:space="preserve">DOF: con actualizaciones al 30 de agosto de 2025</w:t>
      </w:r>
    </w:p>
    <w:p>
      <w:r>
        <w:pict>
          <v:rect style="width:0;height:1.5pt" o:hralign="center" o:hrstd="t" o:hr="t"/>
        </w:pict>
      </w:r>
    </w:p>
    <w:p>
      <w:pPr>
        <w:pStyle w:val="FirstParagraph"/>
      </w:pPr>
      <w:r>
        <w:rPr>
          <w:bCs/>
          <w:b/>
        </w:rPr>
        <w:t xml:space="preserve">Aviso legal:</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