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12:03:10</w:t>
      </w:r>
    </w:p>
    <w:p>
      <w:pPr>
        <w:pStyle w:val="BodyText"/>
      </w:pPr>
      <w:r>
        <w:t xml:space="preserve">Cuenta: Ver18-b</w:t>
      </w:r>
    </w:p>
    <w:p>
      <w:pPr>
        <w:pStyle w:val="BodyText"/>
      </w:pPr>
      <w:r>
        <w:t xml:space="preserve">Usuario: cmhs</w:t>
      </w:r>
    </w:p>
    <w:p>
      <w:pPr>
        <w:pStyle w:val="BodyText"/>
      </w:pPr>
      <w:r>
        <w:t xml:space="preserve">ITEM: Preparación utilizada en la alimentación animal, en forma de polvo, compuesta por harina de soya deficiente en proteína (992.5 g/kg), un coccidiostato (diclazuril, 5 g/kg) y coadyuvantes de proceso (2.5 g/kg), envasada en sacos de 20 kg. La preparación se utiliza para la cría de pollos y debe mezclarse con el alimento (200 g por tonelada de alimento).</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23</w:t>
            </w:r>
          </w:p>
        </w:tc>
        <w:tc>
          <w:p>
            <w:pPr>
              <w:pStyle w:val="Compact"/>
              <w:jc w:val="left"/>
            </w:pPr>
            <w:r>
              <w:t xml:space="preserve">Por RGI 1, la partida 23.09 abarca “preparaciones del tipo utilizado para la alimentación de los animales”. La Nota del Capítulo 23 confirma la inclusión de tales productos en la 23.09 cuando se obtienen por tratamiento de materias vegetales/animales y se usan para la alimentación animal. Para esta mezcla, las RGI 3(a)-(b) favorecen la partida específica y el carácter esencial como una preparación para alimentación animal.</w:t>
            </w:r>
          </w:p>
        </w:tc>
      </w:tr>
      <w:tr>
        <w:tc>
          <w:p>
            <w:pPr>
              <w:pStyle w:val="Compact"/>
              <w:jc w:val="right"/>
            </w:pPr>
            <w:r>
              <w:rPr>
                <w:bCs/>
                <w:b/>
              </w:rPr>
              <w:t xml:space="preserve">30</w:t>
            </w:r>
          </w:p>
        </w:tc>
        <w:tc>
          <w:p>
            <w:pPr>
              <w:pStyle w:val="Compact"/>
              <w:jc w:val="left"/>
            </w:pPr>
            <w:r>
              <w:t xml:space="preserve">Las partidas 30.03/30.04 abarcan medicamentos preparados para usos terapéuticos o profilácticos (dosificados o no, o acondicionados para la venta al por menor). Sin embargo, debido a que el producto es del tipo utilizado en la alimentación animal, la partida 23.09 es más específica conforme a las RGI 1 y 3(a).</w:t>
            </w:r>
          </w:p>
        </w:tc>
      </w:tr>
      <w:tr>
        <w:tc>
          <w:p>
            <w:pPr>
              <w:pStyle w:val="Compact"/>
              <w:jc w:val="right"/>
            </w:pPr>
            <w:r>
              <w:rPr>
                <w:bCs/>
                <w:b/>
              </w:rPr>
              <w:t xml:space="preserve">21</w:t>
            </w:r>
          </w:p>
        </w:tc>
        <w:tc>
          <w:p>
            <w:pPr>
              <w:pStyle w:val="Compact"/>
              <w:jc w:val="left"/>
            </w:pPr>
            <w:r>
              <w:t xml:space="preserve">La partida 21.06 es una cesta residual para preparaciones alimenticias n.e.p. Dado que las preparaciones para alimentación animal están expresamente previstas en la 23.09, la 21.06 queda desplazada por el texto más específico (RGI 3(a)). El Capítulo 19 también dirige las preparaciones para alimentación animal a la 23.09, reforzando la exclusión de partidas residuales.</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para la Interpretación (RGI):</w:t>
      </w:r>
    </w:p>
    <w:p>
      <w:pPr>
        <w:numPr>
          <w:ilvl w:val="1"/>
          <w:numId w:val="1002"/>
        </w:numPr>
        <w:pStyle w:val="Compact"/>
      </w:pPr>
      <w:r>
        <w:t xml:space="preserve">“La clasificación de mercancías en la nomenclatura se regirá por los textos de las partidas y de las Notas de Sección o de Capítulo y, si no son contrarias a los textos de dichas partidas y Notas, de acuerdo con las Reglas siguientes” (RGI 1).</w:t>
      </w:r>
    </w:p>
    <w:p>
      <w:pPr>
        <w:numPr>
          <w:ilvl w:val="1"/>
          <w:numId w:val="1002"/>
        </w:numPr>
        <w:pStyle w:val="Compact"/>
      </w:pPr>
      <w:r>
        <w:t xml:space="preserve">“Cualquier mención a una materia en una partida alcanza a las mezclas o combinaciones de esa materia… La clasificación de las mercancías constituidas por más de una materia se efectuará según los principios de la Regla 3” (RGI 2(b)).</w:t>
      </w:r>
    </w:p>
    <w:p>
      <w:pPr>
        <w:numPr>
          <w:ilvl w:val="1"/>
          <w:numId w:val="1002"/>
        </w:numPr>
        <w:pStyle w:val="Compact"/>
      </w:pPr>
      <w:r>
        <w:t xml:space="preserve">“Cuando… las mercancías sean, a primera vista, clasificables en dos o más partidas… la partida con descripción más específica tendrá prioridad sobre las partidas con descripción más general” (RGI 3(a)).</w:t>
      </w:r>
    </w:p>
    <w:p>
      <w:pPr>
        <w:numPr>
          <w:ilvl w:val="1"/>
          <w:numId w:val="1002"/>
        </w:numPr>
        <w:pStyle w:val="Compact"/>
      </w:pPr>
      <w:r>
        <w:t xml:space="preserve">“Las mezclas… se clasificarán como si consistieran en la materia o componente que les confiera su carácter esencial, en la medida en que este criterio sea aplicable” (RGI 3(b)).</w:t>
      </w:r>
    </w:p>
    <w:p>
      <w:pPr>
        <w:numPr>
          <w:ilvl w:val="1"/>
          <w:numId w:val="1002"/>
        </w:numPr>
        <w:pStyle w:val="Compact"/>
      </w:pPr>
      <w:r>
        <w:t xml:space="preserve">“La clasificación en subpartidas de una partida se determinará… por los textos de esas subpartidas… y, mutatis mutandis, por las Reglas precedentes, entendiéndose que sólo son comparables las subpartidas del mismo nivel” (RGI 6).</w:t>
      </w:r>
    </w:p>
    <w:p>
      <w:pPr>
        <w:numPr>
          <w:ilvl w:val="0"/>
          <w:numId w:val="1001"/>
        </w:numPr>
      </w:pPr>
      <w:r>
        <w:t xml:space="preserve">Capítulo 23 (residuos y desperdicios de las industrias alimentarias; alimentos preparados para animales):</w:t>
      </w:r>
    </w:p>
    <w:p>
      <w:pPr>
        <w:numPr>
          <w:ilvl w:val="1"/>
          <w:numId w:val="1003"/>
        </w:numPr>
        <w:pStyle w:val="Compact"/>
      </w:pPr>
      <w:r>
        <w:t xml:space="preserve">Texto de partida: “23.09 Preparaciones del tipo utilizado para la alimentación de los animales”.</w:t>
      </w:r>
    </w:p>
    <w:p>
      <w:pPr>
        <w:numPr>
          <w:ilvl w:val="1"/>
          <w:numId w:val="1003"/>
        </w:numPr>
        <w:pStyle w:val="Compact"/>
      </w:pPr>
      <w:r>
        <w:t xml:space="preserve">Nota nacional/expositiva: “Se incluyen en la partida 23.09 los productos de los tipos utilizados para la alimentación de los animales, no expresados ni comprendidos en otra parte, obtenidos por tratamiento de materias vegetales o animales y que, por este hecho, hayan perdido las características esenciales de la materia originaria…” (Nota, Cap. 23).</w:t>
      </w:r>
    </w:p>
    <w:p>
      <w:pPr>
        <w:numPr>
          <w:ilvl w:val="0"/>
          <w:numId w:val="1001"/>
        </w:numPr>
      </w:pPr>
      <w:r>
        <w:t xml:space="preserve">Capítulo 30 (productos farmacéuticos):</w:t>
      </w:r>
    </w:p>
    <w:p>
      <w:pPr>
        <w:numPr>
          <w:ilvl w:val="1"/>
          <w:numId w:val="1004"/>
        </w:numPr>
        <w:pStyle w:val="Compact"/>
      </w:pPr>
      <w:r>
        <w:t xml:space="preserve">Partida 30.03: “Medicamentos… constituidos por productos mezclados… preparados para usos terapéuticos o profilácticos, sin dosificar ni acondicionar para la venta al por menor”.</w:t>
      </w:r>
    </w:p>
    <w:p>
      <w:pPr>
        <w:numPr>
          <w:ilvl w:val="1"/>
          <w:numId w:val="1004"/>
        </w:numPr>
        <w:pStyle w:val="Compact"/>
      </w:pPr>
      <w:r>
        <w:t xml:space="preserve">Partida 30.04: “Medicamentos… preparados para usos terapéuticos o profilácticos, dosificados… o acondicionados para la venta al por menor”.</w:t>
      </w:r>
    </w:p>
    <w:p>
      <w:pPr>
        <w:numPr>
          <w:ilvl w:val="1"/>
          <w:numId w:val="1004"/>
        </w:numPr>
        <w:pStyle w:val="Compact"/>
      </w:pPr>
      <w:r>
        <w:t xml:space="preserve">Nota 1 (Capítulo 30): “Este capítulo no comprende: los alimentos dietéticos… complementos alimenticios… (Sección IV)”.</w:t>
      </w:r>
    </w:p>
    <w:p>
      <w:pPr>
        <w:numPr>
          <w:ilvl w:val="1"/>
          <w:numId w:val="1004"/>
        </w:numPr>
        <w:pStyle w:val="Compact"/>
      </w:pPr>
      <w:r>
        <w:t xml:space="preserve">Nota 4/Ámbito de la 30.06: la partida abarca “únicamente” los artículos específicamente enumerados (p. ej., catgut estéril, preparaciones de contraste radiológico, preparaciones químicas anticonceptivas, etc.).</w:t>
      </w:r>
    </w:p>
    <w:p>
      <w:pPr>
        <w:pStyle w:val="FirstParagraph"/>
      </w:pPr>
      <w:r>
        <w:t xml:space="preserve">II. Análisis técnico-jurídico</w:t>
      </w:r>
    </w:p>
    <w:p>
      <w:pPr>
        <w:numPr>
          <w:ilvl w:val="0"/>
          <w:numId w:val="1005"/>
        </w:numPr>
      </w:pPr>
      <w:r>
        <w:t xml:space="preserve">Análisis por capítulo (RGI 1):</w:t>
      </w:r>
      <w:r>
        <w:t xml:space="preserve"> </w:t>
      </w:r>
      <w:r>
        <w:t xml:space="preserve">La mercancía es una “preparación utilizada en la alimentación animal” en polvo, compuesta por harina de soya deficiente en proteína (vehículo), un coccidiostato (diclazuril) y coadyuvantes de proceso; está destinada a la cría de pollos y debe mezclarse al alimento a razón de 200 g/ton. La partida 23.09 cubre expresamente “Preparaciones del tipo utilizado para la alimentación de los animales”. Por aplicación de la RGI 1, esta descripción funcional coincide con los términos de la partida sin recurrir a cestas residuales.</w:t>
      </w:r>
    </w:p>
    <w:p>
      <w:pPr>
        <w:numPr>
          <w:ilvl w:val="0"/>
          <w:numId w:val="1005"/>
        </w:numPr>
      </w:pPr>
      <w:r>
        <w:t xml:space="preserve">Análisis por partida (RGI 1 y 3(a)):</w:t>
      </w:r>
      <w:r>
        <w:t xml:space="preserve"> </w:t>
      </w:r>
      <w:r>
        <w:t xml:space="preserve">Dentro del Capítulo 23, la 23.09 es más específica respecto de la naturaleza y uso previsto del producto (preparaciones para alimentación animal) que las partidas para residuos o tortas simples. La RGI 3(a) otorga prioridad a la descripción más específica sobre la general.</w:t>
      </w:r>
    </w:p>
    <w:p>
      <w:pPr>
        <w:numPr>
          <w:ilvl w:val="0"/>
          <w:numId w:val="1005"/>
        </w:numPr>
      </w:pPr>
      <w:r>
        <w:t xml:space="preserve">Análisis por subpartida (RGI 6):</w:t>
      </w:r>
      <w:r>
        <w:t xml:space="preserve"> </w:t>
      </w:r>
      <w:r>
        <w:t xml:space="preserve">Al primer guion, la 23.09 se subdivide en:</w:t>
      </w:r>
    </w:p>
    <w:p>
      <w:pPr>
        <w:numPr>
          <w:ilvl w:val="1"/>
          <w:numId w:val="1006"/>
        </w:numPr>
        <w:pStyle w:val="Compact"/>
      </w:pPr>
      <w:r>
        <w:t xml:space="preserve">2309.10 “Alimentos para perros o gatos, acondicionados para la venta al por menor”, y</w:t>
      </w:r>
    </w:p>
    <w:p>
      <w:pPr>
        <w:numPr>
          <w:ilvl w:val="1"/>
          <w:numId w:val="1006"/>
        </w:numPr>
        <w:pStyle w:val="Compact"/>
      </w:pPr>
      <w:r>
        <w:t xml:space="preserve">2309.90 “Los demás”.</w:t>
      </w:r>
      <w:r>
        <w:t xml:space="preserve"> </w:t>
      </w:r>
      <w:r>
        <w:t xml:space="preserve">El producto no es alimento para perros/gatos ni está acondicionado para la venta al por menor; es un premezclado en sacos de 20 kg para incorporación en alimento avícola. En consecuencia, por la RGI 6, queda en la subpartida 2309.90 (“Los demás”).</w:t>
      </w:r>
    </w:p>
    <w:p>
      <w:pPr>
        <w:numPr>
          <w:ilvl w:val="0"/>
          <w:numId w:val="1005"/>
        </w:numPr>
      </w:pPr>
      <w:r>
        <w:t xml:space="preserve">Carácter esencial y mezclas (RGI 2(b)/3(b)):</w:t>
      </w:r>
      <w:r>
        <w:t xml:space="preserve"> </w:t>
      </w:r>
      <w:r>
        <w:t xml:space="preserve">Aunque el vehículo (harina de soya) predomina en peso, la mezcla se formula y comercializa como una preparación (premezcla) para conferir una función profiláctica coccidiostática al alimento. Conforme a la RGI 2(b), las mezclas se clasifican según la Regla 3; y conforme a la RGI 3(b), el carácter esencial puede derivarse del papel del componente activo respecto del uso. Aquí, la presentación, uso y función confirman la identidad como “preparación… para la alimentación de los animales” de la 23.09, y no como simple torta de la 23.04, lo que respalda su clasificación en 23.09 por el texto de la partida (RGI 1), reforzada por el criterio del carácter esencial cuando resulte pertinente.</w:t>
      </w:r>
    </w:p>
    <w:p>
      <w:pPr>
        <w:pStyle w:val="FirstParagraph"/>
      </w:pPr>
      <w:r>
        <w:t xml:space="preserve">III. Exclusión de partidas o subpartidas alternativas (Capítulos 23 y 30)</w:t>
      </w:r>
    </w:p>
    <w:p>
      <w:pPr>
        <w:numPr>
          <w:ilvl w:val="0"/>
          <w:numId w:val="1007"/>
        </w:numPr>
      </w:pPr>
      <w:r>
        <w:t xml:space="preserve">Dentro del Capítulo 23:</w:t>
      </w:r>
    </w:p>
    <w:p>
      <w:pPr>
        <w:numPr>
          <w:ilvl w:val="1"/>
          <w:numId w:val="1008"/>
        </w:numPr>
        <w:pStyle w:val="Compact"/>
      </w:pPr>
      <w:r>
        <w:t xml:space="preserve">Partida 23.04 (“Tortas y demás residuos sólidos… de la extracción del aceite de soya”) excluida. El producto no es simplemente torta; es una preparación formulada que contiene un coccidiostato activo para la alimentación animal. La RGI 2(b) aclara que la adición de sustancias puede sacar un producto de una partida de materia pura cuando cambia su carácter; aquí, la presencia y función profiláctica del diclazuril privan al producto del carácter de la 23.04 y lo encuadran en la partida específica de preparaciones 23.09 (RGI 1 y 2(b)).</w:t>
      </w:r>
    </w:p>
    <w:p>
      <w:pPr>
        <w:numPr>
          <w:ilvl w:val="1"/>
          <w:numId w:val="1008"/>
        </w:numPr>
        <w:pStyle w:val="Compact"/>
      </w:pPr>
      <w:r>
        <w:t xml:space="preserve">Partida 23.08 (“Materias vegetales y desperdicios vegetales… del tipo utilizado en alimentación animal”) excluida porque la mercancía es una preparación, no simples materias o desperdicios vegetales; la 23.09 cubre específicamente las preparaciones para alimentación.</w:t>
      </w:r>
    </w:p>
    <w:p>
      <w:pPr>
        <w:numPr>
          <w:ilvl w:val="1"/>
          <w:numId w:val="1008"/>
        </w:numPr>
        <w:pStyle w:val="Compact"/>
      </w:pPr>
      <w:r>
        <w:t xml:space="preserve">Subpartida 2309.10 (“Alimentos para perros o gatos, acondicionados para la venta al por menor”) excluida, ya que el producto no está destinado a perros/gatos ni acondicionado para la venta al por menor; es una premezcla industrial para aves de corral en sacos de 20 kg. Por tanto, aplica la subpartida residual “Los demás” 2309.90.</w:t>
      </w:r>
    </w:p>
    <w:p>
      <w:pPr>
        <w:numPr>
          <w:ilvl w:val="0"/>
          <w:numId w:val="1007"/>
        </w:numPr>
      </w:pPr>
      <w:r>
        <w:t xml:space="preserve">Dentro del Capítulo 30:</w:t>
      </w:r>
    </w:p>
    <w:p>
      <w:pPr>
        <w:numPr>
          <w:ilvl w:val="1"/>
          <w:numId w:val="1009"/>
        </w:numPr>
        <w:pStyle w:val="Compact"/>
      </w:pPr>
      <w:r>
        <w:t xml:space="preserve">La partida 30.04 (medicamentos, dosificados o acondicionados para la venta al por menor) no aplica porque el producto no se presenta en forma dosificada ni para venta al por menor; es una premezcla a granel para incorporarse al alimento.</w:t>
      </w:r>
    </w:p>
    <w:p>
      <w:pPr>
        <w:numPr>
          <w:ilvl w:val="1"/>
          <w:numId w:val="1009"/>
        </w:numPr>
        <w:pStyle w:val="Compact"/>
      </w:pPr>
      <w:r>
        <w:t xml:space="preserve">La partida 30.03 (medicamentos, mezclados, para usos terapéuticos o profilácticos, sin dosificar) tampoco es la más adecuada. Aunque el coccidiostato confiere un efecto profiláctico, el producto se presenta y utiliza como preparación para alimentación animal (premezcla) para mezclarse con el alimento, categoría tratada en la Sección IV (productos alimenticios) y no en el Capítulo 30. La Nota 1 del Capítulo 30 excluye los productos de tipo alimentario (p. ej., “complementos alimenticios… Sección IV”), y, aplicando la RGI 3(a), la 23.09 ofrece una descripción más específica para preparaciones utilizadas en la alimentación animal en comparación con el concepto más amplio de “medicamentos” de la 30.03.</w:t>
      </w:r>
    </w:p>
    <w:p>
      <w:pPr>
        <w:numPr>
          <w:ilvl w:val="1"/>
          <w:numId w:val="1009"/>
        </w:numPr>
        <w:pStyle w:val="Compact"/>
      </w:pPr>
      <w:r>
        <w:t xml:space="preserve">La partida 30.06 es inaplicable porque cubre “únicamente” una lista cerrada de productos específicos (catgut quirúrgico estéril, preparaciones de contraste radiológico, botiquines, preparaciones químicas anticonceptivas, etc.), que no incluye premezclas de alimento animal.</w:t>
      </w:r>
    </w:p>
    <w:p>
      <w:pPr>
        <w:numPr>
          <w:ilvl w:val="1"/>
          <w:numId w:val="1009"/>
        </w:numPr>
        <w:pStyle w:val="Compact"/>
      </w:pPr>
      <w:r>
        <w:t xml:space="preserve">La partida 30.02 (productos sanguíneos, productos inmunológicos, vacunas, etc.) es inaplicable; una premezcla coccidiostática no cumple esas definiciones ni ámbitos.</w:t>
      </w:r>
    </w:p>
    <w:p>
      <w:pPr>
        <w:pStyle w:val="FirstParagraph"/>
      </w:pPr>
      <w:r>
        <w:t xml:space="preserve">Nota importante sobre 2309.90: La clasificación final es 2309.90. Por lo tanto, no es necesario descartar 2309.90; más bien, el análisis anterior confirma por qué la 23.09—y específicamente la 2309.90—es la subpartida correcta y más específica.</w:t>
      </w:r>
    </w:p>
    <w:p>
      <w:pPr>
        <w:pStyle w:val="BodyText"/>
      </w:pPr>
      <w:r>
        <w:t xml:space="preserve">IV. Requisitos documentales</w:t>
      </w:r>
      <w:r>
        <w:t xml:space="preserve"> </w:t>
      </w:r>
      <w:r>
        <w:t xml:space="preserve">Para sustentar la clasificación declarada en la importación, el importador deberá proporcionar:</w:t>
      </w:r>
    </w:p>
    <w:p>
      <w:pPr>
        <w:numPr>
          <w:ilvl w:val="0"/>
          <w:numId w:val="1010"/>
        </w:numPr>
        <w:pStyle w:val="Compact"/>
      </w:pPr>
      <w:r>
        <w:t xml:space="preserve">Ficha técnica completa que indique la composición en peso (g/kg) y la función de cada componente (harina de soya, diclazuril, coadyuvantes de proceso).</w:t>
      </w:r>
    </w:p>
    <w:p>
      <w:pPr>
        <w:numPr>
          <w:ilvl w:val="0"/>
          <w:numId w:val="1010"/>
        </w:numPr>
        <w:pStyle w:val="Compact"/>
      </w:pPr>
      <w:r>
        <w:t xml:space="preserve">Certificado de análisis y descripción del proceso de fabricación que demuestre que el producto es una premezcla para alimentación animal.</w:t>
      </w:r>
    </w:p>
    <w:p>
      <w:pPr>
        <w:numPr>
          <w:ilvl w:val="0"/>
          <w:numId w:val="1010"/>
        </w:numPr>
        <w:pStyle w:val="Compact"/>
      </w:pPr>
      <w:r>
        <w:t xml:space="preserve">Etiquetado e instrucciones de uso que acrediten la dosis de inclusión recomendada (p. ej., 200 g/ton de alimento) y la especie objetivo (pollos).</w:t>
      </w:r>
    </w:p>
    <w:p>
      <w:pPr>
        <w:numPr>
          <w:ilvl w:val="0"/>
          <w:numId w:val="1010"/>
        </w:numPr>
        <w:pStyle w:val="Compact"/>
      </w:pPr>
      <w:r>
        <w:t xml:space="preserve">Detalles de presentación/empaque (p. ej., sacos de 20 kg) y mercado destinatario (industria de alimento balanceado, no venta al menudeo).</w:t>
      </w:r>
    </w:p>
    <w:p>
      <w:pPr>
        <w:numPr>
          <w:ilvl w:val="0"/>
          <w:numId w:val="1010"/>
        </w:numPr>
        <w:pStyle w:val="Compact"/>
      </w:pPr>
      <w:r>
        <w:t xml:space="preserve">Fotografías del empaque, del producto y de cualquier documentación de seguridad/manejo proporcionada por el fabricante.</w:t>
      </w:r>
    </w:p>
    <w:p>
      <w:pPr>
        <w:pStyle w:val="FirstParagraph"/>
      </w:pPr>
      <w:r>
        <w:t xml:space="preserve">V. Conclusión</w:t>
      </w:r>
    </w:p>
    <w:p>
      <w:pPr>
        <w:numPr>
          <w:ilvl w:val="0"/>
          <w:numId w:val="1011"/>
        </w:numPr>
        <w:pStyle w:val="Compact"/>
      </w:pPr>
      <w:r>
        <w:t xml:space="preserve">Cuadro de clasificación:</w:t>
      </w:r>
    </w:p>
    <w:p>
      <w:pPr>
        <w:numPr>
          <w:ilvl w:val="1"/>
          <w:numId w:val="1012"/>
        </w:numPr>
        <w:pStyle w:val="Compact"/>
      </w:pPr>
      <w:r>
        <w:t xml:space="preserve">Capítulo: 23</w:t>
      </w:r>
    </w:p>
    <w:p>
      <w:pPr>
        <w:numPr>
          <w:ilvl w:val="1"/>
          <w:numId w:val="1012"/>
        </w:numPr>
        <w:pStyle w:val="Compact"/>
      </w:pPr>
      <w:r>
        <w:t xml:space="preserve">Partida: 23.09 – Preparaciones del tipo utilizado para la alimentación de los animales</w:t>
      </w:r>
    </w:p>
    <w:p>
      <w:pPr>
        <w:numPr>
          <w:ilvl w:val="1"/>
          <w:numId w:val="1012"/>
        </w:numPr>
        <w:pStyle w:val="Compact"/>
      </w:pPr>
      <w:r>
        <w:t xml:space="preserve">Subpartida: 2309.90 – Los demás</w:t>
      </w:r>
    </w:p>
    <w:p>
      <w:pPr>
        <w:numPr>
          <w:ilvl w:val="1"/>
          <w:numId w:val="1012"/>
        </w:numPr>
        <w:pStyle w:val="Compact"/>
      </w:pPr>
      <w:r>
        <w:t xml:space="preserve">Fracción arancelaria: No determinada (fuera del alcance solicitado de subpartida)</w:t>
      </w:r>
    </w:p>
    <w:p>
      <w:pPr>
        <w:numPr>
          <w:ilvl w:val="1"/>
          <w:numId w:val="1012"/>
        </w:numPr>
        <w:pStyle w:val="Compact"/>
      </w:pPr>
      <w:r>
        <w:t xml:space="preserve">NICO: No determinado (fuera del alcance solicitado)</w:t>
      </w:r>
    </w:p>
    <w:p>
      <w:pPr>
        <w:pStyle w:val="FirstParagraph"/>
      </w:pPr>
      <w:r>
        <w:t xml:space="preserve">Resolución: Con base en las RGI 1, 3(a), 3(b) y 6, la Nota 1 del Capítulo 30, y las notas de partida/capítulo del Capítulo 23, el producto descrito—una premezcla para alimentación animal que contiene diclazuril con vehículo de harina de soya, en sacos a granel para incorporación en alimento avícola—se clasifica en la subpartida 2309.90.</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3"/>
        </w:numPr>
        <w:pStyle w:val="Compact"/>
      </w:pPr>
      <w:r>
        <w:t xml:space="preserve">Referencias: Ley de los Impuestos Generales de Importación y de Exportación</w:t>
      </w:r>
    </w:p>
    <w:p>
      <w:pPr>
        <w:numPr>
          <w:ilvl w:val="0"/>
          <w:numId w:val="1013"/>
        </w:numPr>
        <w:pStyle w:val="Compact"/>
      </w:pPr>
      <w:r>
        <w:t xml:space="preserve">Versión LIGIE: 7ma Enmienda del Sistema Armonizado</w:t>
      </w:r>
    </w:p>
    <w:p>
      <w:pPr>
        <w:numPr>
          <w:ilvl w:val="0"/>
          <w:numId w:val="1013"/>
        </w:numPr>
        <w:pStyle w:val="Compact"/>
      </w:pPr>
      <w:r>
        <w:t xml:space="preserve">Archivo: LIGIE-UNIFICADA-LIGIE_20250728-20250728.pdf</w:t>
      </w:r>
    </w:p>
    <w:p>
      <w:pPr>
        <w:numPr>
          <w:ilvl w:val="0"/>
          <w:numId w:val="1013"/>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2025-09-16T02:00:16Z</dcterms:created>
  <dcterms:modified xsi:type="dcterms:W3CDTF">2025-09-16T02:00:16Z</dcterms:modified>
</cp:coreProperties>
</file>

<file path=docProps/custom.xml><?xml version="1.0" encoding="utf-8"?>
<Properties xmlns="http://schemas.openxmlformats.org/officeDocument/2006/custom-properties" xmlns:vt="http://schemas.openxmlformats.org/officeDocument/2006/docPropsVTypes"/>
</file>