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11:24:00</w:t>
      </w:r>
    </w:p>
    <w:p>
      <w:pPr>
        <w:pStyle w:val="BodyText"/>
      </w:pPr>
      <w:r>
        <w:t xml:space="preserve">Cuenta: Ver18-b</w:t>
      </w:r>
    </w:p>
    <w:p>
      <w:pPr>
        <w:pStyle w:val="BodyText"/>
      </w:pPr>
      <w:r>
        <w:t xml:space="preserve">Usuario: cmhs</w:t>
      </w:r>
    </w:p>
    <w:p>
      <w:pPr>
        <w:pStyle w:val="BodyText"/>
      </w:pPr>
      <w:r>
        <w:t xml:space="preserve">ITEM: Preparación alimenticia consistente en células de fibroblastos de pollo cultivadas, suministrada como ingrediente estabilizado para consumo humano. No se presenta como carne de ave, canal ni partes comestibles; destinada a mezclarse con otros alimentos. No recombinante (no OGM), libre de antibióticos, derivada de una línea celular de fibroblastos certificada y libre de agentes infecciosos.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04</w:t>
            </w:r>
          </w:p>
        </w:tc>
        <w:tc>
          <w:p>
            <w:pPr>
              <w:pStyle w:val="Compact"/>
              <w:jc w:val="left"/>
            </w:pPr>
            <w:r>
              <w:t xml:space="preserve">Por RGI 1, la partida 04.10 abarca “insectos y demás productos comestibles de origen animal, no expresados ni comprendidos en otra parte”. Un ingrediente de células de pollo cultivadas para consumo humano es un producto comestible de origen animal no especificado en otra parte; los estabilizantes no alteran su carácter esencial (RGI 3 b)).</w:t>
            </w:r>
          </w:p>
        </w:tc>
      </w:tr>
      <w:tr>
        <w:tc>
          <w:p>
            <w:pPr>
              <w:pStyle w:val="Compact"/>
              <w:jc w:val="right"/>
            </w:pPr>
            <w:r>
              <w:rPr>
                <w:bCs/>
                <w:b/>
              </w:rPr>
              <w:t xml:space="preserve">16</w:t>
            </w:r>
          </w:p>
        </w:tc>
        <w:tc>
          <w:p>
            <w:pPr>
              <w:pStyle w:val="Compact"/>
              <w:jc w:val="left"/>
            </w:pPr>
            <w:r>
              <w:t xml:space="preserve">El Capítulo 16 abarca preparaciones únicamente cuando contienen &gt;20% en peso de embutidos, carne, despojos, sangre, insectos, pescado o invertebrados acuáticos. El artículo expresamente no se presenta como carne ni partes comestibles (p. ej., carne de aves de 02.07), por lo que el 16 es menos específico que 04.10 para este ingrediente.</w:t>
            </w:r>
          </w:p>
        </w:tc>
      </w:tr>
      <w:tr>
        <w:tc>
          <w:p>
            <w:pPr>
              <w:pStyle w:val="Compact"/>
              <w:jc w:val="right"/>
            </w:pPr>
            <w:r>
              <w:rPr>
                <w:bCs/>
                <w:b/>
              </w:rPr>
              <w:t xml:space="preserve">21</w:t>
            </w:r>
          </w:p>
        </w:tc>
        <w:tc>
          <w:p>
            <w:pPr>
              <w:pStyle w:val="Compact"/>
              <w:jc w:val="left"/>
            </w:pPr>
            <w:r>
              <w:t xml:space="preserve">La partida 21.06 es residual (preparaciones alimenticias, N.E.P.). Aplica solo si ninguna otra partida cubre el producto; además, la Nota 1 e) del Capítulo 21 remite preparaciones con &gt;20% de carne/despojos/insectos al Capítulo 16. Dado que 04.10 se dirige específicamente a productos comestibles de origen animal, 21.06 queda como último recurso (RGI 3 a)).</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(Regla 1).</w:t>
      </w:r>
      <w:r>
        <w:t xml:space="preserve"> </w:t>
      </w:r>
      <w:r>
        <w:t xml:space="preserve">• “CUALQUIER REFERENCIA A UNA MATERIA EN UNA PARTIDA DETERMINADA ALCANZA A DICHA MATERIA, INCLUSO MEZCLADA O ASOCIADA CON OTRAS MATERIAS… LA CLASIFICACION DE ESTOS PRODUCTOS MEZCLADOS… SE EFECTUARA DE ACUERDO CON LOS PRINCIPIOS ENUNCIADOS EN LA REGLA 3.” (Regla 2 b)).</w:t>
      </w:r>
      <w:r>
        <w:t xml:space="preserve"> </w:t>
      </w:r>
      <w:r>
        <w:t xml:space="preserve">• “LA PARTIDA CON DESCRIPCION MAS ESPECIFICA TENDRA PRIORIDAD SOBRE LAS PARTIDAS DE ALCANCE MAS GENERICO…” (Regla 3 a)).</w:t>
      </w:r>
      <w:r>
        <w:t xml:space="preserve"> </w:t>
      </w:r>
      <w:r>
        <w:t xml:space="preserve">• Sobre el carácter esencial: “la clasificación… debe hacerse según la materia o el artículo que confiera el carácter esencial…” (Regla 3 b), párrs. VII y VIII).</w:t>
      </w:r>
      <w:r>
        <w:t xml:space="preserve"> </w:t>
      </w:r>
      <w:r>
        <w:t xml:space="preserve">• Subpartidas: “LA CLASIFICACION DE MERCANCIAS EN LAS SUBPARTIDAS… ESTA DETERMINADA LEGALMENTE POR LOS TEXTOS DE ESTAS SUBPARTIDAS… ASI COMO, MUTATIS MUTANDIS, POR LAS REGLAS ANTERIORES…” (Regla 6).</w:t>
      </w:r>
    </w:p>
    <w:p>
      <w:pPr>
        <w:numPr>
          <w:ilvl w:val="0"/>
          <w:numId w:val="1001"/>
        </w:numPr>
      </w:pPr>
      <w:r>
        <w:t xml:space="preserve">Capítulo 16 (Notas y partidas):</w:t>
      </w:r>
      <w:r>
        <w:t xml:space="preserve"> </w:t>
      </w:r>
      <w:r>
        <w:t xml:space="preserve">• Nota 2: “Las preparaciones alimenticias se clasifican en este Capítulo siempre que contengan una proporción superior al 20% en peso de embutidos, carne, despojos, sangre, insectos, pescado o de crustáceos, moluscos o demás invertebrados acuáticos…” (salvedades allí citadas).</w:t>
      </w:r>
      <w:r>
        <w:t xml:space="preserve"> </w:t>
      </w:r>
      <w:r>
        <w:t xml:space="preserve">• Partida 16.01: “Embutidos y productos similares de carne, despojos, sangre o de insectos; preparaciones alimenticias a base de estos productos.”</w:t>
      </w:r>
      <w:r>
        <w:t xml:space="preserve"> </w:t>
      </w:r>
      <w:r>
        <w:t xml:space="preserve">• Partida 16.02: “Las demás preparaciones y conservas de carne, despojos, sangre o de insectos.”, incluida la subpartida “1602.32 -- De aves de la especie Gallus domesticus.”</w:t>
      </w:r>
      <w:r>
        <w:t xml:space="preserve"> </w:t>
      </w:r>
      <w:r>
        <w:t xml:space="preserve">• Partida 16.03: “Extractos y jugos de carne, pescado o de crustáceos, moluscos o demás invertebrados acuáticos.”</w:t>
      </w:r>
    </w:p>
    <w:p>
      <w:pPr>
        <w:numPr>
          <w:ilvl w:val="0"/>
          <w:numId w:val="1001"/>
        </w:numPr>
      </w:pPr>
      <w:r>
        <w:t xml:space="preserve">Capítulo 04 (texto y notas):</w:t>
      </w:r>
      <w:r>
        <w:t xml:space="preserve"> </w:t>
      </w:r>
      <w:r>
        <w:t xml:space="preserve">• Partida 04.10: “Insectos y demás productos comestibles de origen animal, no expresados ni comprendidos en otra parte”, con subpartida 0410.90 “Los demás”.</w:t>
      </w:r>
      <w:r>
        <w:t xml:space="preserve"> </w:t>
      </w:r>
      <w:r>
        <w:t xml:space="preserve">• Nota 6 del Cap. 04 (aclaración sobre “insectos” en 04.10; referencia a que los insectos preparados de otro modo se clasifican generalmente en la Sección IV).</w:t>
      </w:r>
    </w:p>
    <w:p>
      <w:pPr>
        <w:pStyle w:val="FirstParagraph"/>
      </w:pPr>
      <w:r>
        <w:t xml:space="preserve">II. Análisis jurídico-técnico</w:t>
      </w:r>
      <w:r>
        <w:t xml:space="preserve"> </w:t>
      </w:r>
      <w:r>
        <w:t xml:space="preserve">Objeto: “Preparación alimenticia consistente en células de fibroblastos de pollo cultivadas, suministrada como ingrediente estabilizado para consumo humano. No se presenta como carne de ave, canal ni partes comestibles; destinada a mezclarse con otros alimentos. No recombinante (no OGM), libre de antibióticos, derivada de una línea celular de fibroblastos certificada y libre de agentes infecciosos.”</w:t>
      </w:r>
    </w:p>
    <w:p>
      <w:pPr>
        <w:numPr>
          <w:ilvl w:val="0"/>
          <w:numId w:val="1002"/>
        </w:numPr>
      </w:pPr>
      <w:r>
        <w:t xml:space="preserve">Conforme a la RGI 1, la clasificación se determina por los textos de las partidas y sus notas legales. El producto es un ingrediente comestible de origen animal (células de pollo cultivadas). No es lácteo, huevo ni miel (Cap. 04 partidas 04.01–04.09), por lo que dentro del Capítulo 04 la partida residual pertinente es 04.10 para “los demás productos comestibles de origen animal, no expresados ni comprendidos en otra parte”.</w:t>
      </w:r>
    </w:p>
    <w:p>
      <w:pPr>
        <w:numPr>
          <w:ilvl w:val="0"/>
          <w:numId w:val="1002"/>
        </w:numPr>
      </w:pPr>
      <w:r>
        <w:t xml:space="preserve">Debe considerarse el Capítulo 16 por su cobertura de “preparaciones de carne… o de insectos” y su Nota 2 respecto de mezclas con &gt;20% en peso de tales productos. Sin embargo, el texto de las partidas aplicables es decisivo:</w:t>
      </w:r>
    </w:p>
    <w:p>
      <w:pPr>
        <w:numPr>
          <w:ilvl w:val="1"/>
          <w:numId w:val="1003"/>
        </w:numPr>
        <w:pStyle w:val="Compact"/>
      </w:pPr>
      <w:r>
        <w:t xml:space="preserve">16.01 abarca embutidos y productos similares de carne/despojos/sangre/insectos o preparaciones a base de éstos, lo que no es el caso.</w:t>
      </w:r>
    </w:p>
    <w:p>
      <w:pPr>
        <w:numPr>
          <w:ilvl w:val="1"/>
          <w:numId w:val="1003"/>
        </w:numPr>
        <w:pStyle w:val="Compact"/>
      </w:pPr>
      <w:r>
        <w:t xml:space="preserve">16.02 abarca “las demás preparaciones y conservas de carne, despojos, sangre o de insectos”, incluida la subpartida 1602.32 “de aves de la especie Gallus domesticus”. El producto presentado consiste en células de fibroblastos cultivadas, no identificadas como “carne”, “despojos” o “sangre”, y expresamente “no se presenta como carne de ave, canal ni partes comestibles”. A falta de nota legal que equipare fibroblastos cultivados a “carne” o “despojos”, no se satisfacen los términos de 16.02 conforme a la RGI 1.</w:t>
      </w:r>
    </w:p>
    <w:p>
      <w:pPr>
        <w:numPr>
          <w:ilvl w:val="1"/>
          <w:numId w:val="1003"/>
        </w:numPr>
        <w:pStyle w:val="Compact"/>
      </w:pPr>
      <w:r>
        <w:t xml:space="preserve">16.03, “extractos y jugos de carne…”, es igualmente inaplicable porque se describe como una suspensión/ingrediente estabilizado de células intactas, no extractos ni jugos.</w:t>
      </w:r>
    </w:p>
    <w:p>
      <w:pPr>
        <w:numPr>
          <w:ilvl w:val="0"/>
          <w:numId w:val="1002"/>
        </w:numPr>
      </w:pPr>
      <w:r>
        <w:t xml:space="preserve">En consecuencia, y aún bajo la RGI 1, el producto queda en la partida 04.10 como “los demás productos comestibles de origen animal, no expresados ni comprendidos en otra parte”. Dentro de esta partida, aplicando la RGI 6, la subpartida correcta es 0410.90 “Los demás”, ya que no son “insectos” de 0410.10.</w:t>
      </w:r>
    </w:p>
    <w:p>
      <w:pPr>
        <w:numPr>
          <w:ilvl w:val="0"/>
          <w:numId w:val="1002"/>
        </w:numPr>
      </w:pPr>
      <w:r>
        <w:t xml:space="preserve">La mención de estabilizantes no modifica este resultado. Conforme a las RGI 2 b) y 3 b), las mezclas o preparaciones se clasifican según el componente que les confiere el carácter esencial; aquí, dicho carácter lo confieren las células de pollo cultivadas como la sustancia comestible de origen animal definitoria (Regla 2 b) y Regla 3 b), párrs. VII–VIII).</w:t>
      </w:r>
    </w:p>
    <w:p>
      <w:pPr>
        <w:pStyle w:val="FirstParagraph"/>
      </w:pPr>
      <w:r>
        <w:t xml:space="preserve">III. Exclusión de partidas o capítulos alternativos (Capítulos 04 y 16)</w:t>
      </w:r>
    </w:p>
    <w:p>
      <w:pPr>
        <w:numPr>
          <w:ilvl w:val="0"/>
          <w:numId w:val="1004"/>
        </w:numPr>
      </w:pPr>
      <w:r>
        <w:t xml:space="preserve">Capítulo 04:</w:t>
      </w:r>
      <w:r>
        <w:t xml:space="preserve"> </w:t>
      </w:r>
      <w:r>
        <w:t xml:space="preserve">• 04.01–04.09 (leche y productos lácteos, huevos de ave, miel natural): No aplicable a células de fibroblastos aviares cultivadas, que no son lácteos ni huevos ni miel (véanse los textos de 04.02–04.09).</w:t>
      </w:r>
      <w:r>
        <w:t xml:space="preserve"> </w:t>
      </w:r>
      <w:r>
        <w:t xml:space="preserve">• 04.10.10 “Insectos” y su nota: No se trata de insectos; por tanto, se excluye 0410.10; la selección procede a 0410.90 conforme a la RGI 6.</w:t>
      </w:r>
    </w:p>
    <w:p>
      <w:pPr>
        <w:numPr>
          <w:ilvl w:val="0"/>
          <w:numId w:val="1004"/>
        </w:numPr>
      </w:pPr>
      <w:r>
        <w:t xml:space="preserve">Capítulo 16:</w:t>
      </w:r>
      <w:r>
        <w:t xml:space="preserve"> </w:t>
      </w:r>
      <w:r>
        <w:t xml:space="preserve">• 16.01: “Embutidos y productos similares…” No aplicable; no son embutidos ni productos similares, ni preparaciones a base de éstos.</w:t>
      </w:r>
      <w:r>
        <w:t xml:space="preserve"> </w:t>
      </w:r>
      <w:r>
        <w:t xml:space="preserve">• 16.02: “Las demás preparaciones y conservas de carne, despojos, sangre o de insectos.” Consta que el producto son células cultivadas “no presentadas como carne de ave, canal ni partes comestibles”. En los materiales proporcionados, “carne”/“despojos” no se amplía para incluir fibroblastos cultivados; por el tenor de la partida, 16.02 no aplica bajo la RGI 1. La subpartida aviar 1602.32 requeriría que el bien fuera una preparación “de” carne/despojos/sangre de aves, lo que aquí no se acredita.</w:t>
      </w:r>
      <w:r>
        <w:t xml:space="preserve"> </w:t>
      </w:r>
      <w:r>
        <w:t xml:space="preserve">• 16.03: “Extractos y jugos de carne…” No aplicable; no es extracto/jugo.</w:t>
      </w:r>
      <w:r>
        <w:t xml:space="preserve"> </w:t>
      </w:r>
      <w:r>
        <w:t xml:space="preserve">• 16.04–16.05: Pescado/crustáceos/moluscos/otros invertebrados acuáticos; el bien es de pollo, por lo que se excluye.</w:t>
      </w:r>
    </w:p>
    <w:p>
      <w:pPr>
        <w:pStyle w:val="FirstParagraph"/>
      </w:pPr>
      <w:r>
        <w:t xml:space="preserve">Por qué se descarta 2106.90</w:t>
      </w:r>
    </w:p>
    <w:p>
      <w:pPr>
        <w:numPr>
          <w:ilvl w:val="0"/>
          <w:numId w:val="1005"/>
        </w:numPr>
        <w:pStyle w:val="Compact"/>
      </w:pPr>
      <w:r>
        <w:t xml:space="preserve">La partida 21.06 es residual (“no expresadas ni comprendidas en otra parte”). Bajo RGI 1 y RGI 3 a), una partida más específica prevalece sobre una genérica. Aquí, la 04.10 cubre expresamente “los demás productos comestibles de origen animal, no expresados ni comprendidos en otra parte”, más específica respecto a la naturaleza y origen del bien que la genérica del Capítulo 21; por lo tanto, recurrir a 21.06 es improcedente mientras sea aplicable 04.10 o, en su caso, 16.02 (Regla 1; Regla 3 a)).</w:t>
      </w:r>
    </w:p>
    <w:p>
      <w:pPr>
        <w:numPr>
          <w:ilvl w:val="0"/>
          <w:numId w:val="1005"/>
        </w:numPr>
        <w:pStyle w:val="Compact"/>
      </w:pPr>
      <w:r>
        <w:t xml:space="preserve">Además, la Nota 2 del Capítulo 16 dirige la clasificación de preparaciones alimenticias con &gt;20% en peso de carne/despojos/sangre/insectos/pescado/crustáceos, etc., al Capítulo 16. Esto confirma que la nomenclatura da prioridad a capítulos específicos para sustancias de origen animal y sus preparaciones antes que a una partida residual. Solo se recurre a 21.06 si ninguna otra partida describe la mercancía—lo que no ocurre aquí porque 04.10 sí la describe.</w:t>
      </w:r>
    </w:p>
    <w:p>
      <w:pPr>
        <w:pStyle w:val="FirstParagraph"/>
      </w:pPr>
      <w:r>
        <w:t xml:space="preserve">IV. Requisitos documentales para el importador</w:t>
      </w:r>
      <w:r>
        <w:t xml:space="preserve"> </w:t>
      </w:r>
      <w:r>
        <w:t xml:space="preserve">Para sustentar la clasificación propuesta y resolver determinaciones condicionadas:</w:t>
      </w:r>
    </w:p>
    <w:p>
      <w:pPr>
        <w:numPr>
          <w:ilvl w:val="0"/>
          <w:numId w:val="1006"/>
        </w:numPr>
        <w:pStyle w:val="Compact"/>
      </w:pPr>
      <w:r>
        <w:t xml:space="preserve">Ficha técnica completa, con composición cualitativa y cuantitativa detallada (porcentaje en peso de células de pollo cultivadas vs. estabilizantes/vehículos) y estado físico.</w:t>
      </w:r>
    </w:p>
    <w:p>
      <w:pPr>
        <w:numPr>
          <w:ilvl w:val="0"/>
          <w:numId w:val="1006"/>
        </w:numPr>
        <w:pStyle w:val="Compact"/>
      </w:pPr>
      <w:r>
        <w:t xml:space="preserve">Descripción del proceso que demuestre que el producto consiste en células de fibroblastos cultivadas (no extractos ni jugos).</w:t>
      </w:r>
    </w:p>
    <w:p>
      <w:pPr>
        <w:numPr>
          <w:ilvl w:val="0"/>
          <w:numId w:val="1006"/>
        </w:numPr>
        <w:pStyle w:val="Compact"/>
      </w:pPr>
      <w:r>
        <w:t xml:space="preserve">Certificados sobre el origen de la línea celular (Gallus domesticus), condición no recombinante y ausencia de antibióticos/agentes infecciosos.</w:t>
      </w:r>
    </w:p>
    <w:p>
      <w:pPr>
        <w:numPr>
          <w:ilvl w:val="0"/>
          <w:numId w:val="1006"/>
        </w:numPr>
        <w:pStyle w:val="Compact"/>
      </w:pPr>
      <w:r>
        <w:t xml:space="preserve">Especificaciones del producto y uso previsto (ingrediente para mezclarse con otros alimentos), proyectos de etiquetado y descripciones de empaque.</w:t>
      </w:r>
    </w:p>
    <w:p>
      <w:pPr>
        <w:numPr>
          <w:ilvl w:val="0"/>
          <w:numId w:val="1006"/>
        </w:numPr>
        <w:pStyle w:val="Compact"/>
      </w:pPr>
      <w:r>
        <w:t xml:space="preserve">Reportes microbiológicos y de seguridad; datos de estabilidad.</w:t>
      </w:r>
    </w:p>
    <w:p>
      <w:pPr>
        <w:numPr>
          <w:ilvl w:val="0"/>
          <w:numId w:val="1006"/>
        </w:numPr>
        <w:pStyle w:val="Compact"/>
      </w:pPr>
      <w:r>
        <w:t xml:space="preserve">Fotografías de la presentación del producto y literatura comercial disponible.</w:t>
      </w:r>
    </w:p>
    <w:p>
      <w:pPr>
        <w:pStyle w:val="FirstParagraph"/>
      </w:pPr>
      <w:r>
        <w:t xml:space="preserve">V. Conclusión</w:t>
      </w:r>
      <w:r>
        <w:t xml:space="preserve"> </w:t>
      </w:r>
      <w:r>
        <w:t xml:space="preserve">Clasificación arancelaria propuesta a nivel de subpartida (seis dígitos):</w:t>
      </w:r>
    </w:p>
    <w:p>
      <w:pPr>
        <w:numPr>
          <w:ilvl w:val="0"/>
          <w:numId w:val="1007"/>
        </w:numPr>
        <w:pStyle w:val="Compact"/>
      </w:pPr>
      <w:r>
        <w:t xml:space="preserve">Capítulo: 04</w:t>
      </w:r>
    </w:p>
    <w:p>
      <w:pPr>
        <w:numPr>
          <w:ilvl w:val="0"/>
          <w:numId w:val="1007"/>
        </w:numPr>
        <w:pStyle w:val="Compact"/>
      </w:pPr>
      <w:r>
        <w:t xml:space="preserve">Partida: 04.10 — “Insectos y demás productos comestibles de origen animal, no expresados ni comprendidos en otra parte”</w:t>
      </w:r>
    </w:p>
    <w:p>
      <w:pPr>
        <w:numPr>
          <w:ilvl w:val="0"/>
          <w:numId w:val="1007"/>
        </w:numPr>
        <w:pStyle w:val="Compact"/>
      </w:pPr>
      <w:r>
        <w:t xml:space="preserve">Subpartida: 0410.90 — “Los demás”</w:t>
      </w:r>
    </w:p>
    <w:p>
      <w:pPr>
        <w:numPr>
          <w:ilvl w:val="0"/>
          <w:numId w:val="1007"/>
        </w:numPr>
        <w:pStyle w:val="Compact"/>
      </w:pPr>
      <w:r>
        <w:t xml:space="preserve">Fracción (8 dígitos México) y NICO: No determinada en este dictamen, dado que el mandato se limita al nivel de subpartida del SA.</w:t>
      </w:r>
    </w:p>
    <w:p>
      <w:pPr>
        <w:pStyle w:val="FirstParagraph"/>
      </w:pPr>
      <w:r>
        <w:t xml:space="preserve">Determinación condicionada</w:t>
      </w:r>
      <w:r>
        <w:t xml:space="preserve"> </w:t>
      </w:r>
      <w:r>
        <w:t xml:space="preserve">Opción A (recomendada con la información actual): Si el bien es un ingrediente comestible de origen animal compuesto predominantemente por células de fibroblastos de pollo cultivadas y no se reconoce como “carne/despojos/sangre” para efectos del SA, clasificar en:</w:t>
      </w:r>
    </w:p>
    <w:p>
      <w:pPr>
        <w:numPr>
          <w:ilvl w:val="0"/>
          <w:numId w:val="1008"/>
        </w:numPr>
        <w:pStyle w:val="Compact"/>
      </w:pPr>
      <w:r>
        <w:t xml:space="preserve">Capítulo: 04</w:t>
      </w:r>
    </w:p>
    <w:p>
      <w:pPr>
        <w:numPr>
          <w:ilvl w:val="0"/>
          <w:numId w:val="1008"/>
        </w:numPr>
        <w:pStyle w:val="Compact"/>
      </w:pPr>
      <w:r>
        <w:t xml:space="preserve">Partida: 04.10</w:t>
      </w:r>
    </w:p>
    <w:p>
      <w:pPr>
        <w:numPr>
          <w:ilvl w:val="0"/>
          <w:numId w:val="1008"/>
        </w:numPr>
        <w:pStyle w:val="Compact"/>
      </w:pPr>
      <w:r>
        <w:t xml:space="preserve">Subpartida: 0410.90</w:t>
      </w:r>
    </w:p>
    <w:p>
      <w:pPr>
        <w:numPr>
          <w:ilvl w:val="0"/>
          <w:numId w:val="1008"/>
        </w:numPr>
        <w:pStyle w:val="Compact"/>
      </w:pPr>
      <w:r>
        <w:t xml:space="preserve">Fracción/NICO: A determinarse a nivel nacional.</w:t>
      </w:r>
    </w:p>
    <w:p>
      <w:pPr>
        <w:pStyle w:val="FirstParagraph"/>
      </w:pPr>
      <w:r>
        <w:t xml:space="preserve">Opción B: Si, tras revisión técnica, la autoridad competente determina que el producto es una preparación “de carne o despojos comestibles” de aves (es decir, cumple los términos “carne, despojos, sangre o de insectos” del Capítulo 16), entonces:</w:t>
      </w:r>
    </w:p>
    <w:p>
      <w:pPr>
        <w:numPr>
          <w:ilvl w:val="0"/>
          <w:numId w:val="1009"/>
        </w:numPr>
        <w:pStyle w:val="Compact"/>
      </w:pPr>
      <w:r>
        <w:t xml:space="preserve">Capítulo: 16</w:t>
      </w:r>
    </w:p>
    <w:p>
      <w:pPr>
        <w:numPr>
          <w:ilvl w:val="0"/>
          <w:numId w:val="1009"/>
        </w:numPr>
        <w:pStyle w:val="Compact"/>
      </w:pPr>
      <w:r>
        <w:t xml:space="preserve">Partida: 16.02 — “Las demás preparaciones y conservas de carne, despojos, sangre o de insectos”</w:t>
      </w:r>
    </w:p>
    <w:p>
      <w:pPr>
        <w:numPr>
          <w:ilvl w:val="0"/>
          <w:numId w:val="1009"/>
        </w:numPr>
        <w:pStyle w:val="Compact"/>
      </w:pPr>
      <w:r>
        <w:t xml:space="preserve">Subpartida: 1602.32 — “De aves de la especie Gallus domesticus”</w:t>
      </w:r>
    </w:p>
    <w:p>
      <w:pPr>
        <w:numPr>
          <w:ilvl w:val="0"/>
          <w:numId w:val="1009"/>
        </w:numPr>
        <w:pStyle w:val="Compact"/>
      </w:pPr>
      <w:r>
        <w:t xml:space="preserve">Fracción/NICO: A determinarse a nivel nacional.</w:t>
      </w:r>
    </w:p>
    <w:p>
      <w:pPr>
        <w:pStyle w:val="FirstParagraph"/>
      </w:pPr>
      <w:r>
        <w:t xml:space="preserve">Opción C: Si, en contrario a la descripción, el producto no son células intactas sino un líquido o pasta tipo “extracto/jugo” derivado de tejido animal, entonces:</w:t>
      </w:r>
    </w:p>
    <w:p>
      <w:pPr>
        <w:numPr>
          <w:ilvl w:val="0"/>
          <w:numId w:val="1010"/>
        </w:numPr>
        <w:pStyle w:val="Compact"/>
      </w:pPr>
      <w:r>
        <w:t xml:space="preserve">Capítulo: 16</w:t>
      </w:r>
    </w:p>
    <w:p>
      <w:pPr>
        <w:numPr>
          <w:ilvl w:val="0"/>
          <w:numId w:val="1010"/>
        </w:numPr>
        <w:pStyle w:val="Compact"/>
      </w:pPr>
      <w:r>
        <w:t xml:space="preserve">Partida/Subpartida: 1603.00 — “Extractos y jugos de carne…”</w:t>
      </w:r>
    </w:p>
    <w:p>
      <w:pPr>
        <w:numPr>
          <w:ilvl w:val="0"/>
          <w:numId w:val="1010"/>
        </w:numPr>
        <w:pStyle w:val="Compact"/>
      </w:pPr>
      <w:r>
        <w:t xml:space="preserve">Fracción/NICO: A determinarse a nivel nacional.</w:t>
      </w:r>
    </w:p>
    <w:p>
      <w:pPr>
        <w:pStyle w:val="FirstParagraph"/>
      </w:pPr>
      <w:r>
        <w:t xml:space="preserve">CRITERIOS FALTANTES:</w:t>
      </w:r>
    </w:p>
    <w:p>
      <w:pPr>
        <w:numPr>
          <w:ilvl w:val="0"/>
          <w:numId w:val="1011"/>
        </w:numPr>
        <w:pStyle w:val="Compact"/>
      </w:pPr>
      <w:r>
        <w:t xml:space="preserve">Porcentaje exacto en peso de células cultivadas frente a estabilizantes/vehículos (para evaluar el carácter esencial de RGI 3 b) y los umbrales de la Nota 2 del Capítulo 16).</w:t>
      </w:r>
    </w:p>
    <w:p>
      <w:pPr>
        <w:numPr>
          <w:ilvl w:val="0"/>
          <w:numId w:val="1011"/>
        </w:numPr>
        <w:pStyle w:val="Compact"/>
      </w:pPr>
      <w:r>
        <w:t xml:space="preserve">Determinación (con sustento técnico) de si el material se considera legalmente “carne/despojos” para efectos del SA o “otro producto comestible de origen animal”.</w:t>
      </w:r>
    </w:p>
    <w:p>
      <w:pPr>
        <w:numPr>
          <w:ilvl w:val="0"/>
          <w:numId w:val="1011"/>
        </w:numPr>
        <w:pStyle w:val="Compact"/>
      </w:pPr>
      <w:r>
        <w:t xml:space="preserve">Confirmación de que el producto es biomasa de células intactas (no extracto/jugo) y su presentación física en la importación.</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04.10.10 no se menciona en los anexos de la LIGIE.</w:t>
      </w:r>
    </w:p>
    <w:p>
      <w:pPr>
        <w:pStyle w:val="BodyText"/>
      </w:pPr>
      <w:r>
        <w:t xml:space="preserve">El código 04.10.10 no se menciona en el DOF en el período 15/07/2025 al 30/08/2025.</w:t>
      </w:r>
    </w:p>
    <w:bookmarkEnd w:id="23"/>
    <w:bookmarkStart w:id="24" w:name="documentación-consultada"/>
    <w:p>
      <w:pPr>
        <w:pStyle w:val="Heading3"/>
      </w:pPr>
      <w:r>
        <w:t xml:space="preserve">Documentación consultada</w:t>
      </w:r>
    </w:p>
    <w:p>
      <w:pPr>
        <w:numPr>
          <w:ilvl w:val="0"/>
          <w:numId w:val="1012"/>
        </w:numPr>
        <w:pStyle w:val="Compact"/>
      </w:pPr>
      <w:r>
        <w:t xml:space="preserve">Referencias: Ley de los Impuestos Generales de Importación y de Exportación</w:t>
      </w:r>
    </w:p>
    <w:p>
      <w:pPr>
        <w:numPr>
          <w:ilvl w:val="0"/>
          <w:numId w:val="1012"/>
        </w:numPr>
        <w:pStyle w:val="Compact"/>
      </w:pPr>
      <w:r>
        <w:t xml:space="preserve">Versión LIGIE: 7ma Enmienda del Sistema Armonizado</w:t>
      </w:r>
    </w:p>
    <w:p>
      <w:pPr>
        <w:numPr>
          <w:ilvl w:val="0"/>
          <w:numId w:val="1012"/>
        </w:numPr>
        <w:pStyle w:val="Compact"/>
      </w:pPr>
      <w:r>
        <w:t xml:space="preserve">Archivo: LIGIE-UNIFICADA-LIGIE_20250728-20250728.pdf</w:t>
      </w:r>
    </w:p>
    <w:p>
      <w:pPr>
        <w:numPr>
          <w:ilvl w:val="0"/>
          <w:numId w:val="1012"/>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2025-09-16T02:00:15Z</dcterms:created>
  <dcterms:modified xsi:type="dcterms:W3CDTF">2025-09-16T02:00:15Z</dcterms:modified>
</cp:coreProperties>
</file>

<file path=docProps/custom.xml><?xml version="1.0" encoding="utf-8"?>
<Properties xmlns="http://schemas.openxmlformats.org/officeDocument/2006/custom-properties" xmlns:vt="http://schemas.openxmlformats.org/officeDocument/2006/docPropsVTypes"/>
</file>