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15:27:56</w:t>
      </w:r>
    </w:p>
    <w:p>
      <w:pPr>
        <w:pStyle w:val="BodyText"/>
      </w:pPr>
      <w:r>
        <w:t xml:space="preserve">Cuenta: Ver18-b</w:t>
      </w:r>
    </w:p>
    <w:p>
      <w:pPr>
        <w:pStyle w:val="BodyText"/>
      </w:pPr>
      <w:r>
        <w:t xml:space="preserve">Usuario: cmhs</w:t>
      </w:r>
    </w:p>
    <w:p>
      <w:pPr>
        <w:pStyle w:val="BodyText"/>
      </w:pPr>
      <w:r>
        <w:t xml:space="preserve">ITEM: Resorte neumático compuesto por un fuelle de caucho vulcanizado reforzado con tejido, placas de acero y un pistón de plástico, para utilizarse como componente en el sistema de suspensión de semirremolques. El producto está diseñado para absorber impactos y baches, actuar como aislante de vibraciones y como actuador de ajuste de la altura del chasis. El pistón de plástico permite un ajuste adicional de las tasas de resorte.</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87</w:t>
            </w:r>
          </w:p>
        </w:tc>
        <w:tc>
          <w:p>
            <w:pPr>
              <w:pStyle w:val="Compact"/>
              <w:jc w:val="left"/>
            </w:pPr>
            <w:r>
              <w:t xml:space="preserve">Por RGI 1, la clasificación sigue los textos de las partidas; la partida 87.16 abarca “Remolques y semirremolques; sus partes”, lo cual corresponde a un componente de suspensión para semirremolques. La partida 87.08 se limita a los vehículos de 87.01–87.05, no a remolques. La RGI 3(a) favorece esta disposición específica para partes de vehículos frente a capítulos genéricos basados en material.</w:t>
            </w:r>
          </w:p>
        </w:tc>
      </w:tr>
      <w:tr>
        <w:tc>
          <w:p>
            <w:pPr>
              <w:pStyle w:val="Compact"/>
              <w:jc w:val="right"/>
            </w:pPr>
            <w:r>
              <w:rPr>
                <w:bCs/>
                <w:b/>
              </w:rPr>
              <w:t xml:space="preserve">40</w:t>
            </w:r>
          </w:p>
        </w:tc>
        <w:tc>
          <w:p>
            <w:pPr>
              <w:pStyle w:val="Compact"/>
              <w:jc w:val="left"/>
            </w:pPr>
            <w:r>
              <w:t xml:space="preserve">El artículo incluye un fuelle de caucho vulcanizado reforzado con tejido; de clasificarse por material, podría ubicarse en 40.16 “Las demás manufacturas de caucho vulcanizado (excepto el caucho endurecido)” (residual). Sin embargo, al ser una parte identificable de la suspensión de un remolque, la disposición más específica del Capítulo 87 prevalece conforme a la RGI 3(a).</w:t>
            </w:r>
          </w:p>
        </w:tc>
      </w:tr>
      <w:tr>
        <w:tc>
          <w:p>
            <w:pPr>
              <w:pStyle w:val="Compact"/>
              <w:jc w:val="right"/>
            </w:pPr>
            <w:r>
              <w:rPr>
                <w:bCs/>
                <w:b/>
              </w:rPr>
              <w:t xml:space="preserve">39</w:t>
            </w:r>
          </w:p>
        </w:tc>
        <w:tc>
          <w:p>
            <w:pPr>
              <w:pStyle w:val="Compact"/>
              <w:jc w:val="left"/>
            </w:pPr>
            <w:r>
              <w:t xml:space="preserve">A pesar del pistón de plástico, el Capítulo 39 excluye “partes de material de transporte de la Sección XVII” según la NESA del Capítulo 39; 39.26 es un cajón residual para artículos de plástico. Dado el uso principal del producto como parte de un remolque, las RGI 1 y 3(a) conducen al Capítulo 87.</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Style w:val="Compact"/>
      </w:pPr>
      <w:r>
        <w:t xml:space="preserve">Regla General de Interpretación (RGI) 1: “LOS TITULOS DE LAS SECCIONES, DE LOS CAPITULOS O DE LOS SUBCAPITULOS SOLO TIENEN UN VALOR INDICATIVO, YA QUE LA CLASIFICACION ESTA DETERMINADA LEGALMENTE POR LOS TEXTOS DE LAS PARTIDAS Y DE LAS NOTAS DE SECCION O DE CAPITULO…”</w:t>
      </w:r>
    </w:p>
    <w:p>
      <w:pPr>
        <w:numPr>
          <w:ilvl w:val="0"/>
          <w:numId w:val="1001"/>
        </w:numPr>
        <w:pStyle w:val="Compact"/>
      </w:pPr>
      <w:r>
        <w:t xml:space="preserve">RGI 2(b): “CUALQUIER REFERENCIA A UNA MATERIA EN UNA PARTIDA DETERMINADA ALCANZA A DICHA MATERIA, INCLUSO MEZCLADA O ASOCIADA CON OTRAS MATERIAS… LA CLASIFICACION DE ESTOS PRODUCTOS MEZCLADOS O DE ESTOS ARTICULOS COMPUESTOS SE EFECTUARA DE ACUERDO CON LOS PRINCIPIOS ENUNCIADOS EN LA REGLA 3.”</w:t>
      </w:r>
    </w:p>
    <w:p>
      <w:pPr>
        <w:numPr>
          <w:ilvl w:val="0"/>
          <w:numId w:val="1001"/>
        </w:numPr>
        <w:pStyle w:val="Compact"/>
      </w:pPr>
      <w:r>
        <w:t xml:space="preserve">RGI 3(a) y 3(b): “LA PARTIDA CON DESCRIPCION MAS ESPECIFICA TENDRA PRIORIDAD SOBRE LAS PARTIDAS DE ALCANCE MAS GENERICO…”; y “LOS PRODUCTOS MEZCLADOS, LAS MANUFACTURAS COMPUESTAS DE MATERIAS DIFERENTES… SE CLASIFICARAN SEGUN LA MATERIA O CON EL ARTICULO QUE LES CONFIERA SU CARACTER ESENCIAL…”</w:t>
      </w:r>
    </w:p>
    <w:p>
      <w:pPr>
        <w:numPr>
          <w:ilvl w:val="0"/>
          <w:numId w:val="1001"/>
        </w:numPr>
        <w:pStyle w:val="Compact"/>
      </w:pPr>
      <w:r>
        <w:t xml:space="preserve">RGI 6: “Las Reglas 1 a 5 precedentes rigen, mutatis mutandis, la clasificación a nivel de subpartidas dentro de una misma partida.”</w:t>
      </w:r>
    </w:p>
    <w:p>
      <w:pPr>
        <w:numPr>
          <w:ilvl w:val="0"/>
          <w:numId w:val="1001"/>
        </w:numPr>
        <w:pStyle w:val="Compact"/>
      </w:pPr>
      <w:r>
        <w:t xml:space="preserve">Nota nacional Cap. 87 (NESA). Para efectos de la partida 87.16, “se consideran remolques aquellos vehículos que no son capaces de moverse por sus propios medios, por lo tanto, necesitan ser arrastrados o empujados por un vehículo, animal, a mano, etc.”</w:t>
      </w:r>
    </w:p>
    <w:p>
      <w:pPr>
        <w:numPr>
          <w:ilvl w:val="0"/>
          <w:numId w:val="1001"/>
        </w:numPr>
        <w:pStyle w:val="Compact"/>
      </w:pPr>
      <w:r>
        <w:t xml:space="preserve">Texto del Capítulo 87, partida 87.16: “Remolques y semirremolques para cualquier vehículo; los demás vehículos no automóviles; sus partes.”</w:t>
      </w:r>
    </w:p>
    <w:p>
      <w:pPr>
        <w:numPr>
          <w:ilvl w:val="0"/>
          <w:numId w:val="1001"/>
        </w:numPr>
        <w:pStyle w:val="Compact"/>
      </w:pPr>
      <w:r>
        <w:t xml:space="preserve">Subpartida 8716.90: “Partes.”</w:t>
      </w:r>
    </w:p>
    <w:p>
      <w:pPr>
        <w:pStyle w:val="FirstParagraph"/>
      </w:pPr>
      <w:r>
        <w:t xml:space="preserve">II. Análisis jurídico-técnico</w:t>
      </w:r>
      <w:r>
        <w:t xml:space="preserve"> </w:t>
      </w:r>
      <w:r>
        <w:t xml:space="preserve">Descripción técnica del bien: Resorte neumático compuesto por un fuelle de caucho vulcanizado reforzado con textil, placas de acero y pistón plástico, diseñado para absorber impactos, aislar vibraciones y ajustar la altura del chasis, para su uso como componente de suspensión en semirremolques (semi-trailers).</w:t>
      </w:r>
    </w:p>
    <w:p>
      <w:pPr>
        <w:numPr>
          <w:ilvl w:val="0"/>
          <w:numId w:val="1002"/>
        </w:numPr>
        <w:pStyle w:val="Compact"/>
      </w:pPr>
      <w:r>
        <w:t xml:space="preserve">Capítulo aplicable</w:t>
      </w:r>
    </w:p>
    <w:p>
      <w:pPr>
        <w:numPr>
          <w:ilvl w:val="0"/>
          <w:numId w:val="1003"/>
        </w:numPr>
        <w:pStyle w:val="Compact"/>
      </w:pPr>
      <w:r>
        <w:t xml:space="preserve">Por RGI 1, se clasificará conforme a los textos de las partidas y notas legales. El bien es un componente de suspensión de un semirremolque; por tanto, corresponde al Capítulo 87 (vehículos y sus partes). La partida 87.16 abarca los “remolques y semirremolques…; sus partes”, de conformidad con el texto legal citado y con la definición nacional de remolque/semirremolque en la NESA del Capítulo 87.</w:t>
      </w:r>
    </w:p>
    <w:p>
      <w:pPr>
        <w:numPr>
          <w:ilvl w:val="0"/>
          <w:numId w:val="1004"/>
        </w:numPr>
        <w:pStyle w:val="Compact"/>
      </w:pPr>
      <w:r>
        <w:t xml:space="preserve">Partida y subpartida</w:t>
      </w:r>
    </w:p>
    <w:p>
      <w:pPr>
        <w:numPr>
          <w:ilvl w:val="0"/>
          <w:numId w:val="1005"/>
        </w:numPr>
        <w:pStyle w:val="Compact"/>
      </w:pPr>
      <w:r>
        <w:t xml:space="preserve">Partida 87.16. El producto es una “parte” identificable del sistema de suspensión de un semirremolque. En la estructura de la partida 87.16, la subpartida que corresponde a “Partes” es 8716.90, sin que exista en 87.16 una subpartida más específica para “sistemas de suspensión” o “resortes de aire” de remolques. En aplicación de RGI 6, la selección de la subpartida se determina por el texto propio de las subpartidas; “8716.90 – Partes” resulta la aplicable.</w:t>
      </w:r>
    </w:p>
    <w:p>
      <w:pPr>
        <w:numPr>
          <w:ilvl w:val="0"/>
          <w:numId w:val="1006"/>
        </w:numPr>
        <w:pStyle w:val="Compact"/>
      </w:pPr>
      <w:r>
        <w:t xml:space="preserve">Naturaleza compuesta del artículo y prioridad de especificidad</w:t>
      </w:r>
    </w:p>
    <w:p>
      <w:pPr>
        <w:numPr>
          <w:ilvl w:val="0"/>
          <w:numId w:val="1007"/>
        </w:numPr>
        <w:pStyle w:val="Compact"/>
      </w:pPr>
      <w:r>
        <w:t xml:space="preserve">Aun cuando el artículo es compuesto (caucho vulcanizado/reforzado con textil + acero + plástico), la clasificación no debe orientarse por la materia, sino por su condición de parte de semirremolque claramente identificable y su función en la suspensión del vehículo. En caso de duda entre partidas por material y por función, la RGI 3(a) da prioridad a la descripción más específica (“partes de remolques/semirremolques” de 87.16) sobre una descripción genérica de material (p. ej., “las demás manufacturas de caucho” del Cap. 40). De requerirse, las RGI 2(b) y 3(b) confirmarían que, siendo un artículo compuesto, su carácter esencial viene dado por su función como elemento de suspensión para semirremolque, no por el mero hecho de contener caucho.</w:t>
      </w:r>
    </w:p>
    <w:p>
      <w:pPr>
        <w:pStyle w:val="FirstParagraph"/>
      </w:pPr>
      <w:r>
        <w:t xml:space="preserve">Determinación a nivel de subpartida: 8716.90.</w:t>
      </w:r>
    </w:p>
    <w:p>
      <w:pPr>
        <w:pStyle w:val="BodyText"/>
      </w:pPr>
      <w:r>
        <w:t xml:space="preserve">III. Exclusión de partidas o capítulos alternativos (Capítulos 87 y 40)</w:t>
      </w:r>
    </w:p>
    <w:p>
      <w:pPr>
        <w:numPr>
          <w:ilvl w:val="0"/>
          <w:numId w:val="1008"/>
        </w:numPr>
        <w:pStyle w:val="Compact"/>
      </w:pPr>
      <w:r>
        <w:t xml:space="preserve">87.08 (partes y accesorios de vehículos automóviles de las partidas 87.01 a 87.05). Se descarta porque el propio texto limita el alcance a los vehículos de 87.01 a 87.05; los semirremolques se clasifican en 87.16. En consecuencia, un “resorte de aire” para suspensión de semirremolque no es parte de un vehículo de 87.01–87.05, por lo que 87.08 (incluida 8708.80 “Sistemas de suspensión y sus partes”) no aplica al presente caso.</w:t>
      </w:r>
    </w:p>
    <w:p>
      <w:pPr>
        <w:numPr>
          <w:ilvl w:val="0"/>
          <w:numId w:val="1008"/>
        </w:numPr>
        <w:pStyle w:val="Compact"/>
      </w:pPr>
      <w:r>
        <w:t xml:space="preserve">87.14 (partes y accesorios de vehículos de 87.11 a 87.13). No corresponde, pues el bien no es parte de motocicletas, bicicletas ni sillas de ruedas; es parte de semirremolque (87.16).</w:t>
      </w:r>
    </w:p>
    <w:p>
      <w:pPr>
        <w:numPr>
          <w:ilvl w:val="0"/>
          <w:numId w:val="1008"/>
        </w:numPr>
        <w:pStyle w:val="Compact"/>
      </w:pPr>
      <w:r>
        <w:t xml:space="preserve">Capítulo 40 (caucho y sus manufacturas).</w:t>
      </w:r>
      <w:r>
        <w:t xml:space="preserve"> </w:t>
      </w:r>
      <w:r>
        <w:t xml:space="preserve">• 4016 “Las demás manufacturas de caucho vulcanizado sin endurecer”. La subpartida residual 4016.99 (y, en particular, la identificación nacional “elementos para control de vibración, del tipo utilizado en los vehículos de las partidas 87.01 a 87.05”) no resulta aplicable por dos razones jurídicas: i) el bien es una parte identificable de semirremolque (87.16) y, por RGI 3(a), la partida por función/uso específico (partes de remolques y semirremolques) es más específica que la residual por materia; y ii) la referencia nacional en 4016.99.99.07 alude a vehículos 87.01–87.05, no a remolques o semirremolques de 87.16.</w:t>
      </w:r>
      <w:r>
        <w:t xml:space="preserve"> </w:t>
      </w:r>
      <w:r>
        <w:t xml:space="preserve">• 4016.95 “Los demás artículos inflables (salvavidas, diques…)” es inaplicable por su naturaleza y destino; el resorte de aire no es un artículo inflable de seguridad o similar, sino un componente técnico de suspensión vehicular.</w:t>
      </w:r>
      <w:r>
        <w:t xml:space="preserve"> </w:t>
      </w:r>
      <w:r>
        <w:t xml:space="preserve">• Otras partidas del Capítulo 40 (p. ej., 4009 “tubos”, 4014 “artículos de higiene o de farmacia (cojines neumáticos)”, 4016.93 “juntas”) no describen la mercancía ni su función de suspensión para semirremolque.</w:t>
      </w:r>
      <w:r>
        <w:t xml:space="preserve"> </w:t>
      </w:r>
      <w:r>
        <w:t xml:space="preserve">En suma, el Capítulo 40 contiene descripciones por materia y de alcance residual; la mercancía se identifica, en cambio, por su función y destino como parte de semirremolque (87.16). Por RGI 1 y 3(a), prevalece 87.16 frente a 40.16.</w:t>
      </w:r>
    </w:p>
    <w:p>
      <w:pPr>
        <w:pStyle w:val="FirstParagraph"/>
      </w:pPr>
      <w:r>
        <w:t xml:space="preserve">IV. Requisitos documentales</w:t>
      </w:r>
      <w:r>
        <w:t xml:space="preserve"> </w:t>
      </w:r>
      <w:r>
        <w:t xml:space="preserve">Para sustentar la clasificación a nivel de subpartida 8716.90, el importador deberá aportar:</w:t>
      </w:r>
    </w:p>
    <w:p>
      <w:pPr>
        <w:numPr>
          <w:ilvl w:val="0"/>
          <w:numId w:val="1009"/>
        </w:numPr>
        <w:pStyle w:val="Compact"/>
      </w:pPr>
      <w:r>
        <w:t xml:space="preserve">Ficha técnica y/o catálogo del fabricante donde conste su función como “air spring” para suspensión de semirremolques (modelo/serie, dimensiones, materiales, presión de trabajo).</w:t>
      </w:r>
    </w:p>
    <w:p>
      <w:pPr>
        <w:numPr>
          <w:ilvl w:val="0"/>
          <w:numId w:val="1009"/>
        </w:numPr>
        <w:pStyle w:val="Compact"/>
      </w:pPr>
      <w:r>
        <w:t xml:space="preserve">Evidencia de destino y uso exclusivo en semirremolques: referencias OEM/Aftermarket, listas de aplicaciones, diagramas de montaje en eje/suspensión del semirremolque.</w:t>
      </w:r>
    </w:p>
    <w:p>
      <w:pPr>
        <w:numPr>
          <w:ilvl w:val="0"/>
          <w:numId w:val="1009"/>
        </w:numPr>
        <w:pStyle w:val="Compact"/>
      </w:pPr>
      <w:r>
        <w:t xml:space="preserve">Fotografías del producto y de sus componentes (fuelles, placas metálicas, pistón plástico), y manual de instalación.</w:t>
      </w:r>
    </w:p>
    <w:p>
      <w:pPr>
        <w:numPr>
          <w:ilvl w:val="0"/>
          <w:numId w:val="1009"/>
        </w:numPr>
        <w:pStyle w:val="Compact"/>
      </w:pPr>
      <w:r>
        <w:t xml:space="preserve">Descripción de materiales y proceso (caucho vulcanizado reforzado con textil, partes metálicas/plásticas) para confirmar su carácter de artículo compuesto (RGI 2(b)).</w:t>
      </w:r>
    </w:p>
    <w:p>
      <w:pPr>
        <w:numPr>
          <w:ilvl w:val="0"/>
          <w:numId w:val="1009"/>
        </w:numPr>
        <w:pStyle w:val="Compact"/>
      </w:pPr>
      <w:r>
        <w:t xml:space="preserve">Información comercial necesaria para la determinación de fracción nacional y NICO, en su caso (país de origen, uso, marca/modelo de vehículo, etc.).</w:t>
      </w:r>
    </w:p>
    <w:p>
      <w:pPr>
        <w:pStyle w:val="FirstParagraph"/>
      </w:pPr>
      <w:r>
        <w:t xml:space="preserve">V. Conclusión</w:t>
      </w:r>
    </w:p>
    <w:p>
      <w:pPr>
        <w:numPr>
          <w:ilvl w:val="0"/>
          <w:numId w:val="1010"/>
        </w:numPr>
        <w:pStyle w:val="Compact"/>
      </w:pPr>
      <w:r>
        <w:t xml:space="preserve">Clasificación arancelaria propuesta a nivel de subpartida: 8716.90.</w:t>
      </w:r>
    </w:p>
    <w:p>
      <w:pPr>
        <w:pStyle w:val="FirstParagraph"/>
      </w:pPr>
      <w:r>
        <w:t xml:space="preserve">Tabla de clasificación</w:t>
      </w:r>
    </w:p>
    <w:p>
      <w:pPr>
        <w:numPr>
          <w:ilvl w:val="0"/>
          <w:numId w:val="1011"/>
        </w:numPr>
        <w:pStyle w:val="Compact"/>
      </w:pPr>
      <w:r>
        <w:t xml:space="preserve">Capítulo: 87</w:t>
      </w:r>
    </w:p>
    <w:p>
      <w:pPr>
        <w:numPr>
          <w:ilvl w:val="0"/>
          <w:numId w:val="1011"/>
        </w:numPr>
        <w:pStyle w:val="Compact"/>
      </w:pPr>
      <w:r>
        <w:t xml:space="preserve">Partida: 87.16</w:t>
      </w:r>
    </w:p>
    <w:p>
      <w:pPr>
        <w:numPr>
          <w:ilvl w:val="0"/>
          <w:numId w:val="1011"/>
        </w:numPr>
        <w:pStyle w:val="Compact"/>
      </w:pPr>
      <w:r>
        <w:t xml:space="preserve">Subpartida (6 dígitos): 8716.90</w:t>
      </w:r>
    </w:p>
    <w:p>
      <w:pPr>
        <w:numPr>
          <w:ilvl w:val="0"/>
          <w:numId w:val="1011"/>
        </w:numPr>
        <w:pStyle w:val="Compact"/>
      </w:pPr>
      <w:r>
        <w:t xml:space="preserve">Fracción (8 dígitos): Por definir conforme a las desagregaciones nacionales aplicables</w:t>
      </w:r>
    </w:p>
    <w:p>
      <w:pPr>
        <w:numPr>
          <w:ilvl w:val="0"/>
          <w:numId w:val="1011"/>
        </w:numPr>
        <w:pStyle w:val="Compact"/>
      </w:pPr>
      <w:r>
        <w:t xml:space="preserve">NICO: Por definir</w:t>
      </w:r>
    </w:p>
    <w:p>
      <w:pPr>
        <w:pStyle w:val="FirstParagraph"/>
      </w:pPr>
      <w:r>
        <w:t xml:space="preserve">Resolución: Con fundamento en RGI 1, 2(b), 3(a), 3(b) y 6, en la Nota nacional del Capítulo 87 para la partida 87.16, y en los textos legales del Capítulo 87, se determina que el “air spring” descrito, concebido como componente de suspensión de semirremolques, se clasifica en la subpartida 8716.90 (Partes).</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99.99.07 no se menciona en los anexos de la LIGIE.</w:t>
      </w:r>
    </w:p>
    <w:p>
      <w:pPr>
        <w:pStyle w:val="BodyText"/>
      </w:pPr>
      <w:r>
        <w:t xml:space="preserve">El código 99.99.07 no se menciona en el DOF en el período 15/07/2025 al 30/08/2025.</w:t>
      </w:r>
    </w:p>
    <w:bookmarkEnd w:id="23"/>
    <w:bookmarkStart w:id="24" w:name="documentación-consultada"/>
    <w:p>
      <w:pPr>
        <w:pStyle w:val="Heading3"/>
      </w:pPr>
      <w:r>
        <w:t xml:space="preserve">Documentación consultada</w:t>
      </w:r>
    </w:p>
    <w:p>
      <w:pPr>
        <w:numPr>
          <w:ilvl w:val="0"/>
          <w:numId w:val="1012"/>
        </w:numPr>
        <w:pStyle w:val="Compact"/>
      </w:pPr>
      <w:r>
        <w:t xml:space="preserve">Referencias: Ley de los Impuestos Generales de Importación y de Exportación</w:t>
      </w:r>
    </w:p>
    <w:p>
      <w:pPr>
        <w:numPr>
          <w:ilvl w:val="0"/>
          <w:numId w:val="1012"/>
        </w:numPr>
        <w:pStyle w:val="Compact"/>
      </w:pPr>
      <w:r>
        <w:t xml:space="preserve">Versión LIGIE: 7ma Enmienda del Sistema Armonizado</w:t>
      </w:r>
    </w:p>
    <w:p>
      <w:pPr>
        <w:numPr>
          <w:ilvl w:val="0"/>
          <w:numId w:val="1012"/>
        </w:numPr>
        <w:pStyle w:val="Compact"/>
      </w:pPr>
      <w:r>
        <w:t xml:space="preserve">Archivo: LIGIE-UNIFICADA-LIGIE_20250728-20250728.pdf</w:t>
      </w:r>
    </w:p>
    <w:p>
      <w:pPr>
        <w:numPr>
          <w:ilvl w:val="0"/>
          <w:numId w:val="1012"/>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