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11:40:35</w:t>
      </w:r>
    </w:p>
    <w:p>
      <w:pPr>
        <w:pStyle w:val="BodyText"/>
      </w:pPr>
      <w:r>
        <w:t xml:space="preserve">Cuenta: Ver18-b</w:t>
      </w:r>
    </w:p>
    <w:p>
      <w:pPr>
        <w:pStyle w:val="BodyText"/>
      </w:pPr>
      <w:r>
        <w:t xml:space="preserve">Usuario: cmhs</w:t>
      </w:r>
    </w:p>
    <w:p>
      <w:pPr>
        <w:pStyle w:val="BodyText"/>
      </w:pPr>
      <w:r>
        <w:t xml:space="preserve">ITEM: Preparación alimenticia en forma de líquido viscoso de color pardo amarillento, obtenida mediante la combinación de ingredientes derivados de fruta con aditivos funcionales. La mezcla contiene concentrado de jugo de naranja combinado con ácido cítrico, vitamina C, sabor natural de naranja y aceite de naranja. Estos aditivos proporcionan estabilización, regulación de la acidez y enriquecimiento, lo que la distingue de un simple concentrado de jugo. La preparación se suministra a granel para uso industrial, destinada a diluirse y someterse a procesamiento adicional con otros componentes, como edulcorantes, durante la fabricación de bebidas finales. No se comercializa como jugo de fruta para consumo directo, sino como un ingrediente formulado para la industria alimentaria.</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20</w:t>
            </w:r>
          </w:p>
        </w:tc>
        <w:tc>
          <w:p>
            <w:pPr>
              <w:pStyle w:val="Compact"/>
              <w:jc w:val="left"/>
            </w:pPr>
            <w:r>
              <w:t xml:space="preserve">Por la RGI 1, la clasificación se rige por los textos legales: la partida 20.09 abarca los jugos de frutas (incluidos los concentrados), sin fermentar y sin adición de alcohol. Para las mezclas, las RGI 2(b) y 3(b) permiten clasificar por el componente que confiere el carácter esencial; aquí, predomina el concentrado de jugo de naranja, por lo que sigue siendo una preparación de jugo más que una preparación alimenticia residual. La Nota 6 del Capítulo 20 confirma los jugos “sin fermentar” por referencia a ≤0.5% vol de alcohol (véase la Nota 3 del Cap. 22).</w:t>
            </w:r>
          </w:p>
        </w:tc>
      </w:tr>
      <w:tr>
        <w:tc>
          <w:p>
            <w:pPr>
              <w:pStyle w:val="Compact"/>
              <w:jc w:val="right"/>
            </w:pPr>
            <w:r>
              <w:rPr>
                <w:bCs/>
                <w:b/>
              </w:rPr>
              <w:t xml:space="preserve">21</w:t>
            </w:r>
          </w:p>
        </w:tc>
        <w:tc>
          <w:p>
            <w:pPr>
              <w:pStyle w:val="Compact"/>
              <w:jc w:val="left"/>
            </w:pPr>
            <w:r>
              <w:t xml:space="preserve">Si los aditivos (acidulantes, vitaminas, sabor, aceite de naranja) lo transforman en una preparación compuesta para la fabricación de bebidas y no en un jugo de la 20.09, se recurre a la partida 21.06 (preparaciones alimenticias no expresadas ni comprendidas en otra parte), conforme a la RGI 3(a), tras excluir partidas más específicas. Las Notas del Capítulo 21 delimitan el alcance y exclusiones de esta partida residual.</w:t>
            </w:r>
          </w:p>
        </w:tc>
      </w:tr>
      <w:tr>
        <w:tc>
          <w:p>
            <w:pPr>
              <w:pStyle w:val="Compact"/>
              <w:jc w:val="right"/>
            </w:pPr>
            <w:r>
              <w:rPr>
                <w:bCs/>
                <w:b/>
              </w:rPr>
              <w:t xml:space="preserve">33</w:t>
            </w:r>
          </w:p>
        </w:tc>
        <w:tc>
          <w:p>
            <w:pPr>
              <w:pStyle w:val="Compact"/>
              <w:jc w:val="left"/>
            </w:pPr>
            <w:r>
              <w:t xml:space="preserve">Solo si el carácter esencial lo confieren las sustancias odoríferas y el producto es del tipo utilizado para elaborar bebidas, podría aplicar la partida 33.02 (preparaciones a base de sustancias odoríferas para la fabricación de bebidas). La Nota 2 del Capítulo 33 define “sustancias odoríferas”, orientando cuándo procede esta partida; de lo contrario, prevalecen por especificidad y carácter esencial las partidas de preparaciones alimenticias.</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Pr>
      <w:r>
        <w:t xml:space="preserve">Reglas Generales de Interpretación (RGI):</w:t>
      </w:r>
      <w:r>
        <w:t xml:space="preserve"> </w:t>
      </w:r>
      <w:r>
        <w:t xml:space="preserve">• “LOS TITULOS DE LAS SECCIONES, DE LOS CAPITULOS O DE LOS SUBCAPITULOS SOLO TIENEN UN VALOR INDICATIVO, YA QUE LA CLASIFICACION ESTA DETERMINADA LEGALMENTE POR LOS TEXTOS DE LAS PARTIDAS Y DE LAS NOTAS DE SECCION O DE CAPITULO Y, SI NO SON CONTRARIAS A LOS TEXTOS DE DICHAS PARTIDAS Y NOTAS, DE ACUERDO CON LAS REGLAS SIGUIENTES” (RGI 1) .</w:t>
      </w:r>
      <w:r>
        <w:t xml:space="preserve"> </w:t>
      </w:r>
      <w:r>
        <w:t xml:space="preserve">• “CUALQUIER REFERENCIA A UNA MATERIA EN UNA PARTIDA DETERMINADA ALCANZA A DICHA MATERIA, INCLUSO MEZCLADA O ASOCIADA CON OTRAS MATERIAS… LA CLASIFICACION DE ESTOS PRODUCTOS MEZCLADOS… SE EFECTUARA DE ACUERDO CON LOS PRINCIPIOS ENUNCIADOS EN LA REGLA 3” (RGI 2 b)) . Y, de forma decisiva: “esta Regla no amplía… cuando la adición de otras materias o sustancias tuviera como consecuencia privar al artículo del carácter de una mercancía comprendida en dichas partidas” (Comentario XII de la RGI 2 b)) .</w:t>
      </w:r>
      <w:r>
        <w:t xml:space="preserve"> </w:t>
      </w:r>
      <w:r>
        <w:t xml:space="preserve">• “LA PARTIDA CON DESCRIPCION MAS ESPECIFICA TENDRA PRIORIDAD…” (RGI 3 a)) y, cuando ello no resuelva, “…SE CLASIFICARAN SEGUN… EL CARACTER ESENCIAL…” (RGI 3 b)) .</w:t>
      </w:r>
      <w:r>
        <w:t xml:space="preserve"> </w:t>
      </w:r>
      <w:r>
        <w:t xml:space="preserve">• A nivel de subpartidas, “Las Reglas 1 a 5… rigen, mutatis mutandis…” (RGI 6, Notas explicativas) .</w:t>
      </w:r>
    </w:p>
    <w:p>
      <w:pPr>
        <w:numPr>
          <w:ilvl w:val="0"/>
          <w:numId w:val="1001"/>
        </w:numPr>
      </w:pPr>
      <w:r>
        <w:t xml:space="preserve">Capítulo 20 (texto legal y notas):</w:t>
      </w:r>
      <w:r>
        <w:t xml:space="preserve"> </w:t>
      </w:r>
      <w:r>
        <w:t xml:space="preserve">• Partida 20.09: “Jugos de frutas u otros frutos… sin fermentar y sin adición de alcohol, incluso con adición de azúcar u otro edulcorante.” .</w:t>
      </w:r>
      <w:r>
        <w:t xml:space="preserve"> </w:t>
      </w:r>
      <w:r>
        <w:t xml:space="preserve">• Nota 6 Cap. 20 (definición de jugos sin fermentar y sin alcohol) y nota de subpartida sobre grados Brix aplicables a 2009.12, 2009.21, 2009.31, etc. .</w:t>
      </w:r>
    </w:p>
    <w:p>
      <w:pPr>
        <w:numPr>
          <w:ilvl w:val="0"/>
          <w:numId w:val="1001"/>
        </w:numPr>
      </w:pPr>
      <w:r>
        <w:t xml:space="preserve">Capítulo 21 (texto legal y notas nacionales):</w:t>
      </w:r>
      <w:r>
        <w:t xml:space="preserve"> </w:t>
      </w:r>
      <w:r>
        <w:t xml:space="preserve">• Partida 21.06: “Preparaciones alimenticias no expresadas ni comprendidas en otra parte.” .</w:t>
      </w:r>
      <w:r>
        <w:t xml:space="preserve"> </w:t>
      </w:r>
      <w:r>
        <w:t xml:space="preserve">• Subpartida 2106.90: incluye, entre otras, “Jarabes aromatizados…” (2106.90.05) y, de particular relevancia, “Mezclas de jugos concentrados de frutas… enriquecidos con minerales o vitaminas” (2106.90.07) y “Concentrados de jugos de una sola fruta… enriquecidos con minerales o vitaminas” (2106.90.99.01) .</w:t>
      </w:r>
      <w:r>
        <w:t xml:space="preserve"> </w:t>
      </w:r>
      <w:r>
        <w:t xml:space="preserve">• Nota Nacional Cap. 21: “para los efectos de este Capítulo, los términos, con aromatizante(s)… significan: con adición de sabor.” .</w:t>
      </w:r>
    </w:p>
    <w:p>
      <w:pPr>
        <w:pStyle w:val="FirstParagraph"/>
      </w:pPr>
      <w:r>
        <w:t xml:space="preserve">II. Análisis jurídico‑técnico</w:t>
      </w:r>
    </w:p>
    <w:p>
      <w:pPr>
        <w:pStyle w:val="BodyText"/>
      </w:pPr>
      <w:r>
        <w:t xml:space="preserve">Descripción técnica resumida del producto: preparación alimenticia líquida viscosa, de color amarillo‑marrón, obtenida por compounding de ingredientes derivados de fruta (concentrado de jugo de naranja) con aditivos funcionales: ácido cítrico, vitamina C, sabor natural de naranja y aceite de naranja. Se suministra a granel para uso industrial, destinada a dilución y posterior procesamiento con otros componentes (p. ej., edulcorantes) en la fabricación de bebidas; no se comercializa como jugo para consumo directo.</w:t>
      </w:r>
    </w:p>
    <w:p>
      <w:pPr>
        <w:numPr>
          <w:ilvl w:val="0"/>
          <w:numId w:val="1002"/>
        </w:numPr>
        <w:pStyle w:val="Compact"/>
      </w:pPr>
      <w:r>
        <w:t xml:space="preserve">Capítulo → Partida</w:t>
      </w:r>
    </w:p>
    <w:p>
      <w:pPr>
        <w:numPr>
          <w:ilvl w:val="0"/>
          <w:numId w:val="1003"/>
        </w:numPr>
      </w:pPr>
      <w:r>
        <w:t xml:space="preserve">Alternativa 1 (Cap. 20, partida 20.09). El texto de 20.09 cubre jugos de frutas “sin fermentar… incluso con adición de azúcar u otro edulcorante” . No obstante, la mercancía dictaminada no es un “jugo” simple: es una preparación compuesta, con adición de agentes acidulantes, enriquecimiento vitamínico y sustancias aromatizantes (sabor y aceite de naranja) destinadas a estandarización/estabilización y a su uso como base para ulterior elaboración de bebidas. Conforme al Comentario XII de la RGI 2 b), la adición de otras sustancias que priven al artículo del carácter propio de la partida impide extender el alcance del texto de “jugos”, de manera que no responde ya a los términos de 20.09 cuando se trata de una preparación compuesta para la industria de bebidas . En consecuencia, por RGI 1 y 2(b), 20.09 no procede.</w:t>
      </w:r>
    </w:p>
    <w:p>
      <w:pPr>
        <w:numPr>
          <w:ilvl w:val="0"/>
          <w:numId w:val="1003"/>
        </w:numPr>
      </w:pPr>
      <w:r>
        <w:t xml:space="preserve">Alternativa 2 (Cap. 21, partida 21.06). La mercancía encaja en “Preparaciones alimenticias no expresadas ni comprendidas en otra parte” del Capítulo 21.06, dado su carácter de preparación compuesta con aditivos funcionales y aromatización para ser diluida y transformada en bebidas finales . Además, dentro del propio universo nacional de la partida existen rubros que describen con mayor precisión este tipo de preparaciones a base de jugos enriquecidos con vitaminas (p. ej., 2106.90.07 y 2106.90.99.01) . Por RGI 1, la partida 21.06 resulta aplicable.</w:t>
      </w:r>
    </w:p>
    <w:p>
      <w:pPr>
        <w:numPr>
          <w:ilvl w:val="0"/>
          <w:numId w:val="1004"/>
        </w:numPr>
        <w:pStyle w:val="Compact"/>
      </w:pPr>
      <w:r>
        <w:t xml:space="preserve">Partida → Subpartida</w:t>
      </w:r>
    </w:p>
    <w:p>
      <w:pPr>
        <w:numPr>
          <w:ilvl w:val="0"/>
          <w:numId w:val="1005"/>
        </w:numPr>
        <w:pStyle w:val="Compact"/>
      </w:pPr>
      <w:r>
        <w:t xml:space="preserve">Dentro de 21.06, la subpartida pertinente es 2106.90 (“Las demás”), y las subdivisiones nacionales confirman la ubicación de “mezclas o concentrados de jugos… enriquecidos con… vitaminas” en este ámbito (2106.90.07; 2106.90.99.01) . Por RGI 6 (mutatis mutandis) se elige la subpartida 2106.90 .</w:t>
      </w:r>
    </w:p>
    <w:p>
      <w:pPr>
        <w:numPr>
          <w:ilvl w:val="0"/>
          <w:numId w:val="1006"/>
        </w:numPr>
        <w:pStyle w:val="Compact"/>
      </w:pPr>
      <w:r>
        <w:t xml:space="preserve">Aplicación de RGI 3(a) y 3(b)</w:t>
      </w:r>
    </w:p>
    <w:p>
      <w:pPr>
        <w:numPr>
          <w:ilvl w:val="0"/>
          <w:numId w:val="1007"/>
        </w:numPr>
        <w:pStyle w:val="Compact"/>
      </w:pPr>
      <w:r>
        <w:t xml:space="preserve">RGI 3(a). Entre 20.09 (jugos) y 21.06 (preparaciones), el texto de 20.09 parece nominalmente más específico respecto de “jugo”. Sin embargo, por RGI 2(b) Comentario XII, la adición de compuestos que transforman el producto en “preparación” priva a la mercancía del carácter de jugo de la partida 20.09, quedando descartada esa opción por no ajustarse ya a los términos del encabezado legal .</w:t>
      </w:r>
    </w:p>
    <w:p>
      <w:pPr>
        <w:numPr>
          <w:ilvl w:val="0"/>
          <w:numId w:val="1007"/>
        </w:numPr>
        <w:pStyle w:val="Compact"/>
      </w:pPr>
      <w:r>
        <w:t xml:space="preserve">RGI 3(b). Aun si se considerase un conflicto residual, el carácter esencial de la mercancía viene determinado por su función y destino como base compuesta para bebidas, con aromatización y enriquecimiento vitamínico, encuadrando jurídicamente como “preparación alimenticia” del 21.06 y no como “jugo” de 20.09 (por cuanto los aditivos funcionales y el uso industrial la distinguen de un simple concentrado de jugo) .</w:t>
      </w:r>
    </w:p>
    <w:p>
      <w:pPr>
        <w:pStyle w:val="FirstParagraph"/>
      </w:pPr>
      <w:r>
        <w:t xml:space="preserve">III. Exclusión de partidas o capítulos alternativos (Capítulos 20 y 21)</w:t>
      </w:r>
    </w:p>
    <w:p>
      <w:pPr>
        <w:numPr>
          <w:ilvl w:val="0"/>
          <w:numId w:val="1008"/>
        </w:numPr>
        <w:pStyle w:val="Compact"/>
      </w:pPr>
      <w:r>
        <w:t xml:space="preserve">Partida 20.09 (Cap. 20). Aunque la materia prima predominante es jugo de naranja concentrado, el encabezado ampara “jugos… incluso con adición de azúcar u otro edulcorante”, no contemplando la transformación en preparación compuesta con aromatizantes, aceites esenciales y enriquecimiento vitamínico para uso industrial como base de bebidas. Por el Comentario XII de la RGI 2(b), estas adiciones privan al producto de su carácter de “jugo” en los términos de 20.09, por lo que se descarta 20.09 . Además, la propia estructura de 2009 exige, en su caso, determinaciones de Brix para sus subpartidas, ajenas al supuesto de una preparación compuesta como la aquí analizada .</w:t>
      </w:r>
    </w:p>
    <w:p>
      <w:pPr>
        <w:numPr>
          <w:ilvl w:val="0"/>
          <w:numId w:val="1008"/>
        </w:numPr>
        <w:pStyle w:val="Compact"/>
      </w:pPr>
      <w:r>
        <w:t xml:space="preserve">Partida 21.01 (extractos, esencias y concentrados de café, té o yerba mate) no aplica por naturaleza distinta de la materia (no es café, té ni yerba mate) .</w:t>
      </w:r>
    </w:p>
    <w:p>
      <w:pPr>
        <w:numPr>
          <w:ilvl w:val="0"/>
          <w:numId w:val="1008"/>
        </w:numPr>
        <w:pStyle w:val="Compact"/>
      </w:pPr>
      <w:r>
        <w:t xml:space="preserve">Partida 21.02 (levaduras y microorganismos) no aplica por objeto y composición .</w:t>
      </w:r>
    </w:p>
    <w:p>
      <w:pPr>
        <w:numPr>
          <w:ilvl w:val="0"/>
          <w:numId w:val="1008"/>
        </w:numPr>
        <w:pStyle w:val="Compact"/>
      </w:pPr>
      <w:r>
        <w:t xml:space="preserve">Partida 21.03 (salsas, condimentos) no aplica a bases de bebidas de fruta .</w:t>
      </w:r>
    </w:p>
    <w:p>
      <w:pPr>
        <w:numPr>
          <w:ilvl w:val="0"/>
          <w:numId w:val="1008"/>
        </w:numPr>
        <w:pStyle w:val="Compact"/>
      </w:pPr>
      <w:r>
        <w:t xml:space="preserve">Partida 21.04 (preparaciones para sopas) no aplica por objeto distinto .</w:t>
      </w:r>
    </w:p>
    <w:p>
      <w:pPr>
        <w:numPr>
          <w:ilvl w:val="0"/>
          <w:numId w:val="1008"/>
        </w:numPr>
        <w:pStyle w:val="Compact"/>
      </w:pPr>
      <w:r>
        <w:t xml:space="preserve">Partida 21.05 (helados) no aplica por forma y uso .</w:t>
      </w:r>
    </w:p>
    <w:p>
      <w:pPr>
        <w:pStyle w:val="FirstParagraph"/>
      </w:pPr>
      <w:r>
        <w:t xml:space="preserve">IV. Requisitos documentales</w:t>
      </w:r>
    </w:p>
    <w:p>
      <w:pPr>
        <w:pStyle w:val="BodyText"/>
      </w:pPr>
      <w:r>
        <w:t xml:space="preserve">Para robustecer la determinación a nivel de fracción y NICO (nacional), el importador deberá aportar:</w:t>
      </w:r>
    </w:p>
    <w:p>
      <w:pPr>
        <w:numPr>
          <w:ilvl w:val="0"/>
          <w:numId w:val="1009"/>
        </w:numPr>
        <w:pStyle w:val="Compact"/>
      </w:pPr>
      <w:r>
        <w:t xml:space="preserve">Ficha técnica y formulación cuantitativa (porcentajes) de todos los componentes (concentrado, ácidos, vitaminas, aromatizantes, aceites esenciales).</w:t>
      </w:r>
    </w:p>
    <w:p>
      <w:pPr>
        <w:numPr>
          <w:ilvl w:val="0"/>
          <w:numId w:val="1009"/>
        </w:numPr>
        <w:pStyle w:val="Compact"/>
      </w:pPr>
      <w:r>
        <w:t xml:space="preserve">Certificado de Análisis (incluyendo grados Brix, pH, acidez titulable, contenido de vitamina C).</w:t>
      </w:r>
    </w:p>
    <w:p>
      <w:pPr>
        <w:numPr>
          <w:ilvl w:val="0"/>
          <w:numId w:val="1009"/>
        </w:numPr>
        <w:pStyle w:val="Compact"/>
      </w:pPr>
      <w:r>
        <w:t xml:space="preserve">Ficha de Seguridad (SDS) y hoja de especificaciones de uso previsto (base para bebidas; instrucciones de dilución).</w:t>
      </w:r>
    </w:p>
    <w:p>
      <w:pPr>
        <w:numPr>
          <w:ilvl w:val="0"/>
          <w:numId w:val="1009"/>
        </w:numPr>
        <w:pStyle w:val="Compact"/>
      </w:pPr>
      <w:r>
        <w:t xml:space="preserve">Descripción del proceso y evidencia del acondicionamiento (a granel/industrial).</w:t>
      </w:r>
    </w:p>
    <w:p>
      <w:pPr>
        <w:numPr>
          <w:ilvl w:val="0"/>
          <w:numId w:val="1009"/>
        </w:numPr>
        <w:pStyle w:val="Compact"/>
      </w:pPr>
      <w:r>
        <w:t xml:space="preserve">Etiquetas o documentos comerciales que acrediten que no se comercializa como jugo para consumo directo.</w:t>
      </w:r>
    </w:p>
    <w:p>
      <w:pPr>
        <w:numPr>
          <w:ilvl w:val="0"/>
          <w:numId w:val="1009"/>
        </w:numPr>
        <w:pStyle w:val="Compact"/>
      </w:pPr>
      <w:r>
        <w:t xml:space="preserve">En su caso, evidencia de la ausencia/presencia de azúcares u otros edulcorantes (relevante para la lectura de Brix de las subpartidas 2009.12, 2009.21, etc.) .</w:t>
      </w:r>
    </w:p>
    <w:p>
      <w:pPr>
        <w:pStyle w:val="FirstParagraph"/>
      </w:pPr>
      <w:r>
        <w:t xml:space="preserve">V. Conclusión</w:t>
      </w:r>
    </w:p>
    <w:p>
      <w:pPr>
        <w:pStyle w:val="BodyText"/>
      </w:pPr>
      <w:r>
        <w:t xml:space="preserve">Con fundamento en RGI 1, 2(b), 3(a), 3(b) y 6, en el texto legal de las partidas 20.09 y 21.06, así como en las subdivisiones nacionales de 21.06 que contemplan “mezclas o concentrados de jugos… enriquecidos con… vitaminas” (2106.90.07; 2106.90.99.01), esta autoridad estima procedente ubicar la mercancía como preparación alimenticia para la elaboración de bebidas, no como jugo de fruta de la partida 20.09 .</w:t>
      </w:r>
    </w:p>
    <w:p>
      <w:pPr>
        <w:pStyle w:val="BodyText"/>
      </w:pPr>
      <w:r>
        <w:t xml:space="preserve">Tabla de clasificación (determinación principal)</w:t>
      </w:r>
    </w:p>
    <w:p>
      <w:pPr>
        <w:numPr>
          <w:ilvl w:val="0"/>
          <w:numId w:val="1010"/>
        </w:numPr>
        <w:pStyle w:val="Compact"/>
      </w:pPr>
      <w:r>
        <w:t xml:space="preserve">Capítulo: 21</w:t>
      </w:r>
    </w:p>
    <w:p>
      <w:pPr>
        <w:numPr>
          <w:ilvl w:val="0"/>
          <w:numId w:val="1010"/>
        </w:numPr>
        <w:pStyle w:val="Compact"/>
      </w:pPr>
      <w:r>
        <w:t xml:space="preserve">Partida: 21.06</w:t>
      </w:r>
    </w:p>
    <w:p>
      <w:pPr>
        <w:numPr>
          <w:ilvl w:val="0"/>
          <w:numId w:val="1010"/>
        </w:numPr>
        <w:pStyle w:val="Compact"/>
      </w:pPr>
      <w:r>
        <w:t xml:space="preserve">Subpartida (6 dígitos): 2106.90</w:t>
      </w:r>
    </w:p>
    <w:p>
      <w:pPr>
        <w:numPr>
          <w:ilvl w:val="0"/>
          <w:numId w:val="1010"/>
        </w:numPr>
        <w:pStyle w:val="Compact"/>
      </w:pPr>
      <w:r>
        <w:t xml:space="preserve">Fracción (8 dígitos): No determinado en este dictamen</w:t>
      </w:r>
    </w:p>
    <w:p>
      <w:pPr>
        <w:numPr>
          <w:ilvl w:val="0"/>
          <w:numId w:val="1010"/>
        </w:numPr>
        <w:pStyle w:val="Compact"/>
      </w:pPr>
      <w:r>
        <w:t xml:space="preserve">NICO: No determinado en este dictamen</w:t>
      </w:r>
    </w:p>
    <w:p>
      <w:pPr>
        <w:pStyle w:val="FirstParagraph"/>
      </w:pPr>
      <w:r>
        <w:t xml:space="preserve">Determinación condicionada</w:t>
      </w:r>
    </w:p>
    <w:p>
      <w:pPr>
        <w:pStyle w:val="BodyText"/>
      </w:pPr>
      <w:r>
        <w:t xml:space="preserve">Opción A (si la formulación incluye aromatizante natural de naranja y aceite de naranja, con enriquecimiento vitamínico, y el producto se destina a dilución y ulterior elaboración industrial de bebidas, no para consumo directo como jugo):</w:t>
      </w:r>
    </w:p>
    <w:p>
      <w:pPr>
        <w:numPr>
          <w:ilvl w:val="0"/>
          <w:numId w:val="1011"/>
        </w:numPr>
        <w:pStyle w:val="Compact"/>
      </w:pPr>
      <w:r>
        <w:t xml:space="preserve">Capítulo: 21</w:t>
      </w:r>
    </w:p>
    <w:p>
      <w:pPr>
        <w:numPr>
          <w:ilvl w:val="0"/>
          <w:numId w:val="1011"/>
        </w:numPr>
        <w:pStyle w:val="Compact"/>
      </w:pPr>
      <w:r>
        <w:t xml:space="preserve">Partida: 21.06</w:t>
      </w:r>
    </w:p>
    <w:p>
      <w:pPr>
        <w:numPr>
          <w:ilvl w:val="0"/>
          <w:numId w:val="1011"/>
        </w:numPr>
        <w:pStyle w:val="Compact"/>
      </w:pPr>
      <w:r>
        <w:t xml:space="preserve">Subpartida: 2106.90</w:t>
      </w:r>
    </w:p>
    <w:p>
      <w:pPr>
        <w:numPr>
          <w:ilvl w:val="0"/>
          <w:numId w:val="1011"/>
        </w:numPr>
        <w:pStyle w:val="Compact"/>
      </w:pPr>
      <w:r>
        <w:t xml:space="preserve">Fracción: A precisar con la información nacional (p. ej., rubros “mezclas/concentrados de jugos… enriquecidos con vitaminas”)</w:t>
      </w:r>
    </w:p>
    <w:p>
      <w:pPr>
        <w:numPr>
          <w:ilvl w:val="0"/>
          <w:numId w:val="1011"/>
        </w:numPr>
        <w:pStyle w:val="Compact"/>
      </w:pPr>
      <w:r>
        <w:t xml:space="preserve">NICO: Por definir</w:t>
      </w:r>
    </w:p>
    <w:p>
      <w:pPr>
        <w:pStyle w:val="FirstParagraph"/>
      </w:pPr>
      <w:r>
        <w:t xml:space="preserve">Opción B (si NO contiene aromatizantes ni aceites esenciales ni enriquecimiento con vitaminas/minerales, y consiste esencialmente en jugo de naranja concentrado sin fermentar, sin alcohol, para uso industrial):</w:t>
      </w:r>
    </w:p>
    <w:p>
      <w:pPr>
        <w:numPr>
          <w:ilvl w:val="0"/>
          <w:numId w:val="1012"/>
        </w:numPr>
        <w:pStyle w:val="Compact"/>
      </w:pPr>
      <w:r>
        <w:t xml:space="preserve">Capítulo: 20</w:t>
      </w:r>
    </w:p>
    <w:p>
      <w:pPr>
        <w:numPr>
          <w:ilvl w:val="0"/>
          <w:numId w:val="1012"/>
        </w:numPr>
        <w:pStyle w:val="Compact"/>
      </w:pPr>
      <w:r>
        <w:t xml:space="preserve">Partida: 20.09</w:t>
      </w:r>
    </w:p>
    <w:p>
      <w:pPr>
        <w:numPr>
          <w:ilvl w:val="0"/>
          <w:numId w:val="1012"/>
        </w:numPr>
        <w:pStyle w:val="Compact"/>
      </w:pPr>
      <w:r>
        <w:t xml:space="preserve">Subpartida: 2009.19 (jugo de naranja, los demás; aplicable típicamente a concentrados no congelados con Brix superior a 20; verificar Brix)</w:t>
      </w:r>
    </w:p>
    <w:p>
      <w:pPr>
        <w:numPr>
          <w:ilvl w:val="0"/>
          <w:numId w:val="1012"/>
        </w:numPr>
        <w:pStyle w:val="Compact"/>
      </w:pPr>
      <w:r>
        <w:t xml:space="preserve">Fracción: Por definir según normativa nacional</w:t>
      </w:r>
    </w:p>
    <w:p>
      <w:pPr>
        <w:numPr>
          <w:ilvl w:val="0"/>
          <w:numId w:val="1012"/>
        </w:numPr>
        <w:pStyle w:val="Compact"/>
      </w:pPr>
      <w:r>
        <w:t xml:space="preserve">NICO: Por definir</w:t>
      </w:r>
    </w:p>
    <w:p>
      <w:pPr>
        <w:pStyle w:val="FirstParagraph"/>
      </w:pPr>
      <w:r>
        <w:t xml:space="preserve">Opción C (si se presenta congelado y, además, carece de aromatizantes y enriquecimiento, manteniendo el carácter de jugo):</w:t>
      </w:r>
    </w:p>
    <w:p>
      <w:pPr>
        <w:numPr>
          <w:ilvl w:val="0"/>
          <w:numId w:val="1013"/>
        </w:numPr>
        <w:pStyle w:val="Compact"/>
      </w:pPr>
      <w:r>
        <w:t xml:space="preserve">Capítulo: 20</w:t>
      </w:r>
    </w:p>
    <w:p>
      <w:pPr>
        <w:numPr>
          <w:ilvl w:val="0"/>
          <w:numId w:val="1013"/>
        </w:numPr>
        <w:pStyle w:val="Compact"/>
      </w:pPr>
      <w:r>
        <w:t xml:space="preserve">Partida: 20.09</w:t>
      </w:r>
    </w:p>
    <w:p>
      <w:pPr>
        <w:numPr>
          <w:ilvl w:val="0"/>
          <w:numId w:val="1013"/>
        </w:numPr>
        <w:pStyle w:val="Compact"/>
      </w:pPr>
      <w:r>
        <w:t xml:space="preserve">Subpartida: 2009.11 (jugo de naranja, congelado)</w:t>
      </w:r>
    </w:p>
    <w:p>
      <w:pPr>
        <w:numPr>
          <w:ilvl w:val="0"/>
          <w:numId w:val="1013"/>
        </w:numPr>
        <w:pStyle w:val="Compact"/>
      </w:pPr>
      <w:r>
        <w:t xml:space="preserve">Fracción: Por definir según normativa nacional</w:t>
      </w:r>
    </w:p>
    <w:p>
      <w:pPr>
        <w:numPr>
          <w:ilvl w:val="0"/>
          <w:numId w:val="1013"/>
        </w:numPr>
        <w:pStyle w:val="Compact"/>
      </w:pPr>
      <w:r>
        <w:t xml:space="preserve">NICO: Por definir</w:t>
      </w:r>
    </w:p>
    <w:p>
      <w:pPr>
        <w:pStyle w:val="FirstParagraph"/>
      </w:pPr>
      <w:r>
        <w:t xml:space="preserve">CRITERIOS FALTANTES:</w:t>
      </w:r>
    </w:p>
    <w:p>
      <w:pPr>
        <w:numPr>
          <w:ilvl w:val="0"/>
          <w:numId w:val="1014"/>
        </w:numPr>
        <w:pStyle w:val="Compact"/>
      </w:pPr>
      <w:r>
        <w:t xml:space="preserve">Porcentajes exactos de cada componente y justificación tecnológica de los aditivos.</w:t>
      </w:r>
    </w:p>
    <w:p>
      <w:pPr>
        <w:numPr>
          <w:ilvl w:val="0"/>
          <w:numId w:val="1014"/>
        </w:numPr>
        <w:pStyle w:val="Compact"/>
      </w:pPr>
      <w:r>
        <w:t xml:space="preserve">Determinación de grados Brix y estado físico (congelado/no congelado).</w:t>
      </w:r>
    </w:p>
    <w:p>
      <w:pPr>
        <w:numPr>
          <w:ilvl w:val="0"/>
          <w:numId w:val="1014"/>
        </w:numPr>
        <w:pStyle w:val="Compact"/>
      </w:pPr>
      <w:r>
        <w:t xml:space="preserve">Confirmación de la presencia/ausencia de edulcorantes y del carácter “enriquecido” (mg de vitamina C).</w:t>
      </w:r>
    </w:p>
    <w:p>
      <w:pPr>
        <w:numPr>
          <w:ilvl w:val="0"/>
          <w:numId w:val="1014"/>
        </w:numPr>
        <w:pStyle w:val="Compact"/>
      </w:pPr>
      <w:r>
        <w:t xml:space="preserve">Evidencia documental del uso exclusivo como base para manufactura de bebidas (no venta como jugo directo).</w:t>
      </w:r>
    </w:p>
    <w:p>
      <w:pPr>
        <w:pStyle w:val="FirstParagraph"/>
      </w:pPr>
      <w:r>
        <w:t xml:space="preserve">Resolución: Con la información disponible, y a nivel de subpartida (6 dígitos), la clasificación aplicable es 2106.90, al tratarse de una preparación alimenticia compuesta, con aromatización y enriquecimiento, destinada a la elaboración de bebidas, encuadrando en la partida 21.06 y su subpartida 2106.90. Se descarta 20.09 con base en RGI 1 y 2(b) Comentario XII, al no responder el producto a los términos de “jugos” cuando la adición de otras materias le priva de tal carácter .</w:t>
      </w:r>
    </w:p>
    <w:bookmarkEnd w:id="22"/>
    <w:bookmarkStart w:id="23" w:name="notas"/>
    <w:p>
      <w:pPr>
        <w:pStyle w:val="Heading3"/>
      </w:pPr>
      <w:r>
        <w:t xml:space="preserve">NOTAS:</w:t>
      </w:r>
    </w:p>
    <w:p>
      <w:r>
        <w:pict>
          <v:rect style="width:0;height:1.5pt" o:hralign="center" o:hrstd="t" o:hr="t"/>
        </w:pict>
      </w:r>
    </w:p>
    <w:p>
      <w:pPr>
        <w:pStyle w:val="FirstParagraph"/>
      </w:pPr>
      <w:r>
        <w:t xml:space="preserve">El código 90.99.01 no se menciona en los anexos de la LIGIE.</w:t>
      </w:r>
    </w:p>
    <w:p>
      <w:pPr>
        <w:pStyle w:val="BodyText"/>
      </w:pPr>
      <w:r>
        <w:t xml:space="preserve">El código 90.99.01 no se menciona en el DOF en el período 15/07/2025 al 30/08/2025.</w:t>
      </w:r>
    </w:p>
    <w:bookmarkEnd w:id="23"/>
    <w:bookmarkStart w:id="24" w:name="documentación-consultada"/>
    <w:p>
      <w:pPr>
        <w:pStyle w:val="Heading3"/>
      </w:pPr>
      <w:r>
        <w:t xml:space="preserve">Documentación consultada</w:t>
      </w:r>
    </w:p>
    <w:p>
      <w:pPr>
        <w:numPr>
          <w:ilvl w:val="0"/>
          <w:numId w:val="1015"/>
        </w:numPr>
        <w:pStyle w:val="Compact"/>
      </w:pPr>
      <w:r>
        <w:t xml:space="preserve">Referencias: Ley de los Impuestos Generales de Importación y de Exportación</w:t>
      </w:r>
    </w:p>
    <w:p>
      <w:pPr>
        <w:numPr>
          <w:ilvl w:val="0"/>
          <w:numId w:val="1015"/>
        </w:numPr>
        <w:pStyle w:val="Compact"/>
      </w:pPr>
      <w:r>
        <w:t xml:space="preserve">Versión LIGIE: 7ma Enmienda del Sistema Armonizado</w:t>
      </w:r>
    </w:p>
    <w:p>
      <w:pPr>
        <w:numPr>
          <w:ilvl w:val="0"/>
          <w:numId w:val="1015"/>
        </w:numPr>
        <w:pStyle w:val="Compact"/>
      </w:pPr>
      <w:r>
        <w:t xml:space="preserve">Archivo: LIGIE-UNIFICADA-LIGIE_20250728-20250728.pdf</w:t>
      </w:r>
    </w:p>
    <w:p>
      <w:pPr>
        <w:numPr>
          <w:ilvl w:val="0"/>
          <w:numId w:val="1015"/>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2">
    <w:nsid w:val="47261bad"/>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23">
    <w:nsid w:val="b3cbbdee"/>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1"/>
  </w:num>
  <w:num w:numId="1006">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2025-09-16T02:00:15Z</dcterms:created>
  <dcterms:modified xsi:type="dcterms:W3CDTF">2025-09-16T02:00:15Z</dcterms:modified>
</cp:coreProperties>
</file>

<file path=docProps/custom.xml><?xml version="1.0" encoding="utf-8"?>
<Properties xmlns="http://schemas.openxmlformats.org/officeDocument/2006/custom-properties" xmlns:vt="http://schemas.openxmlformats.org/officeDocument/2006/docPropsVTypes"/>
</file>