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13:09:14</w:t>
      </w:r>
    </w:p>
    <w:p>
      <w:pPr>
        <w:pStyle w:val="BodyText"/>
      </w:pPr>
      <w:r>
        <w:t xml:space="preserve">Cuenta: Ver18-b</w:t>
      </w:r>
    </w:p>
    <w:p>
      <w:pPr>
        <w:pStyle w:val="BodyText"/>
      </w:pPr>
      <w:r>
        <w:t xml:space="preserve">Usuario: cmhs</w:t>
      </w:r>
    </w:p>
    <w:p>
      <w:pPr>
        <w:pStyle w:val="BodyText"/>
      </w:pPr>
      <w:r>
        <w:t xml:space="preserve">ITEM: Una malla de alambre de color plateado compuesta por alambres de acero galvanizado rígidos con un diámetro aproximado de 4 mm. El proceso de galvanizado consiste en la inmersión en caliente de los alambres en una aleación compuesta por 95 % de zinc y 5 % de aluminio. Los alambres se entrelazan en un patrón en zigzag, formando aberturas en forma de rombo que miden aproximadamente 102 mm por 177 mm. Los bordes se anudan de manera segura para preservar la integridad de la estructura de la malla. La malla se suministra en rollos con anchos y largos variables (1.5 m – 5 m y personalizados según los requisitos del comprador). Tiene una resistencia mínima a la tracción de 1,770 N/mm_ y un peso de 2.6 kg/m_. Debido a su alta resistencia a la tracción y a la corrosión, la malla se utiliza para soporte dinámico de roca o terreno comprimido en las industrias minera y de la construcción.</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73</w:t>
            </w:r>
          </w:p>
        </w:tc>
        <w:tc>
          <w:p>
            <w:pPr>
              <w:pStyle w:val="Compact"/>
              <w:jc w:val="left"/>
            </w:pPr>
            <w:r>
              <w:t xml:space="preserve">Por la RGI 1, el texto de la partida 73.14 abarca “telas metálicas, redes y rejas, de alambre de hierro o acero”, lo que coincide con una malla de alambre tejida en rollos (alambre de acero, aberturas en forma de rombo). Las notas del Capítulo 73 también definen dimensiones de “alambre” compatibles con el alambre de 4 mm utilizado. Se excluye 73.08: NESA aclara que “Construcciones y sus partes” se refiere a estructuras metálicas llevadas a la obra, no a materiales de malla. Preferencia por lo específico sobre lo genérico conforme a la RGI 3(a).</w:t>
            </w:r>
          </w:p>
        </w:tc>
      </w:tr>
      <w:tr>
        <w:tc>
          <w:p>
            <w:pPr>
              <w:pStyle w:val="Compact"/>
              <w:jc w:val="right"/>
            </w:pPr>
            <w:r>
              <w:rPr>
                <w:bCs/>
                <w:b/>
              </w:rPr>
              <w:t xml:space="preserve">72</w:t>
            </w:r>
          </w:p>
        </w:tc>
        <w:tc>
          <w:p>
            <w:pPr>
              <w:pStyle w:val="Compact"/>
              <w:jc w:val="left"/>
            </w:pPr>
            <w:r>
              <w:t xml:space="preserve">El Capítulo 72 abarca hierro/acero en formas como alambre (p. ej., 72.17 “Alambre de hierro o acero sin alear”). Sin embargo, por la RGI 1, el artículo terminado es una malla (red) de alambre específicamente cubierta por 73.14, por lo que se clasifica donde es más específico.</w:t>
            </w:r>
          </w:p>
        </w:tc>
      </w:tr>
      <w:tr>
        <w:tc>
          <w:p>
            <w:pPr>
              <w:pStyle w:val="Compact"/>
              <w:jc w:val="right"/>
            </w:pPr>
            <w:r>
              <w:rPr>
                <w:bCs/>
                <w:b/>
              </w:rPr>
              <w:t xml:space="preserve">83</w:t>
            </w:r>
          </w:p>
        </w:tc>
        <w:tc>
          <w:p>
            <w:pPr>
              <w:pStyle w:val="Compact"/>
              <w:jc w:val="left"/>
            </w:pPr>
            <w:r>
              <w:t xml:space="preserve">El Capítulo 83 es “Manufacturas diversas de metal común”, un capítulo residual. Por la RGI 3(a), las disposiciones residuales ceden ante la descripción más específica en 73.14 para redes de alambre de hierro o acero. El índice de la Sección XV confirma que ambos capítulos pertenecen a metales comunes y sus manufacturas.</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Applicable legal framework</w:t>
      </w:r>
    </w:p>
    <w:p>
      <w:pPr>
        <w:numPr>
          <w:ilvl w:val="0"/>
          <w:numId w:val="1001"/>
        </w:numPr>
        <w:pStyle w:val="Compact"/>
      </w:pPr>
      <w:r>
        <w:t xml:space="preserve">Rule 1 (RGI 1). “LOS TITULOS DE LAS SECCIONES, DE LOS CAPITULOS O DE LOS SUBCAPITULOS SOLO TIENEN UN VALOR INDICATIVO, YA QUE LA CLASIFICACION ESTA DETERMINADA LEGALMENTE POR LOS TEXTOS DE LAS PARTIDAS Y DE LAS NOTAS DE SECCION O DE CAPITULO…”</w:t>
      </w:r>
    </w:p>
    <w:p>
      <w:pPr>
        <w:numPr>
          <w:ilvl w:val="0"/>
          <w:numId w:val="1001"/>
        </w:numPr>
        <w:pStyle w:val="Compact"/>
      </w:pPr>
      <w:r>
        <w:t xml:space="preserve">Rule 2(b) (mixed/associated materials). “CUALQUIER REFERENCIA A UNA MATERIA EN UNA PARTIDA DETERMINADA ALCANZA A DICHA MATERIA, INCLUSO MEZCLADA O ASOCIADA CON OTRAS MATERIAS. ASIMISMO, CUALQUIER REFERENCIA A LAS MANUFACTURAS DE UNA MATERIA DETERMINADA ALCANZA TAMBIEN A LAS CONSTITUIDAS TOTAL O PARCIALMENTE POR DICHA MATERIA.”</w:t>
      </w:r>
    </w:p>
    <w:p>
      <w:pPr>
        <w:numPr>
          <w:ilvl w:val="0"/>
          <w:numId w:val="1001"/>
        </w:numPr>
        <w:pStyle w:val="Compact"/>
      </w:pPr>
      <w:r>
        <w:t xml:space="preserve">Rule 3(a) and 3(b). “LA PARTIDA CON DESCRIPCION MAS ESPECIFICA TENDRA PRIORIDAD…”; y cuando proceda, “SE CLASIFICARAN SEGUN LA MATERIA O CON EL ARTICULO QUE LES CONFIERA SU CARACTER ESENCIAL…”</w:t>
      </w:r>
    </w:p>
    <w:p>
      <w:pPr>
        <w:numPr>
          <w:ilvl w:val="0"/>
          <w:numId w:val="1001"/>
        </w:numPr>
        <w:pStyle w:val="Compact"/>
      </w:pPr>
      <w:r>
        <w:t xml:space="preserve">Rule 6 (subheading level). “LA CLASIFICACION DE MERCANCIAS EN LAS SUBPARTIDAS… ESTA DETERMINADA… POR LOS TEXTOS DE ESTAS SUBPARTIDAS… BIEN ENTENDIDO QUE SOLO PUEDEN COMPARARSE SUBPARTIDAS DEL MISMO NIVEL.”</w:t>
      </w:r>
    </w:p>
    <w:p>
      <w:pPr>
        <w:numPr>
          <w:ilvl w:val="0"/>
          <w:numId w:val="1001"/>
        </w:numPr>
        <w:pStyle w:val="Compact"/>
      </w:pPr>
      <w:r>
        <w:t xml:space="preserve">Chapter 73, heading 73.14. “Telas metálicas (incluidas las continuas o sin fin), redes y rejas, de alambre de hierro o acero; chapas y tiras, extendidas (desplegadas), de hierro o acero.”</w:t>
      </w:r>
    </w:p>
    <w:p>
      <w:pPr>
        <w:numPr>
          <w:ilvl w:val="0"/>
          <w:numId w:val="1001"/>
        </w:numPr>
        <w:pStyle w:val="Compact"/>
      </w:pPr>
      <w:r>
        <w:t xml:space="preserve">7314.20. “Redes y rejas, soldadas en los puntos de cruce, de alambre cuya mayor dimensión de la sección transversal sea superior o igual a 3 mm y con malla de superficie superior o igual a 100 cm².”</w:t>
      </w:r>
    </w:p>
    <w:p>
      <w:pPr>
        <w:numPr>
          <w:ilvl w:val="0"/>
          <w:numId w:val="1001"/>
        </w:numPr>
        <w:pStyle w:val="Compact"/>
      </w:pPr>
      <w:r>
        <w:t xml:space="preserve">7314.19 (Telas metálicas tejidas: Las demás), incluidas las “Cincadas” a nivel de fracción nacional.</w:t>
      </w:r>
    </w:p>
    <w:p>
      <w:pPr>
        <w:numPr>
          <w:ilvl w:val="0"/>
          <w:numId w:val="1001"/>
        </w:numPr>
        <w:pStyle w:val="Compact"/>
      </w:pPr>
      <w:r>
        <w:t xml:space="preserve">7314.41. “Las demás telas metálicas, redes y rejas: -- Cincadas.” (incluye NICO: “Conocidas como malla ciclónica, con aperturas en forma de rombo”).</w:t>
      </w:r>
    </w:p>
    <w:p>
      <w:pPr>
        <w:numPr>
          <w:ilvl w:val="0"/>
          <w:numId w:val="1001"/>
        </w:numPr>
        <w:pStyle w:val="Compact"/>
      </w:pPr>
      <w:r>
        <w:t xml:space="preserve">Other potentially relevant headings to exclude:</w:t>
      </w:r>
    </w:p>
    <w:p>
      <w:pPr>
        <w:numPr>
          <w:ilvl w:val="1"/>
          <w:numId w:val="1002"/>
        </w:numPr>
        <w:pStyle w:val="Compact"/>
      </w:pPr>
      <w:r>
        <w:t xml:space="preserve">7313.00 “Alambre de púas… de los tipos utilizados para cercar.”</w:t>
      </w:r>
    </w:p>
    <w:p>
      <w:pPr>
        <w:numPr>
          <w:ilvl w:val="1"/>
          <w:numId w:val="1002"/>
        </w:numPr>
        <w:pStyle w:val="Compact"/>
      </w:pPr>
      <w:r>
        <w:t xml:space="preserve">7308 “Construcciones y sus partes… preparados para la construcción.”</w:t>
      </w:r>
    </w:p>
    <w:p>
      <w:pPr>
        <w:numPr>
          <w:ilvl w:val="1"/>
          <w:numId w:val="1002"/>
        </w:numPr>
        <w:pStyle w:val="Compact"/>
      </w:pPr>
      <w:r>
        <w:t xml:space="preserve">Chapter 72 definitions clarify “Alambre: el producto… obtenido en frío y enrollado…” (materia prima), no manufacturas como redes/rejas.</w:t>
      </w:r>
    </w:p>
    <w:p>
      <w:pPr>
        <w:pStyle w:val="FirstParagraph"/>
      </w:pPr>
      <w:r>
        <w:t xml:space="preserve">II. Legal-technical analysis</w:t>
      </w:r>
    </w:p>
    <w:p>
      <w:pPr>
        <w:numPr>
          <w:ilvl w:val="0"/>
          <w:numId w:val="1003"/>
        </w:numPr>
        <w:pStyle w:val="Compact"/>
      </w:pPr>
      <w:r>
        <w:t xml:space="preserve">Chapter → Heading. La mercancía es una malla/red de alambre de hierro o acero, suministrada en rollos, compuesta por alambres de acero galvanizados entrelazados formando aberturas en forma de rombo; no es un tubo ni una plancha, ni un simple alambre, sino una red manufacturada. Por la RGI 1, sus características objetivas coinciden con la partida 73.14 “Telas metálicas… redes y rejas… de alambre de hierro o acero…”</w:t>
      </w:r>
    </w:p>
    <w:p>
      <w:pPr>
        <w:numPr>
          <w:ilvl w:val="0"/>
          <w:numId w:val="1003"/>
        </w:numPr>
        <w:pStyle w:val="Compact"/>
      </w:pPr>
      <w:r>
        <w:t xml:space="preserve">Estructura de la partida 73.14 (RGI 6). En el primer nivel de guiones dentro de 73.14, la nomenclatura distingue:</w:t>
      </w:r>
    </w:p>
    <w:p>
      <w:pPr>
        <w:numPr>
          <w:ilvl w:val="1"/>
          <w:numId w:val="1004"/>
        </w:numPr>
        <w:pStyle w:val="Compact"/>
      </w:pPr>
      <w:r>
        <w:t xml:space="preserve">“Telas metálicas tejidas” (7314.12, 7314.14, 7314.19), donde se ubican telas tejidas de acero inoxidable y otras;</w:t>
      </w:r>
    </w:p>
    <w:p>
      <w:pPr>
        <w:numPr>
          <w:ilvl w:val="1"/>
          <w:numId w:val="1004"/>
        </w:numPr>
        <w:pStyle w:val="Compact"/>
      </w:pPr>
      <w:r>
        <w:t xml:space="preserve">“Redes y rejas, soldadas en los puntos de cruce” (7314.20, 7314.31, 7314.39);</w:t>
      </w:r>
    </w:p>
    <w:p>
      <w:pPr>
        <w:numPr>
          <w:ilvl w:val="1"/>
          <w:numId w:val="1004"/>
        </w:numPr>
        <w:pStyle w:val="Compact"/>
      </w:pPr>
      <w:r>
        <w:t xml:space="preserve">“Las demás telas metálicas, redes y rejas” (7314.41 a 7314.49).</w:t>
      </w:r>
    </w:p>
    <w:p>
      <w:pPr>
        <w:numPr>
          <w:ilvl w:val="0"/>
          <w:numId w:val="1003"/>
        </w:numPr>
        <w:pStyle w:val="Compact"/>
      </w:pPr>
      <w:r>
        <w:t xml:space="preserve">Red no soldada. El producto está entrelazado en zigzag, con bordes anudados, no soldado en las intersecciones. Por lo tanto, no puede clasificarse en “Redes y rejas, soldadas en los puntos de cruce” (7314.20/31/39), que requieren soldadura en los puntos de cruce. Esto orienta la clasificación hacia “telas metálicas tejidas” (si fuera tela tejida en sentido estricto) o “las demás telas metálicas, redes y rejas”.</w:t>
      </w:r>
    </w:p>
    <w:p>
      <w:pPr>
        <w:numPr>
          <w:ilvl w:val="0"/>
          <w:numId w:val="1003"/>
        </w:numPr>
        <w:pStyle w:val="Compact"/>
      </w:pPr>
      <w:r>
        <w:t xml:space="preserve">Prevalece la morfología y la descripción específica (RGI 1 y 3(a)). El artículo es un tipo malla ciclónica: alambres entrelazados en zigzag formando aberturas romboidales. El propio texto de la tarifa mexicana reconoce “Conocidas como malla ciclónica, con aperturas en forma de rombo” precisamente en 7314.41.01 (subpartida 7314.41; fracción nacional “cincadas”), lo que evidencia que dicha malla ciclónica se clasifica en el grupo “Las demás telas metálicas, redes y rejas: — Cincadas.”</w:t>
      </w:r>
    </w:p>
    <w:p>
      <w:pPr>
        <w:numPr>
          <w:ilvl w:val="0"/>
          <w:numId w:val="1003"/>
        </w:numPr>
        <w:pStyle w:val="Compact"/>
      </w:pPr>
      <w:r>
        <w:t xml:space="preserve">Tratamiento superficial. Los alambres están galvanizados por inmersión en caliente en una aleación Zn-Al (95 % Zn, 5 % Al). A efectos arancelarios, la presencia de recubrimiento de zinc caracteriza la mercancía como “cincada”. A nivel de subpartida, el texto requerido es “Cincadas”, que proporciona 7314.41; por la RGI 2(b), la manufactura de acero con recubrimiento de zinc sigue siendo una manufactura de hierro o acero, sin perjuicio del recubrimiento asociado. Así, al nivel de un guion, 7314.41 (“Las demás… — Cincadas”) es la subpartida más específica conforme a la RGI 6 y 3(a) para una malla ciclónica galvanizada.</w:t>
      </w:r>
    </w:p>
    <w:p>
      <w:pPr>
        <w:pStyle w:val="FirstParagraph"/>
      </w:pPr>
      <w:r>
        <w:t xml:space="preserve">III. Exclusion of alternative headings/subheadings (Chapters 72 and 73)</w:t>
      </w:r>
    </w:p>
    <w:p>
      <w:pPr>
        <w:numPr>
          <w:ilvl w:val="0"/>
          <w:numId w:val="1005"/>
        </w:numPr>
        <w:pStyle w:val="Compact"/>
      </w:pPr>
      <w:r>
        <w:t xml:space="preserve">Capítulo 72 (p. ej., 7217 alambre). El Capítulo 72 abarca hierro/acero en formas primarias/semimanufacturadas; “Alambre” es un producto obtenido en trabajo en frío y enrollado, es decir, un material, no la red terminada descrita. El bien es un artículo elaborado a partir de alambre, no alambre en sí; por tanto, no aplica el Capítulo 72 conforme a la RGI 1.</w:t>
      </w:r>
    </w:p>
    <w:p>
      <w:pPr>
        <w:numPr>
          <w:ilvl w:val="0"/>
          <w:numId w:val="1005"/>
        </w:numPr>
        <w:pStyle w:val="Compact"/>
      </w:pPr>
      <w:r>
        <w:t xml:space="preserve">7308 (Construcciones y sus partes). Aunque se usa en minería/construcción para soporte de roca, la partida 73.08 abarca estructuras y partes preparadas para la construcción; el texto de la partida 73.14 cubre específicamente redes de alambre y cercados. Por la RGI 3(a), la descripción específica de 73.14 prevalece sobre la más amplia de 73.08.</w:t>
      </w:r>
    </w:p>
    <w:p>
      <w:pPr>
        <w:numPr>
          <w:ilvl w:val="0"/>
          <w:numId w:val="1005"/>
        </w:numPr>
        <w:pStyle w:val="Compact"/>
      </w:pPr>
      <w:r>
        <w:t xml:space="preserve">7313 (Alambre de púas… para cercar). El artículo no tiene púas y no es alambre de púas trenzado; 7313 se excluye por su propio texto (RGI 1).</w:t>
      </w:r>
    </w:p>
    <w:p>
      <w:pPr>
        <w:numPr>
          <w:ilvl w:val="0"/>
          <w:numId w:val="1005"/>
        </w:numPr>
        <w:pStyle w:val="Compact"/>
      </w:pPr>
      <w:r>
        <w:t xml:space="preserve">7314.20 / 7314.31 / 7314.39 (Redes y rejas soldadas). La mercancía no está soldada en las intersecciones; estas subpartidas requieren soldadura en los puntos de cruce, por lo que son inaplicables (RGI 1).</w:t>
      </w:r>
    </w:p>
    <w:p>
      <w:pPr>
        <w:numPr>
          <w:ilvl w:val="0"/>
          <w:numId w:val="1005"/>
        </w:numPr>
        <w:pStyle w:val="Compact"/>
      </w:pPr>
      <w:r>
        <w:t xml:space="preserve">7314.12 / 7314.14 (Telas metálicas tejidas de acero inoxidable). Los bienes no son de acero inoxidable; por lo tanto, se excluyen estas subpartidas (RGI 1).</w:t>
      </w:r>
    </w:p>
    <w:p>
      <w:pPr>
        <w:numPr>
          <w:ilvl w:val="0"/>
          <w:numId w:val="1005"/>
        </w:numPr>
        <w:pStyle w:val="Compact"/>
      </w:pPr>
      <w:r>
        <w:t xml:space="preserve">7314.19 (Telas metálicas tejidas — Las demás). Si bien el producto está entrelazado, el texto arancelario y las identificaciones nacionales ubican la malla ciclónica (aberturas en rombo) en 7314.41 bajo “Las demás telas metálicas, redes y rejas: — Cincadas”, no en 7314.19, que se enfoca en telas metálicas tejidas y cuyas subentradas nacionales ejemplifican cuadrículas o hexágonos, no el patrón romboide de “malla ciclónica”. Aplicando RGI 6 y 3(a), 7314.41 se alinea más específicamente con el artículo descrito (malla ciclónica galvanizada) que 7314.19.</w:t>
      </w:r>
    </w:p>
    <w:p>
      <w:pPr>
        <w:pStyle w:val="FirstParagraph"/>
      </w:pPr>
      <w:r>
        <w:t xml:space="preserve">IV. Documentary requirements (to support and verify the tariff determination)</w:t>
      </w:r>
    </w:p>
    <w:p>
      <w:pPr>
        <w:numPr>
          <w:ilvl w:val="0"/>
          <w:numId w:val="1006"/>
        </w:numPr>
        <w:pStyle w:val="Compact"/>
      </w:pPr>
      <w:r>
        <w:t xml:space="preserve">Ficha técnica con material del alambre (confirmando que no es inoxidable), diámetro del alambre, resistencia a la tracción, dimensiones de apertura de la malla y dimensiones de los rollos.</w:t>
      </w:r>
    </w:p>
    <w:p>
      <w:pPr>
        <w:numPr>
          <w:ilvl w:val="0"/>
          <w:numId w:val="1006"/>
        </w:numPr>
        <w:pStyle w:val="Compact"/>
      </w:pPr>
      <w:r>
        <w:t xml:space="preserve">Descripción del proceso de fabricación que evidencie formación tipo malla ciclónica (entrelazada/zigzag) y bordes anudados/selvedge; fotografías de la malla.</w:t>
      </w:r>
    </w:p>
    <w:p>
      <w:pPr>
        <w:numPr>
          <w:ilvl w:val="0"/>
          <w:numId w:val="1006"/>
        </w:numPr>
        <w:pStyle w:val="Compact"/>
      </w:pPr>
      <w:r>
        <w:t xml:space="preserve">Certificado de recubrimiento que especifique método de galvanizado (inmersión en caliente), composición del recubrimiento y confirmación de recubrimiento a base de zinc (galvanizada), y peso del recubrimiento.</w:t>
      </w:r>
    </w:p>
    <w:p>
      <w:pPr>
        <w:numPr>
          <w:ilvl w:val="0"/>
          <w:numId w:val="1006"/>
        </w:numPr>
        <w:pStyle w:val="Compact"/>
      </w:pPr>
      <w:r>
        <w:t xml:space="preserve">Documentos comerciales (factura/lista de empaque) y etiquetado que refieran “malla ciclónica” o terminología equivalente y uso industrial previsto.</w:t>
      </w:r>
    </w:p>
    <w:p>
      <w:pPr>
        <w:numPr>
          <w:ilvl w:val="0"/>
          <w:numId w:val="1006"/>
        </w:numPr>
        <w:pStyle w:val="Compact"/>
      </w:pPr>
      <w:r>
        <w:t xml:space="preserve">Cualesquiera normas/especificaciones utilizadas en la producción o pruebas (p. ej., pruebas de tracción).</w:t>
      </w:r>
    </w:p>
    <w:p>
      <w:pPr>
        <w:pStyle w:val="FirstParagraph"/>
      </w:pPr>
      <w:r>
        <w:t xml:space="preserve">V. Conclusion</w:t>
      </w:r>
    </w:p>
    <w:p>
      <w:pPr>
        <w:numPr>
          <w:ilvl w:val="0"/>
          <w:numId w:val="1007"/>
        </w:numPr>
        <w:pStyle w:val="Compact"/>
      </w:pPr>
      <w:r>
        <w:t xml:space="preserve">Clasificación arancelaria propuesta a nivel de subpartida:</w:t>
      </w:r>
    </w:p>
    <w:p>
      <w:pPr>
        <w:numPr>
          <w:ilvl w:val="1"/>
          <w:numId w:val="1008"/>
        </w:numPr>
        <w:pStyle w:val="Compact"/>
      </w:pPr>
      <w:r>
        <w:t xml:space="preserve">Capítulo: 73</w:t>
      </w:r>
    </w:p>
    <w:p>
      <w:pPr>
        <w:numPr>
          <w:ilvl w:val="1"/>
          <w:numId w:val="1008"/>
        </w:numPr>
        <w:pStyle w:val="Compact"/>
      </w:pPr>
      <w:r>
        <w:t xml:space="preserve">Partida: 73.14 (Telas metálicas, redes y rejas de alambre de hierro o acero; chapas y tiras extendidas)</w:t>
      </w:r>
    </w:p>
    <w:p>
      <w:pPr>
        <w:numPr>
          <w:ilvl w:val="1"/>
          <w:numId w:val="1008"/>
        </w:numPr>
        <w:pStyle w:val="Compact"/>
      </w:pPr>
      <w:r>
        <w:t xml:space="preserve">Subpartida: 7314.41 (Las demás telas metálicas, redes y rejas: — Cincadas)</w:t>
      </w:r>
    </w:p>
    <w:p>
      <w:pPr>
        <w:numPr>
          <w:ilvl w:val="1"/>
          <w:numId w:val="1008"/>
        </w:numPr>
        <w:pStyle w:val="Compact"/>
      </w:pPr>
      <w:r>
        <w:t xml:space="preserve">Fracción (MX): Por determinar con documentación</w:t>
      </w:r>
    </w:p>
    <w:p>
      <w:pPr>
        <w:numPr>
          <w:ilvl w:val="1"/>
          <w:numId w:val="1008"/>
        </w:numPr>
        <w:pStyle w:val="Compact"/>
      </w:pPr>
      <w:r>
        <w:t xml:space="preserve">NICO (MX): Por determinar con documentación</w:t>
      </w:r>
    </w:p>
    <w:p>
      <w:pPr>
        <w:pStyle w:val="FirstParagraph"/>
      </w:pPr>
      <w:r>
        <w:t xml:space="preserve">Determinación condicionada</w:t>
      </w:r>
    </w:p>
    <w:p>
      <w:pPr>
        <w:numPr>
          <w:ilvl w:val="0"/>
          <w:numId w:val="1009"/>
        </w:numPr>
        <w:pStyle w:val="Compact"/>
      </w:pPr>
      <w:r>
        <w:t xml:space="preserve">Opción A (si la mercancía se reconoce como malla ciclónica con aberturas en rombo y recubrimiento de zinc, como se describe):</w:t>
      </w:r>
    </w:p>
    <w:p>
      <w:pPr>
        <w:numPr>
          <w:ilvl w:val="1"/>
          <w:numId w:val="1010"/>
        </w:numPr>
        <w:pStyle w:val="Compact"/>
      </w:pPr>
      <w:r>
        <w:t xml:space="preserve">Capítulo 73; Partida 73.14; Subpartida 7314.41; Fracción 7314.41.01; NICO 02 “Conocidas como malla ciclónica, con aperturas en forma de rombo.”</w:t>
      </w:r>
    </w:p>
    <w:p>
      <w:pPr>
        <w:numPr>
          <w:ilvl w:val="0"/>
          <w:numId w:val="1009"/>
        </w:numPr>
        <w:pStyle w:val="Compact"/>
      </w:pPr>
      <w:r>
        <w:t xml:space="preserve">Opción B (si el recubrimiento no se considera con base en zinc/galvanizado para efectos arancelarios):</w:t>
      </w:r>
    </w:p>
    <w:p>
      <w:pPr>
        <w:numPr>
          <w:ilvl w:val="1"/>
          <w:numId w:val="1011"/>
        </w:numPr>
        <w:pStyle w:val="Compact"/>
      </w:pPr>
      <w:r>
        <w:t xml:space="preserve">Capítulo 73; Partida 73.14; Subpartida 7314.49 (Las demás telas metálicas, redes y rejas: — Las demás); Fracción 7314.49.99; NICO según corresponda</w:t>
      </w:r>
    </w:p>
    <w:p>
      <w:pPr>
        <w:numPr>
          <w:ilvl w:val="0"/>
          <w:numId w:val="1009"/>
        </w:numPr>
        <w:pStyle w:val="Compact"/>
      </w:pPr>
      <w:r>
        <w:t xml:space="preserve">Opción C (si, en contra de la descripción, el artículo se clasificara como tela metálica tejida bajo el grupo “telas metálicas tejidas” y está cincada):</w:t>
      </w:r>
    </w:p>
    <w:p>
      <w:pPr>
        <w:numPr>
          <w:ilvl w:val="1"/>
          <w:numId w:val="1012"/>
        </w:numPr>
        <w:pStyle w:val="Compact"/>
      </w:pPr>
      <w:r>
        <w:t xml:space="preserve">Capítulo 73; Partida 73.14; Subpartida 7314.19 (Telas metálicas tejidas: — Las demás); Fracción 7314.19.03 (Cincadas); NICO según corresponda</w:t>
      </w:r>
    </w:p>
    <w:p>
      <w:pPr>
        <w:pStyle w:val="FirstParagraph"/>
      </w:pPr>
      <w:r>
        <w:t xml:space="preserve">CRITERIOS FALTANTES:</w:t>
      </w:r>
    </w:p>
    <w:p>
      <w:pPr>
        <w:numPr>
          <w:ilvl w:val="0"/>
          <w:numId w:val="1013"/>
        </w:numPr>
        <w:pStyle w:val="Compact"/>
      </w:pPr>
      <w:r>
        <w:t xml:space="preserve">Confirmación explícita de que el recubrimiento califica como galvanizado (a base de zinc) para efectos arancelarios (certificado de composición y método del recubrimiento).</w:t>
      </w:r>
    </w:p>
    <w:p>
      <w:pPr>
        <w:numPr>
          <w:ilvl w:val="0"/>
          <w:numId w:val="1013"/>
        </w:numPr>
        <w:pStyle w:val="Compact"/>
      </w:pPr>
      <w:r>
        <w:t xml:space="preserve">Confirmación de que la malla no está soldada en las intersecciones (evidencia fotográfica o técnica).</w:t>
      </w:r>
    </w:p>
    <w:p>
      <w:pPr>
        <w:numPr>
          <w:ilvl w:val="0"/>
          <w:numId w:val="1013"/>
        </w:numPr>
        <w:pStyle w:val="Compact"/>
      </w:pPr>
      <w:r>
        <w:t xml:space="preserve">Confirmación de que el producto no es de acero inoxidable.</w:t>
      </w:r>
    </w:p>
    <w:p>
      <w:pPr>
        <w:numPr>
          <w:ilvl w:val="0"/>
          <w:numId w:val="1013"/>
        </w:numPr>
        <w:pStyle w:val="Compact"/>
      </w:pPr>
      <w:r>
        <w:t xml:space="preserve">Confirmación de que el producto es tipo malla ciclónica con aberturas en forma de rombo (“malla ciclónica”) conforme al comercio.</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4"/>
        </w:numPr>
        <w:pStyle w:val="Compact"/>
      </w:pPr>
      <w:r>
        <w:t xml:space="preserve">Referencias: Ley de los Impuestos Generales de Importación y de Exportación</w:t>
      </w:r>
    </w:p>
    <w:p>
      <w:pPr>
        <w:numPr>
          <w:ilvl w:val="0"/>
          <w:numId w:val="1014"/>
        </w:numPr>
        <w:pStyle w:val="Compact"/>
      </w:pPr>
      <w:r>
        <w:t xml:space="preserve">Versión LIGIE: 7ma Enmienda del Sistema Armonizado</w:t>
      </w:r>
    </w:p>
    <w:p>
      <w:pPr>
        <w:numPr>
          <w:ilvl w:val="0"/>
          <w:numId w:val="1014"/>
        </w:numPr>
        <w:pStyle w:val="Compact"/>
      </w:pPr>
      <w:r>
        <w:t xml:space="preserve">Archivo: LIGIE-UNIFICADA-LIGIE_20250728-20250728.pdf</w:t>
      </w:r>
    </w:p>
    <w:p>
      <w:pPr>
        <w:numPr>
          <w:ilvl w:val="0"/>
          <w:numId w:val="1014"/>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2025-09-16T02:00:16Z</dcterms:created>
  <dcterms:modified xsi:type="dcterms:W3CDTF">2025-09-16T02:00:16Z</dcterms:modified>
</cp:coreProperties>
</file>

<file path=docProps/custom.xml><?xml version="1.0" encoding="utf-8"?>
<Properties xmlns="http://schemas.openxmlformats.org/officeDocument/2006/custom-properties" xmlns:vt="http://schemas.openxmlformats.org/officeDocument/2006/docPropsVTypes"/>
</file>