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Fecha: 15/09/2025 14:00:22</w:t>
      </w:r>
    </w:p>
    <w:p>
      <w:pPr>
        <w:pStyle w:val="BodyText"/>
      </w:pPr>
      <w:r>
        <w:t xml:space="preserve">Cuenta: Ver18-b</w:t>
      </w:r>
    </w:p>
    <w:p>
      <w:pPr>
        <w:pStyle w:val="BodyText"/>
      </w:pPr>
      <w:r>
        <w:t xml:space="preserve">Usuario: cmhs</w:t>
      </w:r>
    </w:p>
    <w:p>
      <w:pPr>
        <w:pStyle w:val="BodyText"/>
      </w:pPr>
      <w:r>
        <w:t xml:space="preserve">ARTÍCULO: Un semirremolque de 27 toneladas con medidas de 14 m de largo y 4.4 m de alto, específicamente adaptado para funcionar como cine móvil y que puede transformarse en una sala de cine en el lugar donde se proyectarán las películas. El auditorio del producto comprende diversos accesorios fijos, a saber: instalaciones eléctricas (cableado, tomas de corriente, interruptores, disyuntores, etc.), equipo de aire acondicionado, 100 asientos fijos para el público y una pantalla para la proyección de películas. El producto también incluye altavoces y un proyector de video. Los altavoces se fijan a las paredes interiores del semirremolque mediante tornillos. El proyector de video se coloca dentro del semirremolque y está completamente desacoplado de este. Durante su uso, puede colocarse sobre una mesa o fijarse en un trípode.</w:t>
      </w:r>
    </w:p>
    <w:p>
      <w:r>
        <w:pict>
          <v:rect style="width:0;height:1.5pt" o:hralign="center" o:hrstd="t" o:hr="t"/>
        </w:pict>
      </w:r>
    </w:p>
    <w:bookmarkStart w:id="25" w:name="sugerencia-de-clasificación-arancelaria"/>
    <w:p>
      <w:pPr>
        <w:pStyle w:val="Heading1"/>
      </w:pPr>
      <w:r>
        <w:t xml:space="preserve">Sugerencia de Clasificación Arancelaria</w:t>
      </w:r>
    </w:p>
    <w:bookmarkStart w:id="20" w:name="fase-1"/>
    <w:p>
      <w:pPr>
        <w:pStyle w:val="Heading3"/>
      </w:pPr>
      <w:r>
        <w:t xml:space="preserve">Fase 1</w:t>
      </w:r>
    </w:p>
    <w:p>
      <w:pPr>
        <w:pStyle w:val="FirstParagraph"/>
      </w:pPr>
      <w:r>
        <w:rPr>
          <w:bCs/>
          <w:b/>
        </w:rPr>
        <w:t xml:space="preserve">Top 3 capítulos candidatos</w:t>
      </w:r>
    </w:p>
    <w:tbl>
      <w:tblPr>
        <w:tblStyle w:val="Table"/>
        <w:tblW w:type="pct" w:w="0.0"/>
        <w:tblLook w:firstRow="1" w:lastRow="0" w:firstColumn="0" w:lastColumn="0" w:noHBand="0" w:noVBand="0" w:val="0020"/>
      </w:tblPr>
      <w:tblGrid/>
      <w:tr>
        <w:tc>
          <w:p>
            <w:pPr>
              <w:pStyle w:val="Compact"/>
              <w:jc w:val="right"/>
            </w:pPr>
            <w:r>
              <w:t xml:space="preserve">Capítulo</w:t>
            </w:r>
          </w:p>
        </w:tc>
        <w:tc>
          <w:p>
            <w:pPr>
              <w:pStyle w:val="Compact"/>
              <w:jc w:val="left"/>
            </w:pPr>
            <w:r>
              <w:t xml:space="preserve">Justificación</w:t>
            </w:r>
          </w:p>
        </w:tc>
      </w:tr>
      <w:tr>
        <w:tc>
          <w:p>
            <w:pPr>
              <w:pStyle w:val="Compact"/>
              <w:jc w:val="right"/>
            </w:pPr>
            <w:r>
              <w:rPr>
                <w:bCs/>
                <w:b/>
              </w:rPr>
              <w:t xml:space="preserve">87</w:t>
            </w:r>
          </w:p>
        </w:tc>
        <w:tc>
          <w:p>
            <w:pPr>
              <w:pStyle w:val="Compact"/>
              <w:jc w:val="left"/>
            </w:pPr>
            <w:r>
              <w:t xml:space="preserve">Por RGI 1, se trata de un semirremolque; la partida 87.16 cubre expresamente “Remolques y semirremolques…; los demás vehículos no automóviles; sus partes”. La Nota Nacional 14 define los remolques como no autopropulsados y que requieren ser remolcados, coincidiendo con la naturaleza del artículo. Conforme a la RGI 3 a), esta partida específica de vehículo prevalece sobre opciones más amplias. Los asientos fijos/aire acondicionado y el proyector separado no alteran el carácter esencial como remolque (RGI 3 b)).</w:t>
            </w:r>
          </w:p>
        </w:tc>
      </w:tr>
      <w:tr>
        <w:tc>
          <w:p>
            <w:pPr>
              <w:pStyle w:val="Compact"/>
              <w:jc w:val="right"/>
            </w:pPr>
            <w:r>
              <w:rPr>
                <w:bCs/>
                <w:b/>
              </w:rPr>
              <w:t xml:space="preserve">94</w:t>
            </w:r>
          </w:p>
        </w:tc>
        <w:tc>
          <w:p>
            <w:pPr>
              <w:pStyle w:val="Compact"/>
              <w:jc w:val="left"/>
            </w:pPr>
            <w:r>
              <w:t xml:space="preserve">El Capítulo 94.06 abarca construcciones prefabricadas (viviendas, oficinas, comercios, hangares, garajes, etc.), que pueden estar preequipadas con instalaciones eléctricas fijas. Sin embargo, son “construcciones prefabricadas”; los vehículos se clasifican en la Sección XVII (Material de transporte). Por RGI 3 a), el Capítulo 87 (remolques) es más específico para un semirremolque que el Capítulo 94.</w:t>
            </w:r>
          </w:p>
        </w:tc>
      </w:tr>
      <w:tr>
        <w:tc>
          <w:p>
            <w:pPr>
              <w:pStyle w:val="Compact"/>
              <w:jc w:val="right"/>
            </w:pPr>
            <w:r>
              <w:rPr>
                <w:bCs/>
                <w:b/>
              </w:rPr>
              <w:t xml:space="preserve">85</w:t>
            </w:r>
          </w:p>
        </w:tc>
        <w:tc>
          <w:p>
            <w:pPr>
              <w:pStyle w:val="Compact"/>
              <w:jc w:val="left"/>
            </w:pPr>
            <w:r>
              <w:t xml:space="preserve">El conjunto incluye un proyector de video (partida 85.28) y altavoces (partida 85.18). No obstante, conforme a la RGI 3 b), en una mercancía compuesta el carácter esencial lo confiere el semirremolque; los dispositivos AV son subordinados—y el proyector ni siquiera está fijo—por lo que el Capítulo 85 no rige el conjunto.</w:t>
            </w:r>
          </w:p>
        </w:tc>
      </w:tr>
    </w:tbl>
    <w:bookmarkEnd w:id="20"/>
    <w:bookmarkStart w:id="21" w:name="fase-3"/>
    <w:p>
      <w:pPr>
        <w:pStyle w:val="Heading3"/>
      </w:pPr>
      <w:r>
        <w:t xml:space="preserve">Fase 3</w:t>
      </w:r>
    </w:p>
    <w:bookmarkEnd w:id="21"/>
    <w:bookmarkStart w:id="22" w:name="dictamen-de-clasificación-arancelaria"/>
    <w:p>
      <w:pPr>
        <w:pStyle w:val="Heading3"/>
      </w:pPr>
      <w:r>
        <w:t xml:space="preserve">DICTAMEN DE CLASIFICACIÓN ARANCELARIA</w:t>
      </w:r>
    </w:p>
    <w:p>
      <w:pPr>
        <w:pStyle w:val="FirstParagraph"/>
      </w:pPr>
      <w:r>
        <w:t xml:space="preserve">I. Marco normativo aplicable</w:t>
      </w:r>
    </w:p>
    <w:p>
      <w:pPr>
        <w:numPr>
          <w:ilvl w:val="0"/>
          <w:numId w:val="1001"/>
        </w:numPr>
      </w:pPr>
      <w:r>
        <w:t xml:space="preserve">Reglas Generales de Interpretación (RGI):</w:t>
      </w:r>
      <w:r>
        <w:t xml:space="preserve"> </w:t>
      </w:r>
      <w:r>
        <w:t xml:space="preserve">• “LOS TÍTULOS DE LAS SECCIONES, DE LOS CAPÍTULOS O DE LOS SUBCAPÍTULOS SOLO TIENEN UN VALOR INDICATIVO, YA QUE LA CLASIFICACIÓN ESTÁ DETERMINADA LEGALMENTE POR LOS TEXTOS DE LAS PARTIDAS Y DE LAS NOTAS DE SECCIÓN O DE CAPÍTULO…” (Regla 1).</w:t>
      </w:r>
      <w:r>
        <w:t xml:space="preserve"> </w:t>
      </w:r>
      <w:r>
        <w:t xml:space="preserve">• “LA PARTIDA CON DESCRIPCIÓN MÁS ESPECÍFICA TENDRÁ PRIORIDAD SOBRE LAS PARTIDAS DE ALCANCE MÁS GENÉRICO…” (Regla 3 a)) y, si no decide, la Regla 3 b) dispone clasificar por el “carácter esencial” del conjunto (criterio que puede resultar del volumen, cantidad, peso, valor o importancia funcional de una de las materias/partes).</w:t>
      </w:r>
      <w:r>
        <w:t xml:space="preserve"> </w:t>
      </w:r>
      <w:r>
        <w:t xml:space="preserve">• Las Reglas 1 a 5 rigen, mutatis mutandis, la clasificación a nivel de subpartidas (Regla 6, Nota explicativa).</w:t>
      </w:r>
    </w:p>
    <w:p>
      <w:pPr>
        <w:numPr>
          <w:ilvl w:val="0"/>
          <w:numId w:val="1001"/>
        </w:numPr>
      </w:pPr>
      <w:r>
        <w:t xml:space="preserve">Capítulo 87 (texto y notas nacionales):</w:t>
      </w:r>
      <w:r>
        <w:t xml:space="preserve"> </w:t>
      </w:r>
      <w:r>
        <w:t xml:space="preserve">• Partida 87.16: “Remolques y semirremolques para cualquier vehículo; los demás vehículos no automóviles; sus partes.”</w:t>
      </w:r>
      <w:r>
        <w:t xml:space="preserve"> </w:t>
      </w:r>
      <w:r>
        <w:t xml:space="preserve">• Subpartidas de la 87.16:</w:t>
      </w:r>
      <w:r>
        <w:t xml:space="preserve"> </w:t>
      </w:r>
      <w:r>
        <w:t xml:space="preserve">– 8716.10: “Remolques y semirremolques para vivienda o acampar, del tipo caravana.”</w:t>
      </w:r>
      <w:r>
        <w:t xml:space="preserve"> </w:t>
      </w:r>
      <w:r>
        <w:t xml:space="preserve">– 8716.20: “Remolques y semirremolques, autocargadores o autodescargadores, para uso agrícola.”</w:t>
      </w:r>
      <w:r>
        <w:t xml:space="preserve"> </w:t>
      </w:r>
      <w:r>
        <w:t xml:space="preserve">– 8716.31: “Cisternas.” y 8716.39: “Los demás” (ambas bajo “Los demás remolques y semirremolques para transporte de mercancías”).</w:t>
      </w:r>
      <w:r>
        <w:t xml:space="preserve"> </w:t>
      </w:r>
      <w:r>
        <w:t xml:space="preserve">– 8716.40: “Los demás remolques y semirremolques.”</w:t>
      </w:r>
      <w:r>
        <w:t xml:space="preserve"> </w:t>
      </w:r>
      <w:r>
        <w:t xml:space="preserve">• Nota nacional (NESA) Cap. 87: “Para efectos de la partida 87.16, se consideran remolques aquellos vehículos que no son capaces de moverse por sus propios medios, por lo tanto, necesitan ser arrastrados o empujados…”</w:t>
      </w:r>
    </w:p>
    <w:p>
      <w:pPr>
        <w:numPr>
          <w:ilvl w:val="0"/>
          <w:numId w:val="1001"/>
        </w:numPr>
      </w:pPr>
      <w:r>
        <w:t xml:space="preserve">Capítulo 94 (texto y notas explicativas nacionales):</w:t>
      </w:r>
      <w:r>
        <w:t xml:space="preserve"> </w:t>
      </w:r>
      <w:r>
        <w:t xml:space="preserve">• 94.06: “Construcciones prefabricadas” y se consideran tales, incluso preequipadas, cuando están “diseñadas para ensamblarse juntas con el fin de constituir construcciones permanentes”.</w:t>
      </w:r>
      <w:r>
        <w:t xml:space="preserve"> </w:t>
      </w:r>
      <w:r>
        <w:t xml:space="preserve">• Para 94.01 a 94.03: “Los artículos (excepto las partes) … deben estar diseñados para colocarlos sobre el suelo.”</w:t>
      </w:r>
      <w:r>
        <w:t xml:space="preserve"> </w:t>
      </w:r>
      <w:r>
        <w:t xml:space="preserve">• 94.05 abarca “Luminarias y aparatos de alumbrado (incluidos los proyectores)…”, pero como bienes de iluminación, no vehículos.</w:t>
      </w:r>
    </w:p>
    <w:p>
      <w:pPr>
        <w:pStyle w:val="FirstParagraph"/>
      </w:pPr>
      <w:r>
        <w:t xml:space="preserve">II. Análisis técnico-jurídico</w:t>
      </w:r>
    </w:p>
    <w:p>
      <w:pPr>
        <w:numPr>
          <w:ilvl w:val="0"/>
          <w:numId w:val="1002"/>
        </w:numPr>
      </w:pPr>
      <w:r>
        <w:t xml:space="preserve">Producto en estudio: Semirremolque de 27 toneladas (aprox. 14 m de largo x 4.4 m de alto), adaptado como cine móvil, transformable in situ en sala de proyección; contiene instalaciones eléctricas fijas, aire acondicionado, 100 asientos fijos y una pantalla; incluye altavoces atornillados a las paredes interiores; proyector de video desacoplado, que durante su uso se coloca sobre mesa o trípode.</w:t>
      </w:r>
    </w:p>
    <w:p>
      <w:pPr>
        <w:numPr>
          <w:ilvl w:val="0"/>
          <w:numId w:val="1002"/>
        </w:numPr>
      </w:pPr>
      <w:r>
        <w:t xml:space="preserve">Determinación de capítulo (RGI 1):</w:t>
      </w:r>
      <w:r>
        <w:t xml:space="preserve"> </w:t>
      </w:r>
      <w:r>
        <w:t xml:space="preserve">• El producto es un semirremolque incapaz de autopropulsión; conforme a la NESA del Capítulo 87, tales vehículos no autopropulsados que deben ser remolcados son “remolques” de la partida 87.16.</w:t>
      </w:r>
      <w:r>
        <w:t xml:space="preserve"> </w:t>
      </w:r>
      <w:r>
        <w:t xml:space="preserve">• La partida 87.16 cubre expresamente “Remolques y semirremolques para cualquier vehículo; los demás vehículos no automóviles; sus partes”. Por su naturaleza y construcción, la mercancía cumple el texto de esta partida.</w:t>
      </w:r>
    </w:p>
    <w:p>
      <w:pPr>
        <w:numPr>
          <w:ilvl w:val="0"/>
          <w:numId w:val="1002"/>
        </w:numPr>
      </w:pPr>
      <w:r>
        <w:t xml:space="preserve">Ruta partida/subpartida (RGI 1 y 6):</w:t>
      </w:r>
      <w:r>
        <w:t xml:space="preserve"> </w:t>
      </w:r>
      <w:r>
        <w:t xml:space="preserve">• Dentro de la partida 87.16:</w:t>
      </w:r>
      <w:r>
        <w:t xml:space="preserve"> </w:t>
      </w:r>
      <w:r>
        <w:t xml:space="preserve">– No 8716.10: no es del tipo caravana para vivienda o acampar; su propósito es cine público, no alojamiento/acampar (texto de 8716.10).</w:t>
      </w:r>
      <w:r>
        <w:t xml:space="preserve"> </w:t>
      </w:r>
      <w:r>
        <w:t xml:space="preserve">– No 8716.20: no es un remolque agrícola autocargador/autodescargador (texto de 8716.20).</w:t>
      </w:r>
      <w:r>
        <w:t xml:space="preserve"> </w:t>
      </w:r>
      <w:r>
        <w:t xml:space="preserve">– No 8716.31/8716.39: ambas corresponden a “remolques y semirremolques para transporte de mercancías” (incluidas cisternas y otros tipos para carga). El objeto no está diseñado principalmente para transportar mercancías; sus accesorios fijos de auditorio (100 asientos, pantalla, A/A, eléctrica) revelan una función especializada, no de carga, como requieren estas subpartidas.</w:t>
      </w:r>
      <w:r>
        <w:t xml:space="preserve"> </w:t>
      </w:r>
      <w:r>
        <w:t xml:space="preserve">– En consecuencia, corresponde a 8716.40 “Los demás remolques y semirremolques”.</w:t>
      </w:r>
    </w:p>
    <w:p>
      <w:pPr>
        <w:numPr>
          <w:ilvl w:val="0"/>
          <w:numId w:val="1002"/>
        </w:numPr>
      </w:pPr>
      <w:r>
        <w:t xml:space="preserve">Razonamiento complementario (RGI 3 b) solo en lo alternativo):</w:t>
      </w:r>
      <w:r>
        <w:t xml:space="preserve"> </w:t>
      </w:r>
      <w:r>
        <w:t xml:space="preserve">• Aun si se considerara un conjunto de remolque con otros equipos (asientos, A/A, altavoces, proyector), el carácter esencial lo confiere la estructura del semirremolque (chasis/caja), que determina la naturaleza y uso (recinto móvil). El proyector es removible y los altavoces son simples accesorios; los elementos del auditorio no alteran la naturaleza esencial como semirremolque. Por tanto, la clasificación seguiría siendo la subpartida del semirremolque con base en la RGI 3 b), de estimarse insuficiente la RGI 1.</w:t>
      </w:r>
    </w:p>
    <w:p>
      <w:pPr>
        <w:pStyle w:val="FirstParagraph"/>
      </w:pPr>
      <w:r>
        <w:t xml:space="preserve">III. Exclusión de partidas o capítulos alternativos (limitado a Capítulos 87 y 94)</w:t>
      </w:r>
    </w:p>
    <w:p>
      <w:pPr>
        <w:numPr>
          <w:ilvl w:val="0"/>
          <w:numId w:val="1003"/>
        </w:numPr>
      </w:pPr>
      <w:r>
        <w:t xml:space="preserve">Dentro del Capítulo 87:</w:t>
      </w:r>
      <w:r>
        <w:t xml:space="preserve"> </w:t>
      </w:r>
      <w:r>
        <w:t xml:space="preserve">• 87.05 (vehículos automóviles para usos especiales): inaplicable por referirse a vehículos automóviles; la mercancía no es autopropulsada. La NESA para 87.05 define “vehículos automóviles para usos especiales” como automotores equipados permanentemente para realizar funciones distintas del transporte de personas o mercancías, lo que presupone vehículos motorizados, no remolques. El ámbito correcto para remolques es la partida 87.16 conforme a la Nota 14 citada.</w:t>
      </w:r>
      <w:r>
        <w:t xml:space="preserve"> </w:t>
      </w:r>
      <w:r>
        <w:t xml:space="preserve">• 8716.10: Excluida, no es del tipo caravana para vivienda/acampar.</w:t>
      </w:r>
      <w:r>
        <w:t xml:space="preserve"> </w:t>
      </w:r>
      <w:r>
        <w:t xml:space="preserve">• 8716.20: Excluida, no tiene función agrícola autocargadora/autodescargadora.</w:t>
      </w:r>
      <w:r>
        <w:t xml:space="preserve"> </w:t>
      </w:r>
      <w:r>
        <w:t xml:space="preserve">• 8716.31/8716.39: Excluidas por referirse explícitamente a “transporte de mercancías”, descripción incompatible con una sala de cine con equipamiento fijo.</w:t>
      </w:r>
      <w:r>
        <w:t xml:space="preserve"> </w:t>
      </w:r>
      <w:r>
        <w:t xml:space="preserve">• 8716.80: Excluida; cubre “los demás vehículos” no clasificables como remolques; nuestro producto es específicamente un semirremolque y, por tanto, corresponde al bloque 8716.1x–8716.4x, no a 8716.80.</w:t>
      </w:r>
    </w:p>
    <w:p>
      <w:pPr>
        <w:numPr>
          <w:ilvl w:val="0"/>
          <w:numId w:val="1003"/>
        </w:numPr>
      </w:pPr>
      <w:r>
        <w:t xml:space="preserve">Dentro del Capítulo 94:</w:t>
      </w:r>
      <w:r>
        <w:t xml:space="preserve"> </w:t>
      </w:r>
      <w:r>
        <w:t xml:space="preserve">• 94.06 (construcciones prefabricadas): Excluida. Las construcciones prefabricadas de la 94.06 son usualmente módulos diseñados para ensamblarse y constituir “construcciones permanentes”. El objeto es un semirremolque con ruedas, destinado a desplazarse y desplegarse temporalmente, no una construcción permanente; por ello, 94.06 no aplica.</w:t>
      </w:r>
      <w:r>
        <w:t xml:space="preserve"> </w:t>
      </w:r>
      <w:r>
        <w:t xml:space="preserve">• 94.01/94.03 (asientos/mobiliario): Excluidas. Estas partidas abarcan muebles diseñados para colocarse sobre el suelo; no absorben al vehículo. La presencia de asientos incorporados no cambia la clasificación del semirremolque ensamblado, que sigue rigiéndose por la partida 87.16 (RGI 1 y 6). Nota: “Los artículos (excepto las partes) de las partidas 94.01 a 94.03 deben estar diseñados para colocarlos sobre el suelo.”</w:t>
      </w:r>
      <w:r>
        <w:t xml:space="preserve"> </w:t>
      </w:r>
      <w:r>
        <w:t xml:space="preserve">• 94.05 (luminarias y proyectores): Excluida. La 94.05 cubre aparatos de alumbrado (incluidos ciertos proyectores) como bienes en sí; no aplica a un semirremolque que incidentalmente porta equipo de iluminación o proyección. La clasificación del remolque prevalece conforme a la RGI 1, y los elementos de iluminación/proyección no desplazan la clasificación del vehículo.</w:t>
      </w:r>
    </w:p>
    <w:p>
      <w:pPr>
        <w:numPr>
          <w:ilvl w:val="0"/>
          <w:numId w:val="1003"/>
        </w:numPr>
      </w:pPr>
      <w:r>
        <w:t xml:space="preserve">Nota especial sobre 8716.40 (según lo solicitado): Lejos de descartarse, 8716.40 es la subpartida idónea porque el producto es un semirremolque que no es caravana para vivienda/acampar (8716.10) ni remolque para transporte de mercancías (8716.31/8716.39). Por tanto, queda comprendido en “Los demás remolques y semirremolques” de 8716.40 (RGI 1 y 6).</w:t>
      </w:r>
    </w:p>
    <w:p>
      <w:pPr>
        <w:pStyle w:val="FirstParagraph"/>
      </w:pPr>
      <w:r>
        <w:t xml:space="preserve">IV. Requisitos documentales</w:t>
      </w:r>
      <w:r>
        <w:t xml:space="preserve"> </w:t>
      </w:r>
      <w:r>
        <w:t xml:space="preserve">Para sustentar y agilizar la determinación aduanera, el importador deberá proporcionar:</w:t>
      </w:r>
    </w:p>
    <w:p>
      <w:pPr>
        <w:numPr>
          <w:ilvl w:val="0"/>
          <w:numId w:val="1004"/>
        </w:numPr>
        <w:pStyle w:val="Compact"/>
      </w:pPr>
      <w:r>
        <w:t xml:space="preserve">Ficha técnica detallada y folleto del fabricante del semirremolque (dimensiones, pesos en vacío y bruto, tipo de acoplamiento, sistema de frenos).</w:t>
      </w:r>
    </w:p>
    <w:p>
      <w:pPr>
        <w:numPr>
          <w:ilvl w:val="0"/>
          <w:numId w:val="1004"/>
        </w:numPr>
        <w:pStyle w:val="Compact"/>
      </w:pPr>
      <w:r>
        <w:t xml:space="preserve">Fotografías y plano de distribución/interior que muestren los accesorios fijos (instalación eléctrica, unidades de A/A, anclaje de asientos, pantalla).</w:t>
      </w:r>
    </w:p>
    <w:p>
      <w:pPr>
        <w:numPr>
          <w:ilvl w:val="0"/>
          <w:numId w:val="1004"/>
        </w:numPr>
        <w:pStyle w:val="Compact"/>
      </w:pPr>
      <w:r>
        <w:t xml:space="preserve">Evidencia de homologación del remolque o identificación VIN/serie para remolques/semirremolques, en su caso.</w:t>
      </w:r>
    </w:p>
    <w:p>
      <w:pPr>
        <w:numPr>
          <w:ilvl w:val="0"/>
          <w:numId w:val="1004"/>
        </w:numPr>
        <w:pStyle w:val="Compact"/>
      </w:pPr>
      <w:r>
        <w:t xml:space="preserve">Manual de instalación o dictamen de ingeniería sobre la naturaleza fija de los accesorios del auditorio (asientos, cableado, A/A) y la naturaleza removible del proyector de video.</w:t>
      </w:r>
    </w:p>
    <w:p>
      <w:pPr>
        <w:numPr>
          <w:ilvl w:val="0"/>
          <w:numId w:val="1004"/>
        </w:numPr>
        <w:pStyle w:val="Compact"/>
      </w:pPr>
      <w:r>
        <w:t xml:space="preserve">Documentación de conversión/modificación que acredite su adaptación específica como cine móvil.</w:t>
      </w:r>
    </w:p>
    <w:p>
      <w:pPr>
        <w:pStyle w:val="FirstParagraph"/>
      </w:pPr>
      <w:r>
        <w:t xml:space="preserve">V. Conclusión</w:t>
      </w:r>
    </w:p>
    <w:p>
      <w:pPr>
        <w:numPr>
          <w:ilvl w:val="0"/>
          <w:numId w:val="1005"/>
        </w:numPr>
        <w:pStyle w:val="Compact"/>
      </w:pPr>
      <w:r>
        <w:t xml:space="preserve">Clasificación arancelaria propuesta (limitada a nivel de subpartida, según instrucción):</w:t>
      </w:r>
      <w:r>
        <w:t xml:space="preserve"> </w:t>
      </w:r>
      <w:r>
        <w:t xml:space="preserve">• Capítulo: 87</w:t>
      </w:r>
      <w:r>
        <w:t xml:space="preserve"> </w:t>
      </w:r>
      <w:r>
        <w:t xml:space="preserve">• Partida: 87.16 – Remolques y semirremolques para cualquier vehículo; los demás vehículos no automóviles; sus partes</w:t>
      </w:r>
      <w:r>
        <w:t xml:space="preserve"> </w:t>
      </w:r>
      <w:r>
        <w:t xml:space="preserve">• Subpartida: 8716.40 – Los demás remolques y semirremolques</w:t>
      </w:r>
      <w:r>
        <w:t xml:space="preserve"> </w:t>
      </w:r>
      <w:r>
        <w:t xml:space="preserve">• Fracción nacional: No determinada en este dictamen (el usuario solicitó clasificación solo hasta subpartida).</w:t>
      </w:r>
      <w:r>
        <w:t xml:space="preserve"> </w:t>
      </w:r>
      <w:r>
        <w:t xml:space="preserve">• NICO: No determinado en este dictamen (clasificación proporcionada solo hasta subpartida).</w:t>
      </w:r>
    </w:p>
    <w:p>
      <w:pPr>
        <w:pStyle w:val="FirstParagraph"/>
      </w:pPr>
      <w:r>
        <w:t xml:space="preserve">Resolución: Al amparo de las RGI 1 y 6, y de las notas legales pertinentes, el semirremolque cine-móvil descrito se clasifica en la subpartida 8716.40. Esta conclusión se deriva del alcance expreso de la partida 87.16 y de la exclusión de las subpartidas para caravanas (8716.10) y remolques para transporte de mercancías (8716.31/8716.39). Los accesorios del auditorio no alteran la naturaleza esencial como semirremolque; por lo tanto, aplica 8716.40.</w:t>
      </w:r>
    </w:p>
    <w:bookmarkEnd w:id="22"/>
    <w:bookmarkStart w:id="23" w:name="notas"/>
    <w:p>
      <w:pPr>
        <w:pStyle w:val="Heading3"/>
      </w:pPr>
      <w:r>
        <w:t xml:space="preserve">NOTAS:</w:t>
      </w:r>
    </w:p>
    <w:p>
      <w:r>
        <w:pict>
          <v:rect style="width:0;height:1.5pt" o:hralign="center" o:hrstd="t" o:hr="t"/>
        </w:pict>
      </w:r>
    </w:p>
    <w:bookmarkEnd w:id="23"/>
    <w:bookmarkStart w:id="24" w:name="documentación-consultada"/>
    <w:p>
      <w:pPr>
        <w:pStyle w:val="Heading3"/>
      </w:pPr>
      <w:r>
        <w:t xml:space="preserve">Documentación consultada</w:t>
      </w:r>
    </w:p>
    <w:p>
      <w:pPr>
        <w:numPr>
          <w:ilvl w:val="0"/>
          <w:numId w:val="1006"/>
        </w:numPr>
        <w:pStyle w:val="Compact"/>
      </w:pPr>
      <w:r>
        <w:t xml:space="preserve">Referencias: Ley de los Impuestos Generales de Importación y de Exportación</w:t>
      </w:r>
    </w:p>
    <w:p>
      <w:pPr>
        <w:numPr>
          <w:ilvl w:val="0"/>
          <w:numId w:val="1006"/>
        </w:numPr>
        <w:pStyle w:val="Compact"/>
      </w:pPr>
      <w:r>
        <w:t xml:space="preserve">Versión LIGIE: 7ma Enmienda del Sistema Armonizado</w:t>
      </w:r>
    </w:p>
    <w:p>
      <w:pPr>
        <w:numPr>
          <w:ilvl w:val="0"/>
          <w:numId w:val="1006"/>
        </w:numPr>
        <w:pStyle w:val="Compact"/>
      </w:pPr>
      <w:r>
        <w:t xml:space="preserve">Archivo: LIGIE-UNIFICADA-LIGIE_20250728-20250728.pdf</w:t>
      </w:r>
    </w:p>
    <w:p>
      <w:pPr>
        <w:numPr>
          <w:ilvl w:val="0"/>
          <w:numId w:val="1006"/>
        </w:numPr>
        <w:pStyle w:val="Compact"/>
      </w:pPr>
      <w:r>
        <w:t xml:space="preserve">DOF: con actualizaciones al 30 de agosto de 2025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Disclaimer:</w:t>
      </w:r>
    </w:p>
    <w:p>
      <w:pPr>
        <w:pStyle w:val="BodyText"/>
      </w:pPr>
      <w:r>
        <w:t xml:space="preserve">Este reporte tiene fines únicamente informativos y sirve como apoyo al proceso de clasificación arancelaria mexicana. No sustituye el criterio técnico ni la revisión de un especialista.</w:t>
      </w:r>
    </w:p>
    <w:bookmarkEnd w:id="24"/>
    <w:bookmarkEnd w:id="25"/>
    <w:sectPr w:rsidR="00281319" w:rsidRPr="00281319" w:rsidSect="0007423B">
      <w:headerReference r:id="rId10" w:type="even"/>
      <w:headerReference r:id="rId9" w:type="default"/>
      <w:footerReference r:id="rId12" w:type="even"/>
      <w:footerReference r:id="rId14" w:type="default"/>
      <w:headerReference r:id="rId11" w:type="first"/>
      <w:footerReference r:id="rId13" w:type="first"/>
      <w:pgSz w:h="15840" w:w="12240"/>
      <w:pgMar w:bottom="1440" w:footer="708" w:gutter="0" w:header="708" w:left="1440" w:right="1440" w:top="1440"/>
      <w:lnNumType w:countBy="1" w:restart="continuous"/>
      <w:cols w:space="708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849416917"/>
      <w:docPartObj>
        <w:docPartGallery w:val="Page Numbers (Bottom of Page)"/>
        <w:docPartUnique/>
      </w:docPartObj>
    </w:sdtPr>
    <w:sdtContent>
      <w:p w14:paraId="4AD69DEA" w14:textId="77777777" w:rsidR="0007423B" w:rsidRDefault="0007423B" w:rsidP="006D0F7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2674E5D6" w14:textId="77777777" w:rsidR="004A333F" w:rsidRDefault="004A333F" w:rsidP="0007423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22850733"/>
      <w:docPartObj>
        <w:docPartGallery w:val="Page Numbers (Bottom of Page)"/>
        <w:docPartUnique/>
      </w:docPartObj>
    </w:sdtPr>
    <w:sdtContent>
      <w:p w14:paraId="7E26DDB2" w14:textId="77777777" w:rsidR="0007423B" w:rsidRDefault="0007423B" w:rsidP="006D0F7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413F0EC" w14:textId="3947DEE2" w:rsidR="00B35C31" w:rsidRPr="0007423B" w:rsidRDefault="00B35C31" w:rsidP="0007423B">
    <w:pPr>
      <w:pStyle w:val="Footer"/>
      <w:ind w:right="360"/>
      <w:rPr>
        <w:sz w:val="22"/>
        <w:szCs w:val="22"/>
      </w:rPr>
    </w:pPr>
    <w:hyperlink r:id="rId1" w:history="1">
      <w:r w:rsidRPr="0007423B">
        <w:rPr>
          <w:rStyle w:val="Hyperlink"/>
          <w:sz w:val="22"/>
          <w:szCs w:val="22"/>
        </w:rPr>
        <w:t>www.clasifai.me</w:t>
      </w:r>
    </w:hyperlink>
    <w:r w:rsidRPr="0007423B">
      <w:rPr>
        <w:sz w:val="22"/>
        <w:szCs w:val="22"/>
      </w:rPr>
      <w:t xml:space="preserve">                                                                                                                        </w:t>
    </w:r>
  </w:p>
  <w:p w14:paraId="7C0E5FED" w14:textId="77777777" w:rsidR="004A333F" w:rsidRDefault="004A333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D3313" w14:textId="77777777" w:rsidR="004A333F" w:rsidRDefault="004A333F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BB4A2" w14:textId="77777777" w:rsidR="004A333F" w:rsidRDefault="004A33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58D36" w14:textId="77777777" w:rsidR="00540440" w:rsidRDefault="00540440">
    <w:pPr>
      <w:pStyle w:val="Header"/>
    </w:pPr>
    <w:r>
      <w:rPr>
        <w:noProof/>
      </w:rPr>
      <w:drawing>
        <wp:inline distT="0" distB="0" distL="0" distR="0" wp14:anchorId="539C8D33" wp14:editId="37E1B0B3">
          <wp:extent cx="1702051" cy="548438"/>
          <wp:effectExtent l="0" t="0" r="0" b="0"/>
          <wp:docPr id="1335496474" name="Picture 2" descr="A blue and black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5496474" name="Picture 2" descr="A blue and black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4572" cy="5653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F271AF2" w14:textId="77777777" w:rsidR="009E1F74" w:rsidRDefault="009E1F74">
    <w:pPr>
      <w:pStyle w:val="Header"/>
      <w:rPr>
        <w:color w:val="595959" w:themeColor="text1" w:themeTint="A6"/>
      </w:rPr>
    </w:pPr>
    <w:r w:rsidRPr="005F0E2A">
      <w:rPr>
        <w:color w:val="595959" w:themeColor="text1" w:themeTint="A6"/>
      </w:rPr>
      <w:t xml:space="preserve">Sistema de </w:t>
    </w:r>
    <w:r w:rsidR="009A2204" w:rsidRPr="005F0E2A">
      <w:rPr>
        <w:color w:val="595959" w:themeColor="text1" w:themeTint="A6"/>
      </w:rPr>
      <w:t>a</w:t>
    </w:r>
    <w:r w:rsidRPr="005F0E2A">
      <w:rPr>
        <w:color w:val="595959" w:themeColor="text1" w:themeTint="A6"/>
      </w:rPr>
      <w:t>poyo a la clasificación arancelaria</w:t>
    </w:r>
  </w:p>
  <w:p w14:paraId="2A4196F3" w14:textId="77777777" w:rsidR="004A333F" w:rsidRPr="005F0E2A" w:rsidRDefault="004A333F">
    <w:pPr>
      <w:pStyle w:val="Header"/>
      <w:rPr>
        <w:color w:val="595959" w:themeColor="text1" w:themeTint="A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A3572" w14:textId="77777777" w:rsidR="004A333F" w:rsidRDefault="004A333F">
    <w:pPr>
      <w:pStyle w:val="Header"/>
    </w:pPr>
  </w:p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ea454b4c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90"/>
  <w:embedSystemFonts/>
  <w:proofState w:grammar="clean" w:spelling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  <w:proofState w:grammar="clean" w:spelling="clean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cstheme="minorBidi" w:eastAsiaTheme="minorEastAsia" w:hAnsiTheme="minorHAnsi"/>
        <w:kern w:val="2"/>
        <w:sz w:val="24"/>
        <w:szCs w:val="24"/>
        <w:lang w:bidi="ar-SA" w:eastAsia="zh-CN" w:val="en-MX"/>
        <w14:ligatures w14:val="standardContextual"/>
      </w:rPr>
    </w:rPrDefault>
    <w:pPrDefault>
      <w:pPr>
        <w:spacing w:after="160" w:line="278" w:lineRule="auto"/>
      </w:pPr>
    </w:pPrDefault>
  </w:docDefaults>
  <w:latentStyles w:count="376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CE6B9F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Normal"/>
    <w:link w:val="Heading2Char"/>
    <w:uiPriority w:val="9"/>
    <w:semiHidden/>
    <w:unhideWhenUsed/>
    <w:qFormat/>
    <w:rsid w:val="00CE6B9F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Normal"/>
    <w:link w:val="Heading3Char"/>
    <w:uiPriority w:val="9"/>
    <w:semiHidden/>
    <w:unhideWhenUsed/>
    <w:qFormat/>
    <w:rsid w:val="00CE6B9F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CE6B9F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CE6B9F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CE6B9F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CE6B9F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CE6B9F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CE6B9F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CE6B9F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CE6B9F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CE6B9F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CE6B9F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CE6B9F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CE6B9F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CE6B9F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CE6B9F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CE6B9F"/>
    <w:rPr>
      <w:rFonts w:cstheme="majorBidi" w:eastAsiaTheme="majorEastAsia"/>
      <w:color w:themeColor="text1" w:themeTint="D8" w:val="272727"/>
    </w:rPr>
  </w:style>
  <w:style w:styleId="Title" w:type="paragraph">
    <w:name w:val="Title"/>
    <w:basedOn w:val="Normal"/>
    <w:next w:val="Normal"/>
    <w:link w:val="TitleChar"/>
    <w:uiPriority w:val="10"/>
    <w:qFormat/>
    <w:rsid w:val="00CE6B9F"/>
    <w:pPr>
      <w:spacing w:after="80" w:line="240" w:lineRule="auto"/>
      <w:contextualSpacing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CE6B9F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Normal"/>
    <w:next w:val="Normal"/>
    <w:link w:val="SubtitleChar"/>
    <w:uiPriority w:val="11"/>
    <w:qFormat/>
    <w:rsid w:val="00CE6B9F"/>
    <w:pPr>
      <w:numPr>
        <w:ilvl w:val="1"/>
      </w:numPr>
    </w:pPr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CE6B9F"/>
    <w:rPr>
      <w:rFonts w:cstheme="majorBidi" w:eastAsiaTheme="majorEastAsia"/>
      <w:color w:themeColor="text1" w:themeTint="A6" w:val="595959"/>
      <w:spacing w:val="15"/>
      <w:sz w:val="28"/>
      <w:szCs w:val="28"/>
    </w:rPr>
  </w:style>
  <w:style w:styleId="Quote" w:type="paragraph">
    <w:name w:val="Quote"/>
    <w:basedOn w:val="Normal"/>
    <w:next w:val="Normal"/>
    <w:link w:val="QuoteChar"/>
    <w:uiPriority w:val="29"/>
    <w:qFormat/>
    <w:rsid w:val="00CE6B9F"/>
    <w:pPr>
      <w:spacing w:before="160"/>
      <w:jc w:val="center"/>
    </w:pPr>
    <w:rPr>
      <w:i/>
      <w:iCs/>
      <w:color w:themeColor="text1" w:themeTint="BF" w:val="404040"/>
    </w:rPr>
  </w:style>
  <w:style w:customStyle="1" w:styleId="QuoteChar" w:type="character">
    <w:name w:val="Quote Char"/>
    <w:basedOn w:val="DefaultParagraphFont"/>
    <w:link w:val="Quote"/>
    <w:uiPriority w:val="29"/>
    <w:rsid w:val="00CE6B9F"/>
    <w:rPr>
      <w:i/>
      <w:iCs/>
      <w:color w:themeColor="text1" w:themeTint="BF" w:val="404040"/>
    </w:rPr>
  </w:style>
  <w:style w:styleId="ListParagraph" w:type="paragraph">
    <w:name w:val="List Paragraph"/>
    <w:basedOn w:val="Normal"/>
    <w:uiPriority w:val="34"/>
    <w:qFormat/>
    <w:rsid w:val="00CE6B9F"/>
    <w:pPr>
      <w:ind w:left="720"/>
      <w:contextualSpacing/>
    </w:pPr>
  </w:style>
  <w:style w:styleId="IntenseEmphasis" w:type="character">
    <w:name w:val="Intense Emphasis"/>
    <w:basedOn w:val="DefaultParagraphFont"/>
    <w:uiPriority w:val="21"/>
    <w:qFormat/>
    <w:rsid w:val="00CE6B9F"/>
    <w:rPr>
      <w:i/>
      <w:iCs/>
      <w:color w:themeColor="accent1" w:themeShade="BF" w:val="0F4761"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CE6B9F"/>
    <w:pPr>
      <w:pBdr>
        <w:top w:color="0F4761" w:space="10" w:sz="4" w:themeColor="accent1" w:themeShade="BF" w:val="single"/>
        <w:bottom w:color="0F4761" w:space="10" w:sz="4" w:themeColor="accent1" w:themeShade="BF" w:val="single"/>
      </w:pBdr>
      <w:spacing w:after="360" w:before="360"/>
      <w:ind w:left="864" w:right="864"/>
      <w:jc w:val="center"/>
    </w:pPr>
    <w:rPr>
      <w:i/>
      <w:iCs/>
      <w:color w:themeColor="accent1" w:themeShade="BF" w:val="0F4761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CE6B9F"/>
    <w:rPr>
      <w:i/>
      <w:iCs/>
      <w:color w:themeColor="accent1" w:themeShade="BF" w:val="0F4761"/>
    </w:rPr>
  </w:style>
  <w:style w:styleId="IntenseReference" w:type="character">
    <w:name w:val="Intense Reference"/>
    <w:basedOn w:val="DefaultParagraphFont"/>
    <w:uiPriority w:val="32"/>
    <w:qFormat/>
    <w:rsid w:val="00CE6B9F"/>
    <w:rPr>
      <w:b/>
      <w:bCs/>
      <w:smallCaps/>
      <w:color w:themeColor="accent1" w:themeShade="BF" w:val="0F4761"/>
      <w:spacing w:val="5"/>
    </w:rPr>
  </w:style>
  <w:style w:styleId="Header" w:type="paragraph">
    <w:name w:val="header"/>
    <w:basedOn w:val="Normal"/>
    <w:link w:val="HeaderChar"/>
    <w:uiPriority w:val="99"/>
    <w:unhideWhenUsed/>
    <w:rsid w:val="00540440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540440"/>
  </w:style>
  <w:style w:styleId="Footer" w:type="paragraph">
    <w:name w:val="footer"/>
    <w:basedOn w:val="Normal"/>
    <w:link w:val="FooterChar"/>
    <w:uiPriority w:val="99"/>
    <w:unhideWhenUsed/>
    <w:rsid w:val="00540440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540440"/>
  </w:style>
  <w:style w:styleId="Hyperlink" w:type="character">
    <w:name w:val="Hyperlink"/>
    <w:basedOn w:val="DefaultParagraphFont"/>
    <w:uiPriority w:val="99"/>
    <w:unhideWhenUsed/>
    <w:rsid w:val="00B35C31"/>
    <w:rPr>
      <w:color w:themeColor="hyperlink" w:val="467886"/>
      <w:u w:val="single"/>
    </w:rPr>
  </w:style>
  <w:style w:styleId="PageNumber" w:type="character">
    <w:name w:val="page number"/>
    <w:basedOn w:val="DefaultParagraphFont"/>
    <w:uiPriority w:val="99"/>
    <w:semiHidden/>
    <w:unhideWhenUsed/>
    <w:rsid w:val="0007423B"/>
  </w:style>
  <w:style w:styleId="LineNumber" w:type="character">
    <w:name w:val="line number"/>
    <w:basedOn w:val="DefaultParagraphFont"/>
    <w:uiPriority w:val="99"/>
    <w:semiHidden/>
    <w:unhideWhenUsed/>
    <w:rsid w:val="0007423B"/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2.xml" Type="http://schemas.openxmlformats.org/officeDocument/2006/relationships/header" /><Relationship Id="rId10" Target="header1.xml" Type="http://schemas.openxmlformats.org/officeDocument/2006/relationships/header" /><Relationship Id="rId11" Target="header3.xml" Type="http://schemas.openxmlformats.org/officeDocument/2006/relationships/header" /><Relationship Id="rId12" Target="footer1.xml" Type="http://schemas.openxmlformats.org/officeDocument/2006/relationships/footer" /><Relationship Id="rId13" Target="footer3.xml" Type="http://schemas.openxmlformats.org/officeDocument/2006/relationships/footer" /><Relationship Id="rId14" Target="footer2.xml" Type="http://schemas.openxmlformats.org/officeDocument/2006/relationships/footer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lasifai.me" TargetMode="External"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Doc4.dotx</Template>
  <TotalTime>0</TotalTime>
  <Pages>2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2025-09-16T02:00:17Z</dcterms:created>
  <dcterms:modified xsi:type="dcterms:W3CDTF">2025-09-16T02:00:17Z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