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12:52:34</w:t>
      </w:r>
    </w:p>
    <w:p>
      <w:pPr>
        <w:pStyle w:val="BodyText"/>
      </w:pPr>
      <w:r>
        <w:t xml:space="preserve">Cuenta: Ver18-b</w:t>
      </w:r>
    </w:p>
    <w:p>
      <w:pPr>
        <w:pStyle w:val="BodyText"/>
      </w:pPr>
      <w:r>
        <w:t xml:space="preserve">Usuario: cmhs</w:t>
      </w:r>
    </w:p>
    <w:p>
      <w:pPr>
        <w:pStyle w:val="BodyText"/>
      </w:pPr>
      <w:r>
        <w:t xml:space="preserve">ITEM: Producto denominado “tejidos 2 x 2”; es una construcción textil en la que dos hilos de la urdimbre, de 100% algodón, pasan alternadamente por encima y por debajo de dos hilos sucesivos de la trama (180 g/m_), un tejido 2 x 2.</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52</w:t>
            </w:r>
          </w:p>
        </w:tc>
        <w:tc>
          <w:p>
            <w:pPr>
              <w:pStyle w:val="Compact"/>
              <w:jc w:val="left"/>
            </w:pPr>
            <w:r>
              <w:t xml:space="preserve">Por la RGI 1, la clasificación se determina conforme al texto de la partida y las notas legales; el Capítulo 52 abarca el algodón. Dentro de él, la partida 52.08 cubre expresamente los tejidos de algodón (≥85% algodón) de peso ≤200 g/m², coincidiendo con 100% algodón a 180 g/m², lo cual es más específico que la partida residual “los demás tejidos de algodón” (52.12) según la RGI 3(a).</w:t>
            </w:r>
          </w:p>
        </w:tc>
      </w:tr>
      <w:tr>
        <w:tc>
          <w:p>
            <w:pPr>
              <w:pStyle w:val="Compact"/>
              <w:jc w:val="right"/>
            </w:pPr>
            <w:r>
              <w:rPr>
                <w:bCs/>
                <w:b/>
              </w:rPr>
              <w:t xml:space="preserve">58</w:t>
            </w:r>
          </w:p>
        </w:tc>
        <w:tc>
          <w:p>
            <w:pPr>
              <w:pStyle w:val="Compact"/>
              <w:jc w:val="left"/>
            </w:pPr>
            <w:r>
              <w:t xml:space="preserve">El Capítulo 58 corresponde a tejidos especiales (p. ej., cintas, encajes, bordados, tapicerías), no a tejidos ordinarios de algodón; la descripción del artículo no concuerda con esos textos, por lo que, conforme a la RGI 1, se excluye en favor del Capítulo 52.</w:t>
            </w:r>
          </w:p>
        </w:tc>
      </w:tr>
      <w:tr>
        <w:tc>
          <w:p>
            <w:pPr>
              <w:pStyle w:val="Compact"/>
              <w:jc w:val="right"/>
            </w:pPr>
            <w:r>
              <w:rPr>
                <w:bCs/>
                <w:b/>
              </w:rPr>
              <w:t xml:space="preserve">59</w:t>
            </w:r>
          </w:p>
        </w:tc>
        <w:tc>
          <w:p>
            <w:pPr>
              <w:pStyle w:val="Compact"/>
              <w:jc w:val="left"/>
            </w:pPr>
            <w:r>
              <w:t xml:space="preserve">El Capítulo 59 comprende tejidos impregnados, recubiertos, revestidos o estratificados (p. ej., 59.03); a falta de tal tratamiento (y si el recubrimiento no es visible, los tejidos permanecen en los Capítulos 50–55), por RGI 1 se excluye esta alternativa para el tejido de algodón descrito.</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 General de Interpretación (RGI) 1: “Los títulos de las Secciones, de los Capítulos o de los Subcapítulos solo tienen un valor indicativo, ya que la clasificación está determinada legalmente por los textos de las partidas y de las Notas de Sección o de Capítulo y, si no son contrarias a los textos de dichas partidas y Notas, de acuerdo con las reglas siguientes” .</w:t>
      </w:r>
    </w:p>
    <w:p>
      <w:pPr>
        <w:numPr>
          <w:ilvl w:val="0"/>
          <w:numId w:val="1001"/>
        </w:numPr>
        <w:pStyle w:val="Compact"/>
      </w:pPr>
      <w:r>
        <w:t xml:space="preserve">RGI 3(a): “La partida con descripción más específica tendrá prioridad sobre las partidas de alcance más genérico” .</w:t>
      </w:r>
    </w:p>
    <w:p>
      <w:pPr>
        <w:numPr>
          <w:ilvl w:val="0"/>
          <w:numId w:val="1001"/>
        </w:numPr>
        <w:pStyle w:val="Compact"/>
      </w:pPr>
      <w:r>
        <w:t xml:space="preserve">RGI 3(b): Cuando la 3(a) no resuelva, la mercancía “se clasificará según la materia o con el artículo que les confiera su carácter esencial, si fuera posible determinarlo” .</w:t>
      </w:r>
    </w:p>
    <w:p>
      <w:pPr>
        <w:numPr>
          <w:ilvl w:val="0"/>
          <w:numId w:val="1001"/>
        </w:numPr>
        <w:pStyle w:val="Compact"/>
      </w:pPr>
      <w:r>
        <w:t xml:space="preserve">RGI 6: “La clasificación de mercancías en las subpartidas de una misma partida está determinada legalmente por los textos de estas subpartidas y de las Notas de subpartida así como, mutatis mutandis, por las Reglas anteriores, bien entendido que solo pueden compararse subpartidas del mismo nivel. A efecto de esta Regla, también se aplican las Notas de Sección y de Capítulo, salvo disposición en contrario” .</w:t>
      </w:r>
    </w:p>
    <w:p>
      <w:pPr>
        <w:numPr>
          <w:ilvl w:val="0"/>
          <w:numId w:val="1001"/>
        </w:numPr>
        <w:pStyle w:val="Compact"/>
      </w:pPr>
      <w:r>
        <w:t xml:space="preserve">Capítulo 52 (Algodón): Partida 52.08: “Tejidos de algodón con un contenido de algodón superior o igual al 85% en peso, de peso inferior o igual a 200 g/m²” .</w:t>
      </w:r>
    </w:p>
    <w:p>
      <w:pPr>
        <w:numPr>
          <w:ilvl w:val="0"/>
          <w:numId w:val="1001"/>
        </w:numPr>
        <w:pStyle w:val="Compact"/>
      </w:pPr>
      <w:r>
        <w:t xml:space="preserve">Estructura de la 52.08 por estado/acabado:</w:t>
      </w:r>
    </w:p>
    <w:p>
      <w:pPr>
        <w:numPr>
          <w:ilvl w:val="1"/>
          <w:numId w:val="1002"/>
        </w:numPr>
        <w:pStyle w:val="Compact"/>
      </w:pPr>
      <w:r>
        <w:t xml:space="preserve">Crudos: “Los demás tejidos” 5208.19 .</w:t>
      </w:r>
    </w:p>
    <w:p>
      <w:pPr>
        <w:numPr>
          <w:ilvl w:val="1"/>
          <w:numId w:val="1002"/>
        </w:numPr>
        <w:pStyle w:val="Compact"/>
      </w:pPr>
      <w:r>
        <w:t xml:space="preserve">Blanqueados: “Los demás tejidos” 5208.29 .</w:t>
      </w:r>
    </w:p>
    <w:p>
      <w:pPr>
        <w:numPr>
          <w:ilvl w:val="1"/>
          <w:numId w:val="1002"/>
        </w:numPr>
        <w:pStyle w:val="Compact"/>
      </w:pPr>
      <w:r>
        <w:t xml:space="preserve">Teñidos: “Los demás tejidos” 5208.39 .</w:t>
      </w:r>
    </w:p>
    <w:p>
      <w:pPr>
        <w:numPr>
          <w:ilvl w:val="1"/>
          <w:numId w:val="1002"/>
        </w:numPr>
        <w:pStyle w:val="Compact"/>
      </w:pPr>
      <w:r>
        <w:t xml:space="preserve">Con hilados de distintos colores: “Los demás tejidos” 5208.49 .</w:t>
      </w:r>
    </w:p>
    <w:p>
      <w:pPr>
        <w:numPr>
          <w:ilvl w:val="1"/>
          <w:numId w:val="1002"/>
        </w:numPr>
        <w:pStyle w:val="Compact"/>
      </w:pPr>
      <w:r>
        <w:t xml:space="preserve">Estampados: “Los demás tejidos” 5208.59 .</w:t>
      </w:r>
    </w:p>
    <w:p>
      <w:pPr>
        <w:numPr>
          <w:ilvl w:val="0"/>
          <w:numId w:val="1001"/>
        </w:numPr>
        <w:pStyle w:val="Compact"/>
      </w:pPr>
      <w:r>
        <w:t xml:space="preserve">Capítulo 58 (Tejidos especiales): el Capítulo comprende tejidos especiales (terciopelos/felpas y chenilla 58.01; toallas con bucles y superficies con mechón 58.02; gasa de vuelta 58.03; tules/encajes 58.04; cintas 58.06; etc.) según sus Notas y partidas, no la generalidad de los tejidos de algodón comunes .</w:t>
      </w:r>
    </w:p>
    <w:p>
      <w:pPr>
        <w:pStyle w:val="FirstParagraph"/>
      </w:pPr>
      <w:r>
        <w:t xml:space="preserve">II. Análisis jurídico-técnico</w:t>
      </w:r>
      <w:r>
        <w:t xml:space="preserve"> </w:t>
      </w:r>
      <w:r>
        <w:t xml:space="preserve">Objeto: “2 x 2 fabrics”, tejido en el que dos hilos de urdimbre (100% algodón) pasan alternadamente por encima y por debajo de dos hilos consecutivos de trama; peso: 180 g/m².</w:t>
      </w:r>
    </w:p>
    <w:p>
      <w:pPr>
        <w:numPr>
          <w:ilvl w:val="0"/>
          <w:numId w:val="1003"/>
        </w:numPr>
        <w:pStyle w:val="Compact"/>
      </w:pPr>
      <w:r>
        <w:t xml:space="preserve">Capítulo aplicable</w:t>
      </w:r>
    </w:p>
    <w:p>
      <w:pPr>
        <w:numPr>
          <w:ilvl w:val="0"/>
          <w:numId w:val="1004"/>
        </w:numPr>
        <w:pStyle w:val="Compact"/>
      </w:pPr>
      <w:r>
        <w:t xml:space="preserve">Por RGI 1, la clasificación se determina por el texto legal. El producto es un tejido de algodón (100%) con peso 180 g/m² (≤ 200 g/m²). En consecuencia, se ubica en la partida 52.08: “Tejidos de algodón… de peso inferior o igual a 200 g/m²” .</w:t>
      </w:r>
    </w:p>
    <w:p>
      <w:pPr>
        <w:numPr>
          <w:ilvl w:val="0"/>
          <w:numId w:val="1005"/>
        </w:numPr>
        <w:pStyle w:val="Compact"/>
      </w:pPr>
      <w:r>
        <w:t xml:space="preserve">Partida → Subpartida</w:t>
      </w:r>
    </w:p>
    <w:p>
      <w:pPr>
        <w:numPr>
          <w:ilvl w:val="0"/>
          <w:numId w:val="1006"/>
        </w:numPr>
        <w:pStyle w:val="Compact"/>
      </w:pPr>
      <w:r>
        <w:t xml:space="preserve">RGI 6 obliga a comparar subpartidas del mismo nivel conforme a su texto. La 52.08 se subdivide por estado/acabado y, dentro de algunos grupos, por ligamento (tafetán o sarga) y por “los demás tejidos”. En el expediente no consta que el tejido sea de ligamento tafetán ni de ligamento sarga; únicamente se describe la construcción “2 x 2” y el gramaje.</w:t>
      </w:r>
    </w:p>
    <w:p>
      <w:pPr>
        <w:numPr>
          <w:ilvl w:val="0"/>
          <w:numId w:val="1006"/>
        </w:numPr>
        <w:pStyle w:val="Compact"/>
      </w:pPr>
      <w:r>
        <w:t xml:space="preserve">Por RGI 1 y 6, al no acreditarse ligamento tafetán (52.08.11/12/21/22/31/32/41/42/51/52) ni sarga (52.08.13/23/33/43/…) se atiende a las subpartidas “Los demás tejidos” dentro del estado/acabado que corresponda: 5208.19 (crudos), 5208.29 (blanqueados), 5208.39 (teñidos), 5208.49 (con hilados de distintos colores) o 5208.59 (estampados) .</w:t>
      </w:r>
    </w:p>
    <w:p>
      <w:pPr>
        <w:numPr>
          <w:ilvl w:val="0"/>
          <w:numId w:val="1006"/>
        </w:numPr>
        <w:pStyle w:val="Compact"/>
      </w:pPr>
      <w:r>
        <w:t xml:space="preserve">Dado que el estado/acabado no se indicó en la solicitud, y RGI 6 exige resolver con el texto exacto de las subpartidas, la determinación se sujeta a condición (véase apartado IV y “Determinación condicionada”).</w:t>
      </w:r>
    </w:p>
    <w:p>
      <w:pPr>
        <w:pStyle w:val="FirstParagraph"/>
      </w:pPr>
      <w:r>
        <w:t xml:space="preserve">III. Exclusión de partidas o capítulos alternativos</w:t>
      </w:r>
      <w:r>
        <w:t xml:space="preserve"> </w:t>
      </w:r>
      <w:r>
        <w:t xml:space="preserve">A) Dentro del Cap. 52</w:t>
      </w:r>
    </w:p>
    <w:p>
      <w:pPr>
        <w:numPr>
          <w:ilvl w:val="0"/>
          <w:numId w:val="1007"/>
        </w:numPr>
        <w:pStyle w:val="Compact"/>
      </w:pPr>
      <w:r>
        <w:t xml:space="preserve">52.09 (tejidos de algodón &gt;200 g/m²): no procede, el peso acreditado es 180 g/m² (≤200 g/m²), por lo que la propia redacción de 52.09 la excluye y la 52.08 la comprende .</w:t>
      </w:r>
    </w:p>
    <w:p>
      <w:pPr>
        <w:numPr>
          <w:ilvl w:val="0"/>
          <w:numId w:val="1007"/>
        </w:numPr>
        <w:pStyle w:val="Compact"/>
      </w:pPr>
      <w:r>
        <w:t xml:space="preserve">52.10 y 52.11 (tejidos de algodón con contenido de algodón &lt;85% mezclado con fibras sintéticas o artificiales): no procede porque el bien es 100% algodón, mientras que dichas partidas exigen mezcla con fibras sintéticas o artificiales .</w:t>
      </w:r>
    </w:p>
    <w:p>
      <w:pPr>
        <w:numPr>
          <w:ilvl w:val="0"/>
          <w:numId w:val="1007"/>
        </w:numPr>
        <w:pStyle w:val="Compact"/>
      </w:pPr>
      <w:r>
        <w:t xml:space="preserve">Subpartidas “de ligamento tafetán” (p. ej., 5208.12) y “de ligamento sarga” (p. ej., 5208.13, 5208.23, 5208.33, 5208.43): no procede asignarlas sin prueba del ligamento específico; por RGI 1 y 6, el texto “de ligamento tafetán” o “de ligamento sarga” es requisito constitutivo para encuadrar allí, y no se acredita en el expediente, por lo que corresponden las líneas “Los demás tejidos” del grupo de acabado pertinente .</w:t>
      </w:r>
    </w:p>
    <w:p>
      <w:pPr>
        <w:pStyle w:val="FirstParagraph"/>
      </w:pPr>
      <w:r>
        <w:t xml:space="preserve">B) Capítulo 58 (tejidos especiales)</w:t>
      </w:r>
    </w:p>
    <w:p>
      <w:pPr>
        <w:numPr>
          <w:ilvl w:val="0"/>
          <w:numId w:val="1008"/>
        </w:numPr>
        <w:pStyle w:val="Compact"/>
      </w:pPr>
      <w:r>
        <w:t xml:space="preserve">No hay elementos que configuren terciopelo/felpa o chenilla (58.01), toalla con bucles o mechón insertado (58.02), gasa de vuelta (58.03), tules/encajes (58.04), cintas (58.06), bordados (58.10), ni acolchados (58.11). Las Notas del Capítulo 58 definen estos tejidos especiales y sus categorías, que no coinciden con la descripción del tejido de algodón 2 x 2 solicitado; por RGI 1, tales textos no amparan el bien y el Capítulo 52 es el específico para tejidos de algodón comunes de hasta 200 g/m² .</w:t>
      </w:r>
    </w:p>
    <w:p>
      <w:pPr>
        <w:pStyle w:val="FirstParagraph"/>
      </w:pPr>
      <w:r>
        <w:t xml:space="preserve">C) Descarte expreso de 5208.59 (si no se demuestra estampado)</w:t>
      </w:r>
    </w:p>
    <w:p>
      <w:pPr>
        <w:numPr>
          <w:ilvl w:val="0"/>
          <w:numId w:val="1009"/>
        </w:numPr>
        <w:pStyle w:val="Compact"/>
      </w:pPr>
      <w:r>
        <w:t xml:space="preserve">5208.59 pertenece al grupo “Estampados” y su texto es “Los demás tejidos” dentro de los estampados; por RGI 1 y 6, solo procede si el tejido está estampado. No existe constancia de estampado en la descripción técnica aportada, por lo que se descarta 5208.59 en ausencia de dicha característica . En este sentido, deben considerarse, en su caso, los otros grupos de acabado: “Crudos” 5208.19, “Blanqueados” 5208.29, “Teñidos” 5208.39 o “Con hilados de distintos colores” 5208.49, todos ellos “Los demás tejidos” cuando no son de ligamento tafetán ni sarga .</w:t>
      </w:r>
    </w:p>
    <w:p>
      <w:pPr>
        <w:pStyle w:val="FirstParagraph"/>
      </w:pPr>
      <w:r>
        <w:t xml:space="preserve">IV. Requisitos documentales</w:t>
      </w:r>
      <w:r>
        <w:t xml:space="preserve"> </w:t>
      </w:r>
      <w:r>
        <w:t xml:space="preserve">Para determinar con precisión la subpartida a seis dígitos (RGI 6), el importador deberá aportar:</w:t>
      </w:r>
    </w:p>
    <w:p>
      <w:pPr>
        <w:numPr>
          <w:ilvl w:val="0"/>
          <w:numId w:val="1010"/>
        </w:numPr>
        <w:pStyle w:val="Compact"/>
      </w:pPr>
      <w:r>
        <w:t xml:space="preserve">Ficha técnica del tejido con: estado/acabado (crudo, blanqueado, teñido, con hilados de distintos colores o estampado); ancho; gramaje; urdimbre/trama; ligamento declarado (si es “tafetán” o “sarga”).</w:t>
      </w:r>
    </w:p>
    <w:p>
      <w:pPr>
        <w:numPr>
          <w:ilvl w:val="0"/>
          <w:numId w:val="1010"/>
        </w:numPr>
        <w:pStyle w:val="Compact"/>
      </w:pPr>
      <w:r>
        <w:t xml:space="preserve">Evidencia del acabado: reporte de proceso (blanqueo/teñido/estampado) o certificado del fabricante.</w:t>
      </w:r>
    </w:p>
    <w:p>
      <w:pPr>
        <w:numPr>
          <w:ilvl w:val="0"/>
          <w:numId w:val="1010"/>
        </w:numPr>
        <w:pStyle w:val="Compact"/>
      </w:pPr>
      <w:r>
        <w:t xml:space="preserve">Muestra o fotografías del tejido que permitan apreciar si está estampado y, en su caso, si los hilados son de distintos colores.</w:t>
      </w:r>
    </w:p>
    <w:p>
      <w:pPr>
        <w:numPr>
          <w:ilvl w:val="0"/>
          <w:numId w:val="1010"/>
        </w:numPr>
        <w:pStyle w:val="Compact"/>
      </w:pPr>
      <w:r>
        <w:t xml:space="preserve">Declaración de composición que acredite 100% algodón y el peso de 180 g/m².</w:t>
      </w:r>
    </w:p>
    <w:p>
      <w:pPr>
        <w:pStyle w:val="FirstParagraph"/>
      </w:pPr>
      <w:r>
        <w:t xml:space="preserve">V. Conclusión</w:t>
      </w:r>
      <w:r>
        <w:t xml:space="preserve"> </w:t>
      </w:r>
      <w:r>
        <w:t xml:space="preserve">Con fundamento en RGI 1, RGI 3(a) y RGI 6, el producto se clasifica en la partida 52.08 por ser un tejido de algodón (≥85% en peso; en el caso, 100%) de peso ≤200 g/m². A nivel de subpartida, al no acreditarse ligamento tafetán ni sarga, corresponde la familia “Los demás tejidos” del grupo de acabado pertinente en 52.08 (crudos, blanqueados, teñidos, con hilados de distintos colores, estampados) .</w:t>
      </w:r>
    </w:p>
    <w:p>
      <w:pPr>
        <w:pStyle w:val="BodyText"/>
      </w:pPr>
      <w:r>
        <w:t xml:space="preserve">Determinación condicionada</w:t>
      </w:r>
    </w:p>
    <w:p>
      <w:pPr>
        <w:numPr>
          <w:ilvl w:val="0"/>
          <w:numId w:val="1011"/>
        </w:numPr>
      </w:pPr>
      <w:r>
        <w:t xml:space="preserve">Opción A (si el tejido está crudo y no es de ligamento tafetán ni sarga):</w:t>
      </w:r>
    </w:p>
    <w:p>
      <w:pPr>
        <w:numPr>
          <w:ilvl w:val="1"/>
          <w:numId w:val="1012"/>
        </w:numPr>
        <w:pStyle w:val="Compact"/>
      </w:pPr>
      <w:r>
        <w:t xml:space="preserve">Capítulo: 52</w:t>
      </w:r>
    </w:p>
    <w:p>
      <w:pPr>
        <w:numPr>
          <w:ilvl w:val="1"/>
          <w:numId w:val="1012"/>
        </w:numPr>
        <w:pStyle w:val="Compact"/>
      </w:pPr>
      <w:r>
        <w:t xml:space="preserve">Partida: 52.08</w:t>
      </w:r>
    </w:p>
    <w:p>
      <w:pPr>
        <w:numPr>
          <w:ilvl w:val="1"/>
          <w:numId w:val="1012"/>
        </w:numPr>
        <w:pStyle w:val="Compact"/>
      </w:pPr>
      <w:r>
        <w:t xml:space="preserve">Subpartida: 5208.19</w:t>
      </w:r>
    </w:p>
    <w:p>
      <w:pPr>
        <w:numPr>
          <w:ilvl w:val="1"/>
          <w:numId w:val="1012"/>
        </w:numPr>
        <w:pStyle w:val="Compact"/>
      </w:pPr>
      <w:r>
        <w:t xml:space="preserve">Fracción: Por determinar</w:t>
      </w:r>
    </w:p>
    <w:p>
      <w:pPr>
        <w:numPr>
          <w:ilvl w:val="1"/>
          <w:numId w:val="1012"/>
        </w:numPr>
        <w:pStyle w:val="Compact"/>
      </w:pPr>
      <w:r>
        <w:t xml:space="preserve">NICO: Por determinar</w:t>
      </w:r>
      <w:r>
        <w:t xml:space="preserve"> </w:t>
      </w:r>
      <w:r>
        <w:t xml:space="preserve">Sustento: 5208 “Tejidos de algodón… ≤200 g/m²”; grupo “Crudos: Los demás tejidos” 5208.19 .</w:t>
      </w:r>
    </w:p>
    <w:p>
      <w:pPr>
        <w:numPr>
          <w:ilvl w:val="0"/>
          <w:numId w:val="1011"/>
        </w:numPr>
      </w:pPr>
      <w:r>
        <w:t xml:space="preserve">Opción B (si el tejido está blanqueado y no es de ligamento tafetán ni sarga):</w:t>
      </w:r>
    </w:p>
    <w:p>
      <w:pPr>
        <w:numPr>
          <w:ilvl w:val="1"/>
          <w:numId w:val="1013"/>
        </w:numPr>
        <w:pStyle w:val="Compact"/>
      </w:pPr>
      <w:r>
        <w:t xml:space="preserve">Capítulo: 52</w:t>
      </w:r>
    </w:p>
    <w:p>
      <w:pPr>
        <w:numPr>
          <w:ilvl w:val="1"/>
          <w:numId w:val="1013"/>
        </w:numPr>
        <w:pStyle w:val="Compact"/>
      </w:pPr>
      <w:r>
        <w:t xml:space="preserve">Partida: 52.08</w:t>
      </w:r>
    </w:p>
    <w:p>
      <w:pPr>
        <w:numPr>
          <w:ilvl w:val="1"/>
          <w:numId w:val="1013"/>
        </w:numPr>
        <w:pStyle w:val="Compact"/>
      </w:pPr>
      <w:r>
        <w:t xml:space="preserve">Subpartida: 5208.29</w:t>
      </w:r>
    </w:p>
    <w:p>
      <w:pPr>
        <w:numPr>
          <w:ilvl w:val="1"/>
          <w:numId w:val="1013"/>
        </w:numPr>
        <w:pStyle w:val="Compact"/>
      </w:pPr>
      <w:r>
        <w:t xml:space="preserve">Fracción: Por determinar</w:t>
      </w:r>
    </w:p>
    <w:p>
      <w:pPr>
        <w:numPr>
          <w:ilvl w:val="1"/>
          <w:numId w:val="1013"/>
        </w:numPr>
        <w:pStyle w:val="Compact"/>
      </w:pPr>
      <w:r>
        <w:t xml:space="preserve">NICO: Por determinar</w:t>
      </w:r>
      <w:r>
        <w:t xml:space="preserve"> </w:t>
      </w:r>
      <w:r>
        <w:t xml:space="preserve">Sustento: “Blanqueados: Los demás tejidos” 5208.29 .</w:t>
      </w:r>
    </w:p>
    <w:p>
      <w:pPr>
        <w:numPr>
          <w:ilvl w:val="0"/>
          <w:numId w:val="1011"/>
        </w:numPr>
      </w:pPr>
      <w:r>
        <w:t xml:space="preserve">Opción C (si el tejido está teñido en pieza y no es de ligamento tafetán ni sarga):</w:t>
      </w:r>
    </w:p>
    <w:p>
      <w:pPr>
        <w:numPr>
          <w:ilvl w:val="1"/>
          <w:numId w:val="1014"/>
        </w:numPr>
        <w:pStyle w:val="Compact"/>
      </w:pPr>
      <w:r>
        <w:t xml:space="preserve">Capítulo: 52</w:t>
      </w:r>
    </w:p>
    <w:p>
      <w:pPr>
        <w:numPr>
          <w:ilvl w:val="1"/>
          <w:numId w:val="1014"/>
        </w:numPr>
        <w:pStyle w:val="Compact"/>
      </w:pPr>
      <w:r>
        <w:t xml:space="preserve">Partida: 52.08</w:t>
      </w:r>
    </w:p>
    <w:p>
      <w:pPr>
        <w:numPr>
          <w:ilvl w:val="1"/>
          <w:numId w:val="1014"/>
        </w:numPr>
        <w:pStyle w:val="Compact"/>
      </w:pPr>
      <w:r>
        <w:t xml:space="preserve">Subpartida: 5208.39</w:t>
      </w:r>
    </w:p>
    <w:p>
      <w:pPr>
        <w:numPr>
          <w:ilvl w:val="1"/>
          <w:numId w:val="1014"/>
        </w:numPr>
        <w:pStyle w:val="Compact"/>
      </w:pPr>
      <w:r>
        <w:t xml:space="preserve">Fracción: Por determinar</w:t>
      </w:r>
    </w:p>
    <w:p>
      <w:pPr>
        <w:numPr>
          <w:ilvl w:val="1"/>
          <w:numId w:val="1014"/>
        </w:numPr>
        <w:pStyle w:val="Compact"/>
      </w:pPr>
      <w:r>
        <w:t xml:space="preserve">NICO: Por determinar</w:t>
      </w:r>
      <w:r>
        <w:t xml:space="preserve"> </w:t>
      </w:r>
      <w:r>
        <w:t xml:space="preserve">Sustento: “Teñidos: Los demás tejidos” 5208.39 .</w:t>
      </w:r>
    </w:p>
    <w:p>
      <w:pPr>
        <w:pStyle w:val="FirstParagraph"/>
      </w:pPr>
      <w:r>
        <w:t xml:space="preserve">Criterios faltantes:</w:t>
      </w:r>
    </w:p>
    <w:p>
      <w:pPr>
        <w:numPr>
          <w:ilvl w:val="0"/>
          <w:numId w:val="1015"/>
        </w:numPr>
        <w:pStyle w:val="Compact"/>
      </w:pPr>
      <w:r>
        <w:t xml:space="preserve">Confirmar el estado/acabado (crudo, blanqueado, teñido, con hilados de distintos colores o estampado).</w:t>
      </w:r>
    </w:p>
    <w:p>
      <w:pPr>
        <w:numPr>
          <w:ilvl w:val="0"/>
          <w:numId w:val="1015"/>
        </w:numPr>
        <w:pStyle w:val="Compact"/>
      </w:pPr>
      <w:r>
        <w:t xml:space="preserve">Precisar si el tejido está “estampado” (de estarlo, procedería 5208.59, “Estampados: Los demás tejidos”, conforme a RGI 1 y 6) .</w:t>
      </w:r>
    </w:p>
    <w:p>
      <w:pPr>
        <w:numPr>
          <w:ilvl w:val="0"/>
          <w:numId w:val="1015"/>
        </w:numPr>
        <w:pStyle w:val="Compact"/>
      </w:pPr>
      <w:r>
        <w:t xml:space="preserve">Acreditar el ligamento (solo si fuera “tafetán” o “sarga”, para evaluar las líneas específicas; en su defecto, corresponde “Los demás tejidos” dentro del grupo de acabado aplicable) .</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52.08.11 no se menciona en los anexos de la LIGIE.</w:t>
      </w:r>
    </w:p>
    <w:p>
      <w:pPr>
        <w:pStyle w:val="BodyText"/>
      </w:pPr>
      <w:r>
        <w:t xml:space="preserve">El código 52.08.11 no se menciona en el DOF en el período 15/07/2025 al 30/08/2025.</w:t>
      </w:r>
    </w:p>
    <w:bookmarkEnd w:id="23"/>
    <w:bookmarkStart w:id="24" w:name="documentación-consultada"/>
    <w:p>
      <w:pPr>
        <w:pStyle w:val="Heading3"/>
      </w:pPr>
      <w:r>
        <w:t xml:space="preserve">Documentación consultada</w:t>
      </w:r>
    </w:p>
    <w:p>
      <w:pPr>
        <w:numPr>
          <w:ilvl w:val="0"/>
          <w:numId w:val="1016"/>
        </w:numPr>
        <w:pStyle w:val="Compact"/>
      </w:pPr>
      <w:r>
        <w:t xml:space="preserve">Referencias: Ley de los Impuestos Generales de Importación y de Exportación</w:t>
      </w:r>
    </w:p>
    <w:p>
      <w:pPr>
        <w:numPr>
          <w:ilvl w:val="0"/>
          <w:numId w:val="1016"/>
        </w:numPr>
        <w:pStyle w:val="Compact"/>
      </w:pPr>
      <w:r>
        <w:t xml:space="preserve">Versión LIGIE: 7ma Enmienda del Sistema Armonizado</w:t>
      </w:r>
    </w:p>
    <w:p>
      <w:pPr>
        <w:numPr>
          <w:ilvl w:val="0"/>
          <w:numId w:val="1016"/>
        </w:numPr>
        <w:pStyle w:val="Compact"/>
      </w:pPr>
      <w:r>
        <w:t xml:space="preserve">Archivo: LIGIE-UNIFICADA-LIGIE_20250728-20250728.pdf</w:t>
      </w:r>
    </w:p>
    <w:p>
      <w:pPr>
        <w:numPr>
          <w:ilvl w:val="0"/>
          <w:numId w:val="1016"/>
        </w:numPr>
        <w:pStyle w:val="Compact"/>
      </w:pPr>
      <w:r>
        <w:t xml:space="preserve">DOF: con actualizaciones al 30 de agosto de 2025</w:t>
      </w:r>
    </w:p>
    <w:p>
      <w:r>
        <w:pict>
          <v:rect style="width:0;height:1.5pt" o:hralign="center" o:hrstd="t" o:hr="t"/>
        </w:pict>
      </w:r>
    </w:p>
    <w:p>
      <w:pPr>
        <w:pStyle w:val="FirstParagraph"/>
      </w:pPr>
      <w:r>
        <w:rPr>
          <w:bCs/>
          <w:b/>
        </w:rPr>
        <w:t xml:space="preserve">Descargo de responsabilidad:</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