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14:29:27</w:t>
      </w:r>
    </w:p>
    <w:p>
      <w:pPr>
        <w:pStyle w:val="BodyText"/>
      </w:pPr>
      <w:r>
        <w:t xml:space="preserve">Cuenta: Ver18-b</w:t>
      </w:r>
    </w:p>
    <w:p>
      <w:pPr>
        <w:pStyle w:val="BodyText"/>
      </w:pPr>
      <w:r>
        <w:t xml:space="preserve">Usuario: cmhs</w:t>
      </w:r>
    </w:p>
    <w:p>
      <w:pPr>
        <w:pStyle w:val="BodyText"/>
      </w:pPr>
      <w:r>
        <w:t xml:space="preserve">ITEM: Frijol mungo desvainado y tratado térmicamente, a granel, de color amarillo claro, obtenido al pelar y hornear frijol mungo crudo a una temperatura de 160 a 180 °C durante 25 a 30 minutos. Los frijoles normalmente se parten durante el horneado y los cotiledones resultan afectados por el calor. Sin embargo, los frijoles mungo no están listos para su consumo inmediato. El producto es un semielaborado que requiere preparación adicional (p. ej., remojo y ebullición) para lograr una textura tierna y comestible; el tratamiento térmico conlleva pérdida de humedad, migración de sólidos solubles (azúcares y aminoácidos) y pardeamiento no enzimático, con cambios en los pigmentos (degradación de clorofila a feofitina) que contribuyen al color amarillo claro.</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07</w:t>
            </w:r>
          </w:p>
        </w:tc>
        <w:tc>
          <w:p>
            <w:pPr>
              <w:pStyle w:val="Compact"/>
              <w:jc w:val="left"/>
            </w:pPr>
            <w:r>
              <w:t xml:space="preserve">Por RGI 1, la partida 07.13 abarca hortalizas de vaina secas, desvainadas, aunque estén mondadas o partidas; esto corresponde a frijol mungo pelado/partido (mondado/partido) presentado como legumbre seca. “Hortaliza” incluye leguminosas según nota nacional, y 07.12 excluye expresamente las leguminosas hacia 07.13.</w:t>
            </w:r>
          </w:p>
        </w:tc>
      </w:tr>
      <w:tr>
        <w:tc>
          <w:p>
            <w:pPr>
              <w:pStyle w:val="Compact"/>
              <w:jc w:val="right"/>
            </w:pPr>
            <w:r>
              <w:rPr>
                <w:bCs/>
                <w:b/>
              </w:rPr>
              <w:t xml:space="preserve">20</w:t>
            </w:r>
          </w:p>
        </w:tc>
        <w:tc>
          <w:p>
            <w:pPr>
              <w:pStyle w:val="Compact"/>
              <w:jc w:val="left"/>
            </w:pPr>
            <w:r>
              <w:t xml:space="preserve">Solo si el tratamiento térmico se considera una preparación/conservación más allá del Capítulo 07. Pero el Cap. 20 excluye hortalizas preparadas o conservadas por procedimientos de los Capítulos 07, 08 o 11 (Nota 1) y limita 20.01/20.04/20.05 a productos del Cap. 07 preparados por otros procedimientos (Nota 3). Bajo RGI 3(a), 07.13 es más específica que estas disposiciones más amplias.</w:t>
            </w:r>
          </w:p>
        </w:tc>
      </w:tr>
      <w:tr>
        <w:tc>
          <w:p>
            <w:pPr>
              <w:pStyle w:val="Compact"/>
              <w:jc w:val="right"/>
            </w:pPr>
            <w:r>
              <w:rPr>
                <w:bCs/>
                <w:b/>
              </w:rPr>
              <w:t xml:space="preserve">11</w:t>
            </w:r>
          </w:p>
        </w:tc>
        <w:tc>
          <w:p>
            <w:pPr>
              <w:pStyle w:val="Compact"/>
              <w:jc w:val="left"/>
            </w:pPr>
            <w:r>
              <w:t xml:space="preserve">El Capítulo 11 es para productos de la molienda; 11.06 abarca harinas, sémolas y polvos de leguminosas secas de 07.13, no legumbres enteras/partidas. La Nota 1(d) también excluye hortalizas preparadas o conservadas de 20.01/20.04/20.05 de este Capítulo.</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 aplicable</w:t>
      </w:r>
    </w:p>
    <w:p>
      <w:pPr>
        <w:numPr>
          <w:ilvl w:val="0"/>
          <w:numId w:val="1001"/>
        </w:numPr>
        <w:pStyle w:val="Compact"/>
      </w:pPr>
      <w:r>
        <w:t xml:space="preserve">Reglas Generales de Interpretación (RGI):</w:t>
      </w:r>
    </w:p>
    <w:p>
      <w:pPr>
        <w:numPr>
          <w:ilvl w:val="1"/>
          <w:numId w:val="1002"/>
        </w:numPr>
        <w:pStyle w:val="Compact"/>
      </w:pPr>
      <w:r>
        <w:t xml:space="preserve">“Los títulos de Secciones, Capítulos o Subcapítulos se proporcionan únicamente para facilitar la consulta; para efectos legales, la clasificación se determinará conforme a los textos de las partidas y de las Notas de Sección o de Capítulo y, siempre que tales textos o Notas no requieran otra cosa, conforme a las disposiciones siguientes” (RGI 1).</w:t>
      </w:r>
    </w:p>
    <w:p>
      <w:pPr>
        <w:numPr>
          <w:ilvl w:val="1"/>
          <w:numId w:val="1002"/>
        </w:numPr>
        <w:pStyle w:val="Compact"/>
      </w:pPr>
      <w:r>
        <w:t xml:space="preserve">“Cuando las mercancías sean, a primera vista, clasificables en dos o más partidas… se preferirá la partida que describa más específicamente la mercancía a las partidas de descripción más general” (RGI 3(a)); de ser necesario, aplicar el carácter esencial (RGI 3(b)) y, en su defecto, la regla subsidiaria (RGI 3(c)).</w:t>
      </w:r>
    </w:p>
    <w:p>
      <w:pPr>
        <w:numPr>
          <w:ilvl w:val="1"/>
          <w:numId w:val="1002"/>
        </w:numPr>
        <w:pStyle w:val="Compact"/>
      </w:pPr>
      <w:r>
        <w:t xml:space="preserve">“A efectos legales, la clasificación de las mercancías en las subpartidas… se determinará conforme a los textos de dichas subpartidas y a las Notas de Subpartida correspondientes y, mutatis mutandis, a las Reglas anteriores” (RGI 6, Notas Explicativas).</w:t>
      </w:r>
    </w:p>
    <w:p>
      <w:pPr>
        <w:numPr>
          <w:ilvl w:val="0"/>
          <w:numId w:val="1001"/>
        </w:numPr>
        <w:pStyle w:val="Compact"/>
      </w:pPr>
      <w:r>
        <w:t xml:space="preserve">Notas del Capítulo 20 (Preparaciones de hortalizas, frutas u otras partes de plantas):</w:t>
      </w:r>
    </w:p>
    <w:p>
      <w:pPr>
        <w:numPr>
          <w:ilvl w:val="1"/>
          <w:numId w:val="1003"/>
        </w:numPr>
        <w:pStyle w:val="Compact"/>
      </w:pPr>
      <w:r>
        <w:t xml:space="preserve">“Este Capítulo no comprende: (a) Las hortalizas y frutas… preparadas o conservadas por los procedimientos especificados en los Capítulos 07, 08 u 11” (Nota 1(a) del Capítulo 20).</w:t>
      </w:r>
    </w:p>
    <w:p>
      <w:pPr>
        <w:numPr>
          <w:ilvl w:val="1"/>
          <w:numId w:val="1003"/>
        </w:numPr>
        <w:pStyle w:val="Compact"/>
      </w:pPr>
      <w:r>
        <w:t xml:space="preserve">“Las partidas 20.01, 20.04 y 20.05 comprenden únicamente los productos del Capítulo 07 o de las partidas 11.05 u 11.06… preparados o conservados por procedimientos distintos de los mencionados en la Nota 1(a)” (Nota 3 del Capítulo 20).</w:t>
      </w:r>
    </w:p>
    <w:p>
      <w:pPr>
        <w:numPr>
          <w:ilvl w:val="0"/>
          <w:numId w:val="1001"/>
        </w:numPr>
        <w:pStyle w:val="Compact"/>
      </w:pPr>
      <w:r>
        <w:t xml:space="preserve">Notas del Capítulo 07 (Hortalizas):</w:t>
      </w:r>
    </w:p>
    <w:p>
      <w:pPr>
        <w:numPr>
          <w:ilvl w:val="1"/>
          <w:numId w:val="1004"/>
        </w:numPr>
        <w:pStyle w:val="Compact"/>
      </w:pPr>
      <w:r>
        <w:t xml:space="preserve">Nota Nacional: “Salvo disposición en contrario, el término ‘hortaliza’ también comprende las ‘leguminosas’” (Notas Nacionales, Cap. 07).</w:t>
      </w:r>
    </w:p>
    <w:p>
      <w:pPr>
        <w:numPr>
          <w:ilvl w:val="1"/>
          <w:numId w:val="1004"/>
        </w:numPr>
        <w:pStyle w:val="Compact"/>
      </w:pPr>
      <w:r>
        <w:t xml:space="preserve">La partida 07.11 comprende hortalizas sometidas únicamente a conservación provisional (p. ej., anhídrido sulfuroso, salmuera) que las hace impropias para consumo inmediato en ese estado (extracto de alcance).</w:t>
      </w:r>
    </w:p>
    <w:p>
      <w:pPr>
        <w:numPr>
          <w:ilvl w:val="0"/>
          <w:numId w:val="1001"/>
        </w:numPr>
        <w:pStyle w:val="Compact"/>
      </w:pPr>
      <w:r>
        <w:t xml:space="preserve">Textos legales de partidas y subpartidas relevantes:</w:t>
      </w:r>
    </w:p>
    <w:p>
      <w:pPr>
        <w:numPr>
          <w:ilvl w:val="1"/>
          <w:numId w:val="1005"/>
        </w:numPr>
        <w:pStyle w:val="Compact"/>
      </w:pPr>
      <w:r>
        <w:t xml:space="preserve">Partida 07.13: “Hortalizas de vaina secas, desvainadas, aunque estén mondadas o partidas”. Subpartida 0713.31: “Frijoles (Vigna spp., Phaseolus spp.) de las especies Vigna mungo… o Vigna radiata”.</w:t>
      </w:r>
    </w:p>
    <w:p>
      <w:pPr>
        <w:numPr>
          <w:ilvl w:val="1"/>
          <w:numId w:val="1005"/>
        </w:numPr>
        <w:pStyle w:val="Compact"/>
      </w:pPr>
      <w:r>
        <w:t xml:space="preserve">Partida 20.05: “Las demás hortalizas preparadas o conservadas de otro modo que con vinagre o ácido acético, sin congelar, excepto los productos de la partida 20.06”. Dentro de esta partida, grupo “Frijoles (Vigna spp., Phaseolus spp.)” con subpartidas:</w:t>
      </w:r>
    </w:p>
    <w:p>
      <w:pPr>
        <w:numPr>
          <w:ilvl w:val="2"/>
          <w:numId w:val="1006"/>
        </w:numPr>
        <w:pStyle w:val="Compact"/>
      </w:pPr>
      <w:r>
        <w:t xml:space="preserve">2005.51: “Desvainadas”.</w:t>
      </w:r>
    </w:p>
    <w:p>
      <w:pPr>
        <w:pStyle w:val="FirstParagraph"/>
      </w:pPr>
      <w:r>
        <w:t xml:space="preserve">II. Análisis jurídico-técnico</w:t>
      </w:r>
    </w:p>
    <w:p>
      <w:pPr>
        <w:numPr>
          <w:ilvl w:val="0"/>
          <w:numId w:val="1007"/>
        </w:numPr>
        <w:pStyle w:val="Compact"/>
      </w:pPr>
      <w:r>
        <w:t xml:space="preserve">Resumen del producto: Frijol mungo (Vigna radiata) desvainado que ha sido pelado y horneado a 160–180 °C durante 25–30 minutos; los granos se parten durante el horneado; los cotiledones muestran efectos térmicos (pérdida de humedad, migración de solubles, pardeamiento no enzimático, cambios de pigmento). No está listo para consumo inmediato y requiere preparación adicional (remojo y ebullición) para ser comestible.</w:t>
      </w:r>
    </w:p>
    <w:p>
      <w:pPr>
        <w:numPr>
          <w:ilvl w:val="0"/>
          <w:numId w:val="1007"/>
        </w:numPr>
        <w:pStyle w:val="Compact"/>
      </w:pPr>
      <w:r>
        <w:t xml:space="preserve">Selección de Capítulo (RGI 1; Nota 1(a) y Nota 3 del Capítulo 20):</w:t>
      </w:r>
    </w:p>
    <w:p>
      <w:pPr>
        <w:numPr>
          <w:ilvl w:val="1"/>
          <w:numId w:val="1008"/>
        </w:numPr>
        <w:pStyle w:val="Compact"/>
      </w:pPr>
      <w:r>
        <w:t xml:space="preserve">El Capítulo 07 abarca hortalizas en estado fresco/refrigerado, conservación provisional (07.11), hortalizas secas (07.12) y leguminosas secas, desvainadas (07.13). La partida 07.13 cubre expresamente leguminosas secas, aunque estén mondadas o partidas, incluyendo Vigna radiata en la subpartida 0713.31.</w:t>
      </w:r>
    </w:p>
    <w:p>
      <w:pPr>
        <w:numPr>
          <w:ilvl w:val="1"/>
          <w:numId w:val="1008"/>
        </w:numPr>
        <w:pStyle w:val="Compact"/>
      </w:pPr>
      <w:r>
        <w:t xml:space="preserve">Sin embargo, la Nota 3 del Capítulo 20 aclara que la partida 20.05 incluye productos del Capítulo 07 cuando “se preparen o conserven por procedimientos distintos de los mencionados en la Nota 1(a)” del Capítulo 20. La Nota 1(a) excluye del Capítulo 20 únicamente aquellos bienes “preparados o conservados por los procedimientos especificados en los Capítulos 07, 08 u 11”.</w:t>
      </w:r>
    </w:p>
    <w:p>
      <w:pPr>
        <w:numPr>
          <w:ilvl w:val="1"/>
          <w:numId w:val="1008"/>
        </w:numPr>
        <w:pStyle w:val="Compact"/>
      </w:pPr>
      <w:r>
        <w:t xml:space="preserve">El horneado descrito a 160–180 °C durante 25–30 minutos, con pardeamiento y cambios de pigmento, es una preparación térmica distinta del mero “secado” que caracteriza al Capítulo 07; no es “conservación provisional” (07.11) ni simplemente “hortalizas secas” (07.12, 07.13). Conforme a la Nota 3 del Capítulo 20, tal proceso califica a los frijoles como “preparados”, ubicándolos en la partida 20.05 (las demás hortalizas preparadas o conservadas de otro modo que con vinagre, sin congelar).</w:t>
      </w:r>
    </w:p>
    <w:p>
      <w:pPr>
        <w:numPr>
          <w:ilvl w:val="0"/>
          <w:numId w:val="1007"/>
        </w:numPr>
        <w:pStyle w:val="Compact"/>
      </w:pPr>
      <w:r>
        <w:t xml:space="preserve">De partida a subpartida (RGI 6; RGI 3(a)):</w:t>
      </w:r>
    </w:p>
    <w:p>
      <w:pPr>
        <w:numPr>
          <w:ilvl w:val="1"/>
          <w:numId w:val="1009"/>
        </w:numPr>
        <w:pStyle w:val="Compact"/>
      </w:pPr>
      <w:r>
        <w:t xml:space="preserve">Dentro de la partida 20.05, existe un grupo específico para “Frijoles (Vigna spp., Phaseolus spp.)” que identifica precisamente la mercancía por género; la mercancía es “desvainada”, correspondiendo a la subpartida 2005.51 “Desvainadas”. Por RGI 3(a), esta identificación más específica prevalece sobre alternativas más generales (p. ej., “las demás hortalizas”).</w:t>
      </w:r>
    </w:p>
    <w:p>
      <w:pPr>
        <w:numPr>
          <w:ilvl w:val="1"/>
          <w:numId w:val="1009"/>
        </w:numPr>
        <w:pStyle w:val="Compact"/>
      </w:pPr>
      <w:r>
        <w:t xml:space="preserve">Conclusión a nivel de subpartida: 20.05.51.</w:t>
      </w:r>
    </w:p>
    <w:p>
      <w:pPr>
        <w:pStyle w:val="FirstParagraph"/>
      </w:pPr>
      <w:r>
        <w:t xml:space="preserve">III. Exclusión de partidas o capítulos alternativos (dentro de los Capítulos 07 y 20)</w:t>
      </w:r>
    </w:p>
    <w:p>
      <w:pPr>
        <w:numPr>
          <w:ilvl w:val="0"/>
          <w:numId w:val="1010"/>
        </w:numPr>
        <w:pStyle w:val="Compact"/>
      </w:pPr>
      <w:r>
        <w:t xml:space="preserve">Capítulo 07:</w:t>
      </w:r>
    </w:p>
    <w:p>
      <w:pPr>
        <w:numPr>
          <w:ilvl w:val="1"/>
          <w:numId w:val="1011"/>
        </w:numPr>
        <w:pStyle w:val="Compact"/>
      </w:pPr>
      <w:r>
        <w:t xml:space="preserve">07.08 (frijoles frescos), 07.09–07.10 (otras frescas/refrigeradas), 07.11 (conservación provisional), 07.12 (otras hortalizas secas) no aplican: la mercancía no está fresca/refrigerada, no está conservada provisionalmente con salmuera o agentes sulfurosos y, como leguminosa, no encuadra en 07.12 (que excluye expresamente las leguminosas secas, que corresponden a 07.13).</w:t>
      </w:r>
    </w:p>
    <w:p>
      <w:pPr>
        <w:numPr>
          <w:ilvl w:val="1"/>
          <w:numId w:val="1011"/>
        </w:numPr>
        <w:pStyle w:val="Compact"/>
      </w:pPr>
      <w:r>
        <w:t xml:space="preserve">07.13 (leguminosas secas, incl. mondadas o partidas; 0713.31 para Vigna radiata) es la alternativa más cercana. No obstante, el producto fue sometido a horneado a 160–180 °C con pardeamiento no enzimático y cambios de pigmento; esto constituye una preparación no enumerada entre los procesos del Capítulo 07. Por la Nota 3 del Capítulo 20, cuando un producto del Capítulo 07 se “prepara… por procedimientos distintos de los de la Nota 1(a)”, se clasifica en la partida 20.05; por lo tanto, la partida 07.13 es desplazada por la 20.05 (RGI 1 en conjunto con la Nota 3 del Capítulo 20).</w:t>
      </w:r>
    </w:p>
    <w:p>
      <w:pPr>
        <w:numPr>
          <w:ilvl w:val="0"/>
          <w:numId w:val="1010"/>
        </w:numPr>
        <w:pStyle w:val="Compact"/>
      </w:pPr>
      <w:r>
        <w:t xml:space="preserve">Capítulo 20:</w:t>
      </w:r>
    </w:p>
    <w:p>
      <w:pPr>
        <w:numPr>
          <w:ilvl w:val="1"/>
          <w:numId w:val="1012"/>
        </w:numPr>
        <w:pStyle w:val="Compact"/>
      </w:pPr>
      <w:r>
        <w:t xml:space="preserve">20.04 (hortalizas preparadas o conservadas congeladas) no aplica; el producto no está congelado.</w:t>
      </w:r>
    </w:p>
    <w:p>
      <w:pPr>
        <w:numPr>
          <w:ilvl w:val="1"/>
          <w:numId w:val="1012"/>
        </w:numPr>
        <w:pStyle w:val="Compact"/>
      </w:pPr>
      <w:r>
        <w:t xml:space="preserve">20.05 corresponde por texto y nota legal (otras hortalizas preparadas de otro modo que con vinagre, sin congelar) y dentro de ella el grupo “Frijoles (Vigna spp., Phaseolus spp.)” está específicamente previsto. Entre 2005.51 “Desvainadas” y 2005.59 “Las demás”, la mercancía está desvainada; en consecuencia, 2005.51 es la subpartida específica (RGI 6; RGI 3(a)).</w:t>
      </w:r>
    </w:p>
    <w:p>
      <w:pPr>
        <w:numPr>
          <w:ilvl w:val="1"/>
          <w:numId w:val="1012"/>
        </w:numPr>
        <w:pStyle w:val="Compact"/>
      </w:pPr>
      <w:r>
        <w:t xml:space="preserve">20.06 (conservadas con azúcar), 20.08 (frutas, frutos secos y otras partes comestibles de plantas preparadas de otro modo) no son tan específicas como la partida 20.05 para hortalizas y, en todo caso, los frijoles están expresamente previstos en 20.05 bajo el grupo de frijoles (RGI 3(a)).</w:t>
      </w:r>
    </w:p>
    <w:p>
      <w:pPr>
        <w:pStyle w:val="FirstParagraph"/>
      </w:pPr>
      <w:r>
        <w:t xml:space="preserve">Por qué la subpartida 2005.51 (y no 0713.31), y por qué no se descarta 2005.51:</w:t>
      </w:r>
    </w:p>
    <w:p>
      <w:pPr>
        <w:numPr>
          <w:ilvl w:val="0"/>
          <w:numId w:val="1013"/>
        </w:numPr>
        <w:pStyle w:val="Compact"/>
      </w:pPr>
      <w:r>
        <w:t xml:space="preserve">La subpartida 0713.31 efectivamente menciona “Vigna radiata”, pero está bajo la partida 07.13, que cubre “leguminosas secas, desvainadas…” sin preparación adicional. Dado el tratamiento térmico descrito (horneado) que produce pardeamiento no enzimático y cambios de pigmento, el producto es una hortaliza preparada más que una simple legumbre seca. La Nota 3 del Capítulo 20 dirige tales productos del Capítulo 07, cuando se preparan por procedimientos distintos de los de la Nota 1(a), a la partida 20.05. Dentro de 20.05, el grupo específico de frijoles y la condición “desvainadas” conducen a 2005.51, que es más específica que las alternativas residuales (RGI 1, RGI 3(a), Nota 3 del Capítulo 20). Por lo tanto, se mantiene 2005.51 y se descarta 0713.31 con base en el texto legal.</w:t>
      </w:r>
    </w:p>
    <w:p>
      <w:pPr>
        <w:pStyle w:val="FirstParagraph"/>
      </w:pPr>
      <w:r>
        <w:t xml:space="preserve">IV. Requisitos documentales</w:t>
      </w:r>
      <w:r>
        <w:t xml:space="preserve"> </w:t>
      </w:r>
      <w:r>
        <w:t xml:space="preserve">Para sustentar la determinación arancelaria en el despacho, el importador deberá proporcionar:</w:t>
      </w:r>
    </w:p>
    <w:p>
      <w:pPr>
        <w:numPr>
          <w:ilvl w:val="0"/>
          <w:numId w:val="1014"/>
        </w:numPr>
        <w:pStyle w:val="Compact"/>
      </w:pPr>
      <w:r>
        <w:t xml:space="preserve">Ficha técnica completa que identifique la especie botánica (Vigna radiata) y confirme que la mercancía está desvainada, sin ingredientes añadidos (sales, aceites, saborizantes) que pudieran alterar la clasificación.</w:t>
      </w:r>
    </w:p>
    <w:p>
      <w:pPr>
        <w:numPr>
          <w:ilvl w:val="0"/>
          <w:numId w:val="1014"/>
        </w:numPr>
        <w:pStyle w:val="Compact"/>
      </w:pPr>
      <w:r>
        <w:t xml:space="preserve">Descripción del proceso y parámetros: despeluzado/pelado, condiciones de horneado (tiempo/temperatura) y propósito del tratamiento térmico; evidencia de pardeamiento/cambio de pigmento.</w:t>
      </w:r>
    </w:p>
    <w:p>
      <w:pPr>
        <w:numPr>
          <w:ilvl w:val="0"/>
          <w:numId w:val="1014"/>
        </w:numPr>
        <w:pStyle w:val="Compact"/>
      </w:pPr>
      <w:r>
        <w:t xml:space="preserve">Datos analíticos si están disponibles (p. ej., humedad posterior al tratamiento) para distinguir el simple secado de una preparación térmica.</w:t>
      </w:r>
    </w:p>
    <w:p>
      <w:pPr>
        <w:numPr>
          <w:ilvl w:val="0"/>
          <w:numId w:val="1014"/>
        </w:numPr>
        <w:pStyle w:val="Compact"/>
      </w:pPr>
      <w:r>
        <w:t xml:space="preserve">Fotografías del producto (antes y después del proceso) y de su presentación comercial (a granel).</w:t>
      </w:r>
    </w:p>
    <w:p>
      <w:pPr>
        <w:numPr>
          <w:ilvl w:val="0"/>
          <w:numId w:val="1014"/>
        </w:numPr>
        <w:pStyle w:val="Compact"/>
      </w:pPr>
      <w:r>
        <w:t xml:space="preserve">Cualquier certificado de calidad o POE internos que sustenten el proceso térmico.</w:t>
      </w:r>
      <w:r>
        <w:t xml:space="preserve"> </w:t>
      </w:r>
      <w:r>
        <w:t xml:space="preserve">Estos documentos ayudan a evidenciar que el producto es una hortaliza preparada del Capítulo 20 conforme a la Nota 3 del Capítulo 20, y que la selección de subpartida dentro de 20.05 es la adecuada (RGI 6).</w:t>
      </w:r>
    </w:p>
    <w:p>
      <w:pPr>
        <w:pStyle w:val="FirstParagraph"/>
      </w:pPr>
      <w:r>
        <w:t xml:space="preserve">V. Conclusión</w:t>
      </w:r>
    </w:p>
    <w:p>
      <w:pPr>
        <w:numPr>
          <w:ilvl w:val="0"/>
          <w:numId w:val="1015"/>
        </w:numPr>
        <w:pStyle w:val="Compact"/>
      </w:pPr>
      <w:r>
        <w:t xml:space="preserve">Clasificación arancelaria propuesta a nivel de subpartida (SA 6):</w:t>
      </w:r>
    </w:p>
    <w:p>
      <w:pPr>
        <w:numPr>
          <w:ilvl w:val="1"/>
          <w:numId w:val="1016"/>
        </w:numPr>
        <w:pStyle w:val="Compact"/>
      </w:pPr>
      <w:r>
        <w:t xml:space="preserve">Capítulo: 20 (Preparaciones de hortalizas, etc.)</w:t>
      </w:r>
    </w:p>
    <w:p>
      <w:pPr>
        <w:numPr>
          <w:ilvl w:val="1"/>
          <w:numId w:val="1016"/>
        </w:numPr>
        <w:pStyle w:val="Compact"/>
      </w:pPr>
      <w:r>
        <w:t xml:space="preserve">Partida: 20.05 (Las demás hortalizas preparadas o conservadas de otro modo que con vinagre o ácido acético, sin congelar)</w:t>
      </w:r>
    </w:p>
    <w:p>
      <w:pPr>
        <w:numPr>
          <w:ilvl w:val="1"/>
          <w:numId w:val="1016"/>
        </w:numPr>
        <w:pStyle w:val="Compact"/>
      </w:pPr>
      <w:r>
        <w:t xml:space="preserve">Subpartida: 20.05.51 (Frijoles… desvainadas)</w:t>
      </w:r>
    </w:p>
    <w:p>
      <w:pPr>
        <w:numPr>
          <w:ilvl w:val="1"/>
          <w:numId w:val="1016"/>
        </w:numPr>
        <w:pStyle w:val="Compact"/>
      </w:pPr>
      <w:r>
        <w:t xml:space="preserve">Fracción/NICO: No determinada (el presente dictamen se limita al nivel de subpartida, según lo solicitado)</w:t>
      </w:r>
    </w:p>
    <w:p>
      <w:pPr>
        <w:pStyle w:val="FirstParagraph"/>
      </w:pPr>
      <w:r>
        <w:t xml:space="preserve">Resolución: El frijol mungo desvainado tratado térmicamente, conforme a la descripción, se clasifica en la subpartida 20.05.51.</w:t>
      </w:r>
    </w:p>
    <w:p>
      <w:pPr>
        <w:pStyle w:val="BodyText"/>
      </w:pPr>
      <w:r>
        <w:t xml:space="preserve">Determinación condicionada</w:t>
      </w:r>
    </w:p>
    <w:p>
      <w:pPr>
        <w:numPr>
          <w:ilvl w:val="0"/>
          <w:numId w:val="1017"/>
        </w:numPr>
        <w:pStyle w:val="Compact"/>
      </w:pPr>
      <w:r>
        <w:t xml:space="preserve">Opción A (si se confirma que el horneado es una preparación térmica distinta de los procesos del Capítulo 07, sin congelación y sin vinagre/ácido acético): 20.05.51 (Frijoles, desvainadas).</w:t>
      </w:r>
    </w:p>
    <w:p>
      <w:pPr>
        <w:numPr>
          <w:ilvl w:val="0"/>
          <w:numId w:val="1017"/>
        </w:numPr>
        <w:pStyle w:val="Compact"/>
      </w:pPr>
      <w:r>
        <w:t xml:space="preserve">Opción B (si, en contra de la descripción, el producto no ha sido sometido a una preparación térmica más allá del simple secado y solamente está despeluzado y seco, esté o no partido): 07.13.31 (Leguminosas secas; frijoles de la especie Vigna radiata), porque la partida 07.13 abarca “secas… aunque estén mondadas o partidas”, incluyendo Vigna radiata.</w:t>
      </w:r>
    </w:p>
    <w:p>
      <w:pPr>
        <w:numPr>
          <w:ilvl w:val="0"/>
          <w:numId w:val="1017"/>
        </w:numPr>
        <w:pStyle w:val="Compact"/>
      </w:pPr>
      <w:r>
        <w:t xml:space="preserve">Opción C (si el producto, después del tratamiento térmico, se congela para su conservación): 20.04.90 (Las demás hortalizas preparadas o conservadas… congeladas), ya que 20.04 rige hortalizas preparadas congeladas y 20.05 es expresamente “sin congelar”.</w:t>
      </w:r>
    </w:p>
    <w:p>
      <w:pPr>
        <w:pStyle w:val="FirstParagraph"/>
      </w:pPr>
      <w:r>
        <w:t xml:space="preserve">CRITERIOS FALTANTES:</w:t>
      </w:r>
    </w:p>
    <w:p>
      <w:pPr>
        <w:numPr>
          <w:ilvl w:val="0"/>
          <w:numId w:val="1018"/>
        </w:numPr>
        <w:pStyle w:val="Compact"/>
      </w:pPr>
      <w:r>
        <w:t xml:space="preserve">Comprobación y finalidad de la etapa de horneado (hoja de proceso con tiempo/temperatura) para confirmar que es una preparación más allá del simple secado.</w:t>
      </w:r>
    </w:p>
    <w:p>
      <w:pPr>
        <w:numPr>
          <w:ilvl w:val="0"/>
          <w:numId w:val="1018"/>
        </w:numPr>
        <w:pStyle w:val="Compact"/>
      </w:pPr>
      <w:r>
        <w:t xml:space="preserve">Confirmación de ausencia de ingredientes añadidos (p. ej., sal/aceite) y de que el producto no está congelado.</w:t>
      </w:r>
    </w:p>
    <w:p>
      <w:pPr>
        <w:numPr>
          <w:ilvl w:val="0"/>
          <w:numId w:val="1018"/>
        </w:numPr>
        <w:pStyle w:val="Compact"/>
      </w:pPr>
      <w:r>
        <w:t xml:space="preserve">Contenido de humedad y evidencia de cambios organolépticos (para distinguir la mera deshidratación de una preparación térmica).</w:t>
      </w:r>
    </w:p>
    <w:bookmarkEnd w:id="22"/>
    <w:bookmarkStart w:id="23" w:name="notas"/>
    <w:p>
      <w:pPr>
        <w:pStyle w:val="Heading3"/>
      </w:pPr>
      <w:r>
        <w:t xml:space="preserve">NOTAS:</w:t>
      </w:r>
    </w:p>
    <w:p>
      <w:r>
        <w:pict>
          <v:rect style="width:0;height:1.5pt" o:hralign="center" o:hrstd="t" o:hr="t"/>
        </w:pict>
      </w:r>
    </w:p>
    <w:p>
      <w:pPr>
        <w:pStyle w:val="FirstParagraph"/>
      </w:pPr>
      <w:r>
        <w:t xml:space="preserve">El código 20.05.51 no se menciona en los anexos de la LIGIE.</w:t>
      </w:r>
    </w:p>
    <w:p>
      <w:pPr>
        <w:pStyle w:val="BodyText"/>
      </w:pPr>
      <w:r>
        <w:t xml:space="preserve">El código 20.05.51 no se menciona en el DOF en el período 15/07/2025 al 30/08/2025.</w:t>
      </w:r>
    </w:p>
    <w:bookmarkEnd w:id="23"/>
    <w:bookmarkStart w:id="24" w:name="documentación-consultada"/>
    <w:p>
      <w:pPr>
        <w:pStyle w:val="Heading3"/>
      </w:pPr>
      <w:r>
        <w:t xml:space="preserve">Documentación consultada</w:t>
      </w:r>
    </w:p>
    <w:p>
      <w:pPr>
        <w:numPr>
          <w:ilvl w:val="0"/>
          <w:numId w:val="1019"/>
        </w:numPr>
        <w:pStyle w:val="Compact"/>
      </w:pPr>
      <w:r>
        <w:t xml:space="preserve">Referencias: Ley de los Impuestos Generales de Importación y de Exportación</w:t>
      </w:r>
    </w:p>
    <w:p>
      <w:pPr>
        <w:numPr>
          <w:ilvl w:val="0"/>
          <w:numId w:val="1019"/>
        </w:numPr>
        <w:pStyle w:val="Compact"/>
      </w:pPr>
      <w:r>
        <w:t xml:space="preserve">Versión LIGIE: 7ma Enmienda del Sistema Armonizado</w:t>
      </w:r>
    </w:p>
    <w:p>
      <w:pPr>
        <w:numPr>
          <w:ilvl w:val="0"/>
          <w:numId w:val="1019"/>
        </w:numPr>
        <w:pStyle w:val="Compact"/>
      </w:pPr>
      <w:r>
        <w:t xml:space="preserve">Archivo: LIGIE-UNIFICADA-LIGIE_20250728-20250728.pdf</w:t>
      </w:r>
    </w:p>
    <w:p>
      <w:pPr>
        <w:numPr>
          <w:ilvl w:val="0"/>
          <w:numId w:val="1019"/>
        </w:numPr>
        <w:pStyle w:val="Compact"/>
      </w:pPr>
      <w:r>
        <w:t xml:space="preserve">DOF: con actualizaciones al 30 de agosto de 2025</w:t>
      </w:r>
    </w:p>
    <w:p>
      <w:r>
        <w:pict>
          <v:rect style="width:0;height:1.5pt" o:hralign="center" o:hrstd="t" o:hr="t"/>
        </w:pict>
      </w:r>
    </w:p>
    <w:p>
      <w:pPr>
        <w:pStyle w:val="FirstParagraph"/>
      </w:pPr>
      <w:r>
        <w:rPr>
          <w:bCs/>
          <w:b/>
        </w:rPr>
        <w:t xml:space="preserve">Descargo de responsabilidad:</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2025-09-16T02:00:18Z</dcterms:created>
  <dcterms:modified xsi:type="dcterms:W3CDTF">2025-09-16T02:00:18Z</dcterms:modified>
</cp:coreProperties>
</file>

<file path=docProps/custom.xml><?xml version="1.0" encoding="utf-8"?>
<Properties xmlns="http://schemas.openxmlformats.org/officeDocument/2006/custom-properties" xmlns:vt="http://schemas.openxmlformats.org/officeDocument/2006/docPropsVTypes"/>
</file>