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15:22:17</w:t>
      </w:r>
    </w:p>
    <w:p>
      <w:pPr>
        <w:pStyle w:val="BodyText"/>
      </w:pPr>
      <w:r>
        <w:t xml:space="preserve">Cuenta: Ver18-b</w:t>
      </w:r>
    </w:p>
    <w:p>
      <w:pPr>
        <w:pStyle w:val="BodyText"/>
      </w:pPr>
      <w:r>
        <w:t xml:space="preserve">Usuario: cmhs</w:t>
      </w:r>
    </w:p>
    <w:p>
      <w:pPr>
        <w:pStyle w:val="BodyText"/>
      </w:pPr>
      <w:r>
        <w:t xml:space="preserve">ITEM: Camión hormigonera con función de autocarga, compuesto por una cabina y un chasis de vehículo de motor, sobre el cual el equipo de trabajo está montado de forma permanente. La cabina y el chasis del vehículo de motor están equipados con un motor de combustión interna, una caja de cambios manual, cuatro ruedas, dirección y frenos. El equipo de trabajo comprende un tambor mezclador de concreto, una cazuela de carga fijada en brazos de elevación y un canal de descarga. El asiento del operador puede invertirse 180°. Este camión hormigonera tiene una velocidad máxima de 25 km/h y está diseñado para preparar, transportar y descargar concreto y mortero en el sitio de construcción.</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87</w:t>
            </w:r>
          </w:p>
        </w:tc>
        <w:tc>
          <w:p>
            <w:pPr>
              <w:pStyle w:val="Compact"/>
              <w:jc w:val="left"/>
            </w:pPr>
            <w:r>
              <w:t xml:space="preserve">Por la RGI 1, la clasificación se determina por los textos de partida y las notas legales; la partida 87.05 cubre expresamente los vehículos automóviles para usos especiales, incluidos los camiones hormigonera. La NESA aclara que los vehículos equipados permanentemente para realizar tareas especiales distintas del transporte de personas o mercancías quedan en 87.05, y que si un vehículo de mercancías lleva equipo con función propia, pasa a ser un vehículo para uso especial de 87.05. Así, un camión hormigonera autocargable diseñado para mezclar, transportar y descargar en obra se clasifica en 87.05 (RGI 1, 3 a)).</w:t>
            </w:r>
          </w:p>
        </w:tc>
      </w:tr>
      <w:tr>
        <w:tc>
          <w:p>
            <w:pPr>
              <w:pStyle w:val="Compact"/>
              <w:jc w:val="right"/>
            </w:pPr>
            <w:r>
              <w:rPr>
                <w:bCs/>
                <w:b/>
              </w:rPr>
              <w:t xml:space="preserve">84</w:t>
            </w:r>
          </w:p>
        </w:tc>
        <w:tc>
          <w:p>
            <w:pPr>
              <w:pStyle w:val="Compact"/>
              <w:jc w:val="left"/>
            </w:pPr>
            <w:r>
              <w:t xml:space="preserve">El Capítulo 84 (p. ej., 84.74) abarca maquinaria para mezclar o amasar sustancias minerales como cemento o yeso. Sin embargo, cuando este equipo de mezcla está montado permanentemente sobre un chasis de vehículo de motor diseñado para una tarea especial, prevalece la disposición más específica de vehículos de la 87.05 (RGI 3 a)), conforme a las notas NESA que distinguen los vehículos para usos especiales de la maquinaria independiente.</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(Regla 1) .</w:t>
      </w:r>
      <w:r>
        <w:t xml:space="preserve"> </w:t>
      </w:r>
      <w:r>
        <w:t xml:space="preserve">• “LA PARTIDA CON DESCRIPCION MAS ESPECIFICA TENDRA PRIORIDAD SOBRE LAS PARTIDAS DE ALCANCE MAS GENERICO” (Regla 3 a)) .</w:t>
      </w:r>
      <w:r>
        <w:t xml:space="preserve"> </w:t>
      </w:r>
      <w:r>
        <w:t xml:space="preserve">• “SE CLASIFICARAN SEGUN LA MATERIA O CON EL ARTICULO QUE LES CONFIERA SU CARACTER ESENCIAL, SI FUERA POSIBLE DETERMINARLO” (Regla 3 b)) .</w:t>
      </w:r>
      <w:r>
        <w:t xml:space="preserve"> </w:t>
      </w:r>
      <w:r>
        <w:t xml:space="preserve">• “LA CLASIFICACION DE MERCANCIAS EN LAS SUBPARTIDAS DE UNA MISMA PARTIDA ESTA DETERMINADA LEGALMENTE POR LOS TEXTOS DE ESTAS SUBPARTIDAS… BIEN ENTENDIDO QUE SOLO PUEDEN COMPARARSE SUBPARTIDAS DEL MISMO NIVEL” (Regla 6) .</w:t>
      </w:r>
    </w:p>
    <w:p>
      <w:pPr>
        <w:numPr>
          <w:ilvl w:val="0"/>
          <w:numId w:val="1001"/>
        </w:numPr>
      </w:pPr>
      <w:r>
        <w:t xml:space="preserve">Notas y NESA aplicables del Capítulo 87</w:t>
      </w:r>
      <w:r>
        <w:t xml:space="preserve"> </w:t>
      </w:r>
      <w:r>
        <w:t xml:space="preserve">• “Para efectos de la partida 87.04… si dicho artefacto tiene alguna función propia o adicional, el medio de transporte se considerará como un vehículo automóvil para uso especial de la partida 87.05.” (NESA Cap. 87, p/87.04) .</w:t>
      </w:r>
      <w:r>
        <w:t xml:space="preserve"> </w:t>
      </w:r>
      <w:r>
        <w:t xml:space="preserve">• “Para efectos de la partida 87.05, se entiende como ‘vehículos automóviles para usos especiales’ a aquellos vehículos… equipados permanentemente… con artefactos para realizar tareas especiales, distintas a la del transporte de personas o mercancías.” (NESA Cap. 87, p/87.05) .</w:t>
      </w:r>
      <w:r>
        <w:t xml:space="preserve"> </w:t>
      </w:r>
      <w:r>
        <w:t xml:space="preserve">• Texto legal partida 87.05: “Vehículos automóviles para usos especiales… (por ejemplo: … camiones hormigonera…)” (87.05) . Subpartida: “8705.40 – Camiones hormigonera.” .</w:t>
      </w:r>
    </w:p>
    <w:p>
      <w:pPr>
        <w:numPr>
          <w:ilvl w:val="0"/>
          <w:numId w:val="1001"/>
        </w:numPr>
      </w:pPr>
      <w:r>
        <w:t xml:space="preserve">Notas y textos relevantes del Capítulo 84 (para descartar alternativas)</w:t>
      </w:r>
      <w:r>
        <w:t xml:space="preserve"> </w:t>
      </w:r>
      <w:r>
        <w:t xml:space="preserve">• Texto legal 84.74: “8474.31.01 – Hormigoneras y aparatos de amasar mortero.” .</w:t>
      </w:r>
      <w:r>
        <w:t xml:space="preserve"> </w:t>
      </w:r>
      <w:r>
        <w:t xml:space="preserve">• Textos legales 84.29 y 84.30 (maquinaria de movimiento de tierras y similares), a efectos de exclusión de funciones accesorias de cargador/obra: 84.29 (palas mecánicas, excavadoras, cargadoras) y 84.30 (las demás máquinas para explanar, excavar, etc.) .</w:t>
      </w:r>
    </w:p>
    <w:p>
      <w:pPr>
        <w:pStyle w:val="FirstParagraph"/>
      </w:pPr>
      <w:r>
        <w:t xml:space="preserve">II. Análisis jurídico-técnico</w:t>
      </w:r>
    </w:p>
    <w:p>
      <w:pPr>
        <w:pStyle w:val="BodyText"/>
      </w:pPr>
      <w:r>
        <w:t xml:space="preserve">Objeto: Vehículo automóvil tipo camión hormigonera autocargable (“self-loading”), con cabina y chasis de vehículo a motor, equipo de trabajo (trompo mezclador de concreto, cazo de carga en brazos de elevación y canal de descarga) montado permanente; motor de combustión interna, caja manual, cuatro ruedas, dirección y frenos; asiento reversible 180°, velocidad máxima 25 km/h; diseñado para preparar, transportar y descargar concreto/mortero en obra.</w:t>
      </w:r>
    </w:p>
    <w:p>
      <w:pPr>
        <w:numPr>
          <w:ilvl w:val="0"/>
          <w:numId w:val="1002"/>
        </w:numPr>
      </w:pPr>
      <w:r>
        <w:t xml:space="preserve">Capítulo 87 (vehículos automóviles). Aplicando RGI 1, la clasificación se determina por el texto de las partidas y notas de capítulo. El bien es, ante todo, un “vehículo automóvil” con chasis, motor, dirección y frenos. La NESA del Cap. 87 precisa que cuando el vehículo destinado a mercancías incorpora un artefacto “con función propia o adicional”, deja de ser 87.04 y se considera “vehículo automóvil para uso especial” de 87.05 . Asimismo, define 87.05 como vehículos con equipo permanente para tareas especiales, distintas al transporte ordinario de personas o mercancías .</w:t>
      </w:r>
    </w:p>
    <w:p>
      <w:pPr>
        <w:numPr>
          <w:ilvl w:val="0"/>
          <w:numId w:val="1002"/>
        </w:numPr>
      </w:pPr>
      <w:r>
        <w:t xml:space="preserve">Partida 87.05. El texto legal cita de forma expresa a los “camiones hormigonera” como ejemplo típico de la partida 87.05 . El equipo de mezcla (trompo) y su sistema de autocarga y descarga constituyen el artefacto permanente que confiere al vehículo su finalidad especial: mezclar, transportar y verter concreto en el sitio de obra, función específica distinta del transporte ordinario de mercancías.</w:t>
      </w:r>
    </w:p>
    <w:p>
      <w:pPr>
        <w:numPr>
          <w:ilvl w:val="0"/>
          <w:numId w:val="1002"/>
        </w:numPr>
      </w:pPr>
      <w:r>
        <w:t xml:space="preserve">Subpartida 8705.40. Aplicando RGI 6, dentro de 87.05 la subpartida con un guion “8705.40 – Camiones hormigonera” describe de manera directa el objeto analizado, por lo que procede mantenerla por su especificidad .</w:t>
      </w:r>
    </w:p>
    <w:p>
      <w:pPr>
        <w:numPr>
          <w:ilvl w:val="0"/>
          <w:numId w:val="1002"/>
        </w:numPr>
      </w:pPr>
      <w:r>
        <w:t xml:space="preserve">Carácter esencial. Aun si se considerase la naturaleza compuesta del bien (mezcladora de concreto + cazo cargador en un vehículo), RGI 3 b) conduce a la función que confiere el carácter esencial, esto es, la preparación y entrega de concreto, función representada por el sistema hormigonera sobre chasis de camión, lo que confirma 87.05 y, a nivel de subpartida, 8705.40 .</w:t>
      </w:r>
    </w:p>
    <w:p>
      <w:pPr>
        <w:pStyle w:val="FirstParagraph"/>
      </w:pPr>
      <w:r>
        <w:t xml:space="preserve">III. Exclusión de partidas o capítulos alternativos (Capítulos 87 y 84)</w:t>
      </w:r>
    </w:p>
    <w:p>
      <w:pPr>
        <w:numPr>
          <w:ilvl w:val="0"/>
          <w:numId w:val="1003"/>
        </w:numPr>
      </w:pPr>
      <w:r>
        <w:t xml:space="preserve">Partida 87.04 (Vehículos automóviles para transporte de mercancías). No procede. La NESA del Capítulo 87 es categórica: si el vehículo cuenta con un artefacto con “función propia o adicional”, se considera vehículo para uso especial de la 87.05 . El trompo mezclador y el sistema de autocarga equivalen a dicha función propia. En consecuencia, no puede tratarse como simple vehículo de transporte de mercancías de 87.04.</w:t>
      </w:r>
    </w:p>
    <w:p>
      <w:pPr>
        <w:numPr>
          <w:ilvl w:val="0"/>
          <w:numId w:val="1003"/>
        </w:numPr>
      </w:pPr>
      <w:r>
        <w:t xml:space="preserve">Partida 87.09 (Carretillas automóvil…). No procede. La 87.09 se limita a “carretillas automóvil… de los tipos utilizados en fábricas, almacenes, puertos o aeropuertos, para transporte de mercancías a corta distancia” , sin dispositivo de elevación, lo cual no corresponde a un camión hormigonera equipado con artefacto de mezcla y descarga para obra.</w:t>
      </w:r>
    </w:p>
    <w:p>
      <w:pPr>
        <w:numPr>
          <w:ilvl w:val="0"/>
          <w:numId w:val="1003"/>
        </w:numPr>
      </w:pPr>
      <w:r>
        <w:t xml:space="preserve">Capítulo 84, partida 84.74 (maquinaria de preparación de materias minerales; hormigoneras). Se descarta a nivel de partida. Aunque el texto de 8474.31 contempla “Hormigoneras y aparatos de amasar mortero” , el bien a clasificar es un “vehículo automóvil” con equipo de trabajo montado permanentemente. Con arreglo a RGI 1 y 3 a), la descripción más específica y propia del producto es la de “vehículo automóvil para uso especial” (87.05) que, además, cita expresamente a los “camiones hormigonera” . Las máquinas de 84.74 abarcan las hormigoneras como máquinas, pero no transforman a un camión equipado en “máquina del Capítulo 84”; el Capítulo 87 regula los vehículos automóviles con equipo específico.</w:t>
      </w:r>
    </w:p>
    <w:p>
      <w:pPr>
        <w:numPr>
          <w:ilvl w:val="0"/>
          <w:numId w:val="1003"/>
        </w:numPr>
      </w:pPr>
      <w:r>
        <w:t xml:space="preserve">Capítulo 84, partidas 84.29 y 84.30 (máquinas de movimiento de tierras). No proceden. El cazo de carga es auxiliar respecto de la función principal (mezclar y verter concreto). Las partidas 84.29 y 84.30 describen “palas mecánicas, excavadoras, cargadoras” y demás máquinas para explanar, excavar o compactar , lo cual no identifica el bien ni su función esencial. Por RGI 3 b), el carácter esencial recae en la función hormigonera sobre vehículo, no en la función de carga accesoria .</w:t>
      </w:r>
    </w:p>
    <w:p>
      <w:pPr>
        <w:pStyle w:val="FirstParagraph"/>
      </w:pPr>
      <w:r>
        <w:t xml:space="preserve">Nota interpretativa sobre “autocarga”: La NESA del Cap. 87 menciona, en relación con el ejemplo de camiones grúa de la subpartida 8705.10, una exclusión para “vehículos… de la partida 87.04 que se cargan ellos mismos” . Dicha precisión se formula en el contexto de camiones grúa, no de camiones hormigonera; además, la nota 7 de ese mismo compendio aclara que cuando el artefacto montado tiene función propia o adicional, el vehículo deja de ser 87.04 y pasa a 87.05 . En el caso de un camión hormigonera autocargable, la función especial (mezclar y verter concreto) se mantiene como determinante, y la propia partida 87.05 cita expresamente a los “camiones hormigonera” .</w:t>
      </w:r>
    </w:p>
    <w:p>
      <w:pPr>
        <w:pStyle w:val="BodyText"/>
      </w:pPr>
      <w:r>
        <w:t xml:space="preserve">IV. Requisitos documentales</w:t>
      </w:r>
    </w:p>
    <w:p>
      <w:pPr>
        <w:pStyle w:val="BodyText"/>
      </w:pPr>
      <w:r>
        <w:t xml:space="preserve">Para sustentar la clasificación ante la autoridad, el importador deberá exhibir, al menos:</w:t>
      </w:r>
    </w:p>
    <w:p>
      <w:pPr>
        <w:numPr>
          <w:ilvl w:val="0"/>
          <w:numId w:val="1004"/>
        </w:numPr>
        <w:pStyle w:val="Compact"/>
      </w:pPr>
      <w:r>
        <w:t xml:space="preserve">Ficha técnica y catálogo del fabricante, indicando: diseño como vehículo automóvil, chasis, motor, sistema de transmisión, velocidad máxima, peso total con carga máxima y especificación de que el equipo de mezcla y autocarga está montado de forma permanente.</w:t>
      </w:r>
    </w:p>
    <w:p>
      <w:pPr>
        <w:numPr>
          <w:ilvl w:val="0"/>
          <w:numId w:val="1004"/>
        </w:numPr>
        <w:pStyle w:val="Compact"/>
      </w:pPr>
      <w:r>
        <w:t xml:space="preserve">Manual de operación y mantenimiento del equipo de mezcla y del sistema de autocarga/descarga.</w:t>
      </w:r>
    </w:p>
    <w:p>
      <w:pPr>
        <w:numPr>
          <w:ilvl w:val="0"/>
          <w:numId w:val="1004"/>
        </w:numPr>
        <w:pStyle w:val="Compact"/>
      </w:pPr>
      <w:r>
        <w:t xml:space="preserve">Planos o fotografías del conjunto mostrando cabina, chasis, trompo, brazos de carga y canal de descarga, así como la fijación permanente del equipo al chasis.</w:t>
      </w:r>
    </w:p>
    <w:p>
      <w:pPr>
        <w:numPr>
          <w:ilvl w:val="0"/>
          <w:numId w:val="1004"/>
        </w:numPr>
        <w:pStyle w:val="Compact"/>
      </w:pPr>
      <w:r>
        <w:t xml:space="preserve">Declaración del fabricante sobre el uso previsto: preparación, transporte y descarga de concreto/mortero en sitio.</w:t>
      </w:r>
    </w:p>
    <w:p>
      <w:pPr>
        <w:numPr>
          <w:ilvl w:val="0"/>
          <w:numId w:val="1004"/>
        </w:numPr>
        <w:pStyle w:val="Compact"/>
      </w:pPr>
      <w:r>
        <w:t xml:space="preserve">En su caso, evidencia de condición “nuevo” o “usado” (odómetro, número de serie/año modelo), si se requiriera llegar a fracción, sin perjuicio de que en este dictamen se resuelve a nivel de subpartida.</w:t>
      </w:r>
    </w:p>
    <w:p>
      <w:pPr>
        <w:pStyle w:val="FirstParagraph"/>
      </w:pPr>
      <w:r>
        <w:t xml:space="preserve">V. Conclusión</w:t>
      </w:r>
    </w:p>
    <w:p>
      <w:pPr>
        <w:pStyle w:val="BodyText"/>
      </w:pPr>
      <w:r>
        <w:t xml:space="preserve">Con fundamento en RGI 1, 3 a), 3 b) y 6, en las Notas y NESA del Capítulo 87, y en los textos legales aplicables, se determina que el producto descrito se clasifica como camión hormigonera, al ser un vehículo automóvil para uso especial con equipo de mezcla y autocarga montado permanentemente, función distinta al transporte ordinario de mercancías y expresamente contemplada en la partida 87.05 y la subpartida 8705.40 .</w:t>
      </w:r>
    </w:p>
    <w:p>
      <w:pPr>
        <w:pStyle w:val="BodyText"/>
      </w:pPr>
      <w:r>
        <w:t xml:space="preserve">Tabla de clasificación</w:t>
      </w:r>
    </w:p>
    <w:p>
      <w:pPr>
        <w:numPr>
          <w:ilvl w:val="0"/>
          <w:numId w:val="1005"/>
        </w:numPr>
        <w:pStyle w:val="Compact"/>
      </w:pPr>
      <w:r>
        <w:t xml:space="preserve">Capítulo: 87 (Vehículos automóviles; etc.)</w:t>
      </w:r>
    </w:p>
    <w:p>
      <w:pPr>
        <w:numPr>
          <w:ilvl w:val="0"/>
          <w:numId w:val="1005"/>
        </w:numPr>
        <w:pStyle w:val="Compact"/>
      </w:pPr>
      <w:r>
        <w:t xml:space="preserve">Partida: 87.05 (Vehículos automóviles para usos especiales… “camiones hormigonera”)</w:t>
      </w:r>
    </w:p>
    <w:p>
      <w:pPr>
        <w:numPr>
          <w:ilvl w:val="0"/>
          <w:numId w:val="1005"/>
        </w:numPr>
        <w:pStyle w:val="Compact"/>
      </w:pPr>
      <w:r>
        <w:t xml:space="preserve">Subpartida: 87.05.40 (Camiones hormigonera)</w:t>
      </w:r>
    </w:p>
    <w:p>
      <w:pPr>
        <w:numPr>
          <w:ilvl w:val="0"/>
          <w:numId w:val="1005"/>
        </w:numPr>
        <w:pStyle w:val="Compact"/>
      </w:pPr>
      <w:r>
        <w:t xml:space="preserve">Fracción: No determinada en este dictamen (resuelto solo a nivel de subpartida conforme instrucción)</w:t>
      </w:r>
    </w:p>
    <w:p>
      <w:pPr>
        <w:numPr>
          <w:ilvl w:val="0"/>
          <w:numId w:val="1005"/>
        </w:numPr>
        <w:pStyle w:val="Compact"/>
      </w:pPr>
      <w:r>
        <w:t xml:space="preserve">NICO: No determinado en este dictamen</w:t>
      </w:r>
    </w:p>
    <w:p>
      <w:pPr>
        <w:pStyle w:val="FirstParagraph"/>
      </w:pPr>
      <w:r>
        <w:t xml:space="preserve">Resolución: Subpartida 8705.40.</w:t>
      </w:r>
    </w:p>
    <w:p>
      <w:pPr>
        <w:pStyle w:val="BodyText"/>
      </w:pPr>
      <w:r>
        <w:t xml:space="preserve">Se hace constar que se ha dado preferencia a la descripción más específica (RGI 3 a)) y al carácter esencial (RGI 3 b)) sobre descripciones genéricas de los Capítulos 87 y 84, descartando 87.04, 87.09, 84.74, 84.29 y 84.30 con la fundamentación expuesta.</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87.05.40 no se menciona en los anexos de la LIGIE.</w:t>
      </w:r>
    </w:p>
    <w:p>
      <w:pPr>
        <w:pStyle w:val="BodyText"/>
      </w:pPr>
      <w:r>
        <w:t xml:space="preserve">El código 87.05.40 no se menciona en el DOF en el período 15/07/2025 al 30/08/2025.</w:t>
      </w:r>
    </w:p>
    <w:bookmarkEnd w:id="23"/>
    <w:bookmarkStart w:id="24" w:name="documentación-consultada"/>
    <w:p>
      <w:pPr>
        <w:pStyle w:val="Heading3"/>
      </w:pPr>
      <w:r>
        <w:t xml:space="preserve">Documentación consultada</w:t>
      </w:r>
    </w:p>
    <w:p>
      <w:pPr>
        <w:numPr>
          <w:ilvl w:val="0"/>
          <w:numId w:val="1006"/>
        </w:numPr>
        <w:pStyle w:val="Compact"/>
      </w:pPr>
      <w:r>
        <w:t xml:space="preserve">Referencias: Ley de los Impuestos Generales de Importación y de Exportación</w:t>
      </w:r>
    </w:p>
    <w:p>
      <w:pPr>
        <w:numPr>
          <w:ilvl w:val="0"/>
          <w:numId w:val="1006"/>
        </w:numPr>
        <w:pStyle w:val="Compact"/>
      </w:pPr>
      <w:r>
        <w:t xml:space="preserve">Versión LIGIE: 7ma Enmienda del Sistema Armonizado</w:t>
      </w:r>
    </w:p>
    <w:p>
      <w:pPr>
        <w:numPr>
          <w:ilvl w:val="0"/>
          <w:numId w:val="1006"/>
        </w:numPr>
        <w:pStyle w:val="Compact"/>
      </w:pPr>
      <w:r>
        <w:t xml:space="preserve">Archivo: LIGIE-UNIFICADA-LIGIE_20250728-20250728.pdf</w:t>
      </w:r>
    </w:p>
    <w:p>
      <w:pPr>
        <w:numPr>
          <w:ilvl w:val="0"/>
          <w:numId w:val="1006"/>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