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11:14:43</w:t>
      </w:r>
    </w:p>
    <w:p>
      <w:pPr>
        <w:pStyle w:val="BodyText"/>
      </w:pPr>
      <w:r>
        <w:t xml:space="preserve">Cuenta: Ver18-b</w:t>
      </w:r>
    </w:p>
    <w:p>
      <w:pPr>
        <w:pStyle w:val="BodyText"/>
      </w:pPr>
      <w:r>
        <w:t xml:space="preserve">Usuario: cmhs</w:t>
      </w:r>
    </w:p>
    <w:p>
      <w:pPr>
        <w:pStyle w:val="BodyText"/>
      </w:pPr>
      <w:r>
        <w:t xml:space="preserve">ITEM: Preparación alimenticia obtenida mediante procesos biotecnológicos a partir de células fibroblásticas de codorniz cultivadas (Coturnix japonica). El producto se suministra como ingrediente procesado para su uso en la fabricación de alimentos. No se presenta como carne, preparaciones de carne ni partes comestibles de animales, sino como una preparación estabilizada con un contenido de proteína superior al 4%, humedad mayor al 80% y grasa entre 0.5–3%. Está destinada exclusivamente como componente formulado para incorporarse a productos alimenticios compuestos y no se encuadra en partidas de carne cruda ni de productos de origen animal.</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21</w:t>
            </w:r>
          </w:p>
        </w:tc>
        <w:tc>
          <w:p>
            <w:pPr>
              <w:pStyle w:val="Compact"/>
              <w:jc w:val="left"/>
            </w:pPr>
            <w:r>
              <w:t xml:space="preserve">Conforme a la RGI 1, la clasificación se determina por los textos de las partidas y las notas legales; la partida 21.06 abarca expresamente “preparaciones alimenticias no expresadas ni comprendidas en otra parte” (21.06). El Capítulo 21 excluye únicamente aquellas preparaciones con &gt;20% de carne/despojos/insectos, que se clasifican en el Capítulo 16 (Nota 1(e)). El artículo es un ingrediente estabilizado para alimentos compuestos, no presentado como carne ni partes comestibles, por lo que encuadra en 21.06. El ámbito de la Sección IV (productos de la industria alimentaria) incluye el Capítulo 21.</w:t>
            </w:r>
          </w:p>
        </w:tc>
      </w:tr>
      <w:tr>
        <w:tc>
          <w:p>
            <w:pPr>
              <w:pStyle w:val="Compact"/>
              <w:jc w:val="right"/>
            </w:pPr>
            <w:r>
              <w:rPr>
                <w:bCs/>
                <w:b/>
              </w:rPr>
              <w:t xml:space="preserve">04</w:t>
            </w:r>
          </w:p>
        </w:tc>
        <w:tc>
          <w:p>
            <w:pPr>
              <w:pStyle w:val="Compact"/>
              <w:jc w:val="left"/>
            </w:pPr>
            <w:r>
              <w:t xml:space="preserve">El Capítulo 04 incluye “Insectos y demás productos comestibles de origen animal, n.e.p.” (04.10) y podría considerarse si se entiende como un producto comestible de origen animal. Sin embargo, las NESA aclaran que los insectos comestibles preparados o conservados de otra forma generalmente se clasifican en la Sección IV (preparaciones alimenticias) y no en 04.10. Dado que el artículo es una preparación procesada/estabilizada para la fabricación de alimentos, el Capítulo 21 resulta más apropiado.</w:t>
            </w:r>
          </w:p>
        </w:tc>
      </w:tr>
      <w:tr>
        <w:tc>
          <w:p>
            <w:pPr>
              <w:pStyle w:val="Compact"/>
              <w:jc w:val="right"/>
            </w:pPr>
            <w:r>
              <w:rPr>
                <w:bCs/>
                <w:b/>
              </w:rPr>
              <w:t xml:space="preserve">16</w:t>
            </w:r>
          </w:p>
        </w:tc>
        <w:tc>
          <w:p>
            <w:pPr>
              <w:pStyle w:val="Compact"/>
              <w:jc w:val="left"/>
            </w:pPr>
            <w:r>
              <w:t xml:space="preserve">El Capítulo 16 abarca preparaciones de carne/despojos/insectos solo cuando la preparación contiene &gt;20% (en peso) de dichos productos (Nota 2). Dado que la descripción indica que no se presenta como carne, preparación de carne ni partes comestibles de animales, no se cumple el Capítulo 16; cuando no se satisface la Nota 2, tales alimentos se clasifican en el Capítulo 21 (véase la remisión de la Nota 1(e) del Cap. 21).</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 aplicable</w:t>
      </w:r>
    </w:p>
    <w:p>
      <w:pPr>
        <w:numPr>
          <w:ilvl w:val="0"/>
          <w:numId w:val="1001"/>
        </w:numPr>
        <w:pStyle w:val="Compact"/>
      </w:pPr>
      <w:r>
        <w:t xml:space="preserve">Regla General de Interpretación (RGI) 1: “LOS TITULOS DE LAS SECCIONES, DE LOS CAPITULOS O DE LOS SUBCAPITULOS SOLO TIENEN UN VALOR INDICATIVO, YA QUE LA CLASIFICACION ESTA DETERMINADA LEGALMENTE POR LOS TEXTOS DE LAS PARTIDAS Y DE LAS NOTAS DE SECCION O DE CAPITULO…” .</w:t>
      </w:r>
    </w:p>
    <w:p>
      <w:pPr>
        <w:numPr>
          <w:ilvl w:val="0"/>
          <w:numId w:val="1001"/>
        </w:numPr>
        <w:pStyle w:val="Compact"/>
      </w:pPr>
      <w:r>
        <w:t xml:space="preserve">RGI 3(a): “LA PARTIDA CON DESCRIPCION MAS ESPECIFICA TENDRA PRIORIDAD SOBRE LAS PARTIDAS DE ALCANCE MAS GENERICO…” y sus notas explicativas sobre prioridad de la partida más específica y su apreciación .</w:t>
      </w:r>
    </w:p>
    <w:p>
      <w:pPr>
        <w:numPr>
          <w:ilvl w:val="0"/>
          <w:numId w:val="1001"/>
        </w:numPr>
        <w:pStyle w:val="Compact"/>
      </w:pPr>
      <w:r>
        <w:t xml:space="preserve">RGI 3(b): “…SE CLASIFICARAN SEGUN LA MATERIA O CON EL ARTICULO QUE LES CONFIERA SU CARACTER ESENCIAL, SI FUERA POSIBLE DETERMINARLO…” , con criterio de carácter esencial referido a naturaleza, volumen, peso, valor o importancia de la materia en la utilización de la mercancía .</w:t>
      </w:r>
    </w:p>
    <w:p>
      <w:pPr>
        <w:numPr>
          <w:ilvl w:val="0"/>
          <w:numId w:val="1001"/>
        </w:numPr>
        <w:pStyle w:val="Compact"/>
      </w:pPr>
      <w:r>
        <w:t xml:space="preserve">RGI 6 (subpartidas): “LA CLASIFICACION DE MERCANCIAS EN LAS SUBPARTIDAS DE UNA MISMA PARTIDA ESTA DETERMINADA LEGALMENTE POR LOS TEXTOS DE ESTAS SUBPARTIDAS… BIEN ENTENDIDO QUE SOLO PUEDEN COMPARARSE SUBPARTIDAS DEL MISMO NIVEL.” .</w:t>
      </w:r>
    </w:p>
    <w:p>
      <w:pPr>
        <w:numPr>
          <w:ilvl w:val="0"/>
          <w:numId w:val="1001"/>
        </w:numPr>
        <w:pStyle w:val="Compact"/>
      </w:pPr>
      <w:r>
        <w:t xml:space="preserve">Capítulo 21, Notas legales: Nota 1(e) excluye de este Capítulo las “preparaciones alimenticias que contengan una proporción superior al 20% en peso de embutidos, carne, despojos, sangre, insectos, pescado o de crustáceos, moluscos o demás invertebrados acuáticos… (Capítulo 16), excepto los productos descritos en las partidas 21.03 o 21.04” .</w:t>
      </w:r>
    </w:p>
    <w:p>
      <w:pPr>
        <w:numPr>
          <w:ilvl w:val="0"/>
          <w:numId w:val="1001"/>
        </w:numPr>
        <w:pStyle w:val="Compact"/>
      </w:pPr>
      <w:r>
        <w:t xml:space="preserve">Texto de la partida 21.06: “Preparaciones alimenticias no expresadas ni comprendidas en otra parte.” Subpartidas: 2106.10 “Concentrados de proteínas y sustancias proteicas texturadas.” y 2106.90 “Las demás.” .</w:t>
      </w:r>
    </w:p>
    <w:p>
      <w:pPr>
        <w:numPr>
          <w:ilvl w:val="0"/>
          <w:numId w:val="1001"/>
        </w:numPr>
        <w:pStyle w:val="Compact"/>
      </w:pPr>
      <w:r>
        <w:t xml:space="preserve">Capítulo 04, ámbito y exclusiones: “Leche y productos lácteos; huevos de ave; miel natural; productos comestibles de origen animal, no expresados ni comprendidos en otra parte” (título) y Nota 5(c) (excluye ciertos productos lácteos modificados hacia 19.01 o 21.06) . Asimismo, la partida 04.10 se refiere específicamente a insectos comestibles y sus harinas/polvos, no a cultivos celulares de aves .</w:t>
      </w:r>
    </w:p>
    <w:p>
      <w:pPr>
        <w:numPr>
          <w:ilvl w:val="0"/>
          <w:numId w:val="1001"/>
        </w:numPr>
        <w:pStyle w:val="Compact"/>
      </w:pPr>
      <w:r>
        <w:t xml:space="preserve">Capítulo 21, otras partidas relevantes a descartar por su tenor literal: 21.01 (extractos/essencias de café, té o yerba mate) ; 21.02 (levaduras y demás microorganismos monocelulares muertos) ; 21.03 (preparaciones para salsas) ; 21.04 (preparaciones para sopas, potajes o caldos) ; 21.05 (helados) .</w:t>
      </w:r>
    </w:p>
    <w:p>
      <w:pPr>
        <w:pStyle w:val="FirstParagraph"/>
      </w:pPr>
      <w:r>
        <w:t xml:space="preserve">II. Análisis jurídico-técnico</w:t>
      </w:r>
    </w:p>
    <w:p>
      <w:pPr>
        <w:numPr>
          <w:ilvl w:val="0"/>
          <w:numId w:val="1002"/>
        </w:numPr>
        <w:pStyle w:val="Compact"/>
      </w:pPr>
      <w:r>
        <w:t xml:space="preserve">Descripción del bien: Preparación alimenticia obtenida por procesos biotecnológicos a partir de cultivos de células fibroblásticas de codorniz (Coturnix japonica), estabilizada, presentada como ingrediente para uso en la fabricación de alimentos, con proteína &gt;4%, humedad &gt;80% y grasa de 0.5–3%. No se presenta como carne, preparación de carne ni partes comestibles de animales; se declara expresamente como ingrediente para alimentos compuestos.</w:t>
      </w:r>
    </w:p>
    <w:p>
      <w:pPr>
        <w:numPr>
          <w:ilvl w:val="0"/>
          <w:numId w:val="1003"/>
        </w:numPr>
        <w:pStyle w:val="Compact"/>
      </w:pPr>
      <w:r>
        <w:t xml:space="preserve">Determinación del Capítulo (RGI 1)</w:t>
      </w:r>
    </w:p>
    <w:p>
      <w:pPr>
        <w:numPr>
          <w:ilvl w:val="0"/>
          <w:numId w:val="1004"/>
        </w:numPr>
        <w:pStyle w:val="Compact"/>
      </w:pPr>
      <w:r>
        <w:t xml:space="preserve">Capítulo 04: se circunscribe a leche y productos lácteos, huevos, miel y determinados productos comestibles de origen animal no comprendidos en otra parte; además, la Nota 5(c) remite ciertos productos lácteos modificados a 21.06, lo que confirma la naturaleza residual de 21.06 para preparaciones alimenticias fuera del ámbito lácteo/ovoproductos . El producto no es leche/derivados, huevos ni miel, ni insectos comestibles (04.10) . Se descarta el Capítulo 04.</w:t>
      </w:r>
    </w:p>
    <w:p>
      <w:pPr>
        <w:numPr>
          <w:ilvl w:val="0"/>
          <w:numId w:val="1004"/>
        </w:numPr>
        <w:pStyle w:val="Compact"/>
      </w:pPr>
      <w:r>
        <w:t xml:space="preserve">Capítulo 21: por su tenor y notas, alberga “preparaciones alimenticias diversas”. La Nota 1(e) desplaza al Capítulo 16 las preparaciones con &gt;20% en peso de carne, despojos, sangre, etc., salvo 21.03 y 21.04; el producto no se presenta como carne o despojos ni como preparación con dichos contenidos, siendo un ingrediente de alto contenido de agua y bajo de grasa y proteína, por lo que no opera la exclusión hacia el Capítulo 16 .</w:t>
      </w:r>
    </w:p>
    <w:p>
      <w:pPr>
        <w:numPr>
          <w:ilvl w:val="0"/>
          <w:numId w:val="1005"/>
        </w:numPr>
        <w:pStyle w:val="Compact"/>
      </w:pPr>
      <w:r>
        <w:t xml:space="preserve">Selección de partida dentro del Capítulo 21 (RGI 1 y RGI 3(a))</w:t>
      </w:r>
    </w:p>
    <w:p>
      <w:pPr>
        <w:numPr>
          <w:ilvl w:val="0"/>
          <w:numId w:val="1006"/>
        </w:numPr>
        <w:pStyle w:val="Compact"/>
      </w:pPr>
      <w:r>
        <w:t xml:space="preserve">21.01: extractos/essencias de café/té/yerba mate; improcedente por naturaleza del producto .</w:t>
      </w:r>
    </w:p>
    <w:p>
      <w:pPr>
        <w:numPr>
          <w:ilvl w:val="0"/>
          <w:numId w:val="1006"/>
        </w:numPr>
        <w:pStyle w:val="Compact"/>
      </w:pPr>
      <w:r>
        <w:t xml:space="preserve">21.02: levaduras (vivas o muertas) y demás microorganismos monocelulares muertos; improcedente, pues el insumo son células animales (fibroblastos), no microorganismos monocelulares ni levaduras .</w:t>
      </w:r>
    </w:p>
    <w:p>
      <w:pPr>
        <w:numPr>
          <w:ilvl w:val="0"/>
          <w:numId w:val="1006"/>
        </w:numPr>
        <w:pStyle w:val="Compact"/>
      </w:pPr>
      <w:r>
        <w:t xml:space="preserve">21.03: salsas y condimentos; improcedente, no es salsa ni condimento .</w:t>
      </w:r>
    </w:p>
    <w:p>
      <w:pPr>
        <w:numPr>
          <w:ilvl w:val="0"/>
          <w:numId w:val="1006"/>
        </w:numPr>
        <w:pStyle w:val="Compact"/>
      </w:pPr>
      <w:r>
        <w:t xml:space="preserve">21.04: preparaciones para sopas/potajes o caldos; improcedente, no es base para sopa ni producto homogeneizado de venta al por menor conforme a la Nota 3 del Capítulo 21 y .</w:t>
      </w:r>
    </w:p>
    <w:p>
      <w:pPr>
        <w:numPr>
          <w:ilvl w:val="0"/>
          <w:numId w:val="1006"/>
        </w:numPr>
        <w:pStyle w:val="Compact"/>
      </w:pPr>
      <w:r>
        <w:t xml:space="preserve">21.05: helados; improcedente .</w:t>
      </w:r>
    </w:p>
    <w:p>
      <w:pPr>
        <w:numPr>
          <w:ilvl w:val="0"/>
          <w:numId w:val="1006"/>
        </w:numPr>
        <w:pStyle w:val="Compact"/>
      </w:pPr>
      <w:r>
        <w:t xml:space="preserve">21.06: “Preparaciones alimenticias no expresadas ni comprendidas en otra parte.” Por exclusión y por descripción, la mercancía encaja en esta partida residual de alimentos, al tratarse de un ingrediente alimenticio procesado no descrito en partidas anteriores del Capítulo 21 ni en el Capítulo 04 (RGI 1) .</w:t>
      </w:r>
    </w:p>
    <w:p>
      <w:pPr>
        <w:numPr>
          <w:ilvl w:val="0"/>
          <w:numId w:val="1007"/>
        </w:numPr>
        <w:pStyle w:val="Compact"/>
      </w:pPr>
      <w:r>
        <w:t xml:space="preserve">Selección de subpartida (RGI 6 y RGI 3(a))</w:t>
      </w:r>
    </w:p>
    <w:p>
      <w:pPr>
        <w:numPr>
          <w:ilvl w:val="0"/>
          <w:numId w:val="1008"/>
        </w:numPr>
        <w:pStyle w:val="Compact"/>
      </w:pPr>
      <w:r>
        <w:t xml:space="preserve">Subpartidas posibles a un guion en 21.06:</w:t>
      </w:r>
      <w:r>
        <w:t xml:space="preserve"> </w:t>
      </w:r>
      <w:r>
        <w:t xml:space="preserve">• 2106.10 “Concentrados de proteínas y sustancias proteicas texturadas” .</w:t>
      </w:r>
      <w:r>
        <w:t xml:space="preserve"> </w:t>
      </w:r>
      <w:r>
        <w:t xml:space="preserve">• 2106.90 “Las demás” .</w:t>
      </w:r>
    </w:p>
    <w:p>
      <w:pPr>
        <w:numPr>
          <w:ilvl w:val="0"/>
          <w:numId w:val="1008"/>
        </w:numPr>
        <w:pStyle w:val="Compact"/>
      </w:pPr>
      <w:r>
        <w:t xml:space="preserve">Análisis técnico:</w:t>
      </w:r>
      <w:r>
        <w:t xml:space="preserve"> </w:t>
      </w:r>
      <w:r>
        <w:t xml:space="preserve">• El producto, con &gt;80% de humedad y proteína “por encima de 4%”, no se identifica como “concentrado de proteínas” ni como “sustancia proteica texturizada”; no se describe proceso de texturización ni una concentración proteica propia de los concentrados. Por RGI 6, la comparación debe regirse por el texto de las subpartidas del mismo nivel; 2106.10 exige que el artículo sea, por sí, un “concentrado” o “texturizado” proteico, condición que no se acredita con los datos proporcionados .</w:t>
      </w:r>
      <w:r>
        <w:t xml:space="preserve"> </w:t>
      </w:r>
      <w:r>
        <w:t xml:space="preserve">• En consecuencia, por RGI 6 y RGI 3(a), al no corresponder la descripción específica de 2106.10, procede la subpartida residual 2106.90 “Las demás” .</w:t>
      </w:r>
    </w:p>
    <w:p>
      <w:pPr>
        <w:pStyle w:val="FirstParagraph"/>
      </w:pPr>
      <w:r>
        <w:t xml:space="preserve">III. Exclusión de partidas o capítulos alternativos (Cap. 21 y 04)</w:t>
      </w:r>
    </w:p>
    <w:p>
      <w:pPr>
        <w:numPr>
          <w:ilvl w:val="0"/>
          <w:numId w:val="1009"/>
        </w:numPr>
        <w:pStyle w:val="Compact"/>
      </w:pPr>
      <w:r>
        <w:t xml:space="preserve">21.01: No son extractos/esencias de café/té/yerba mate ni preparaciones a base de ellos (texto de partida) .</w:t>
      </w:r>
    </w:p>
    <w:p>
      <w:pPr>
        <w:numPr>
          <w:ilvl w:val="0"/>
          <w:numId w:val="1009"/>
        </w:numPr>
        <w:pStyle w:val="Compact"/>
      </w:pPr>
      <w:r>
        <w:t xml:space="preserve">21.02: No son levaduras ni microorganismos monocelulares muertos; las células animales (fibroblastos) no se encuadran en “microorganismos monocelulares” (texto de partida) .</w:t>
      </w:r>
    </w:p>
    <w:p>
      <w:pPr>
        <w:numPr>
          <w:ilvl w:val="0"/>
          <w:numId w:val="1009"/>
        </w:numPr>
        <w:pStyle w:val="Compact"/>
      </w:pPr>
      <w:r>
        <w:t xml:space="preserve">21.03: No son salsas ni condimentos (texto de partida) .</w:t>
      </w:r>
    </w:p>
    <w:p>
      <w:pPr>
        <w:numPr>
          <w:ilvl w:val="0"/>
          <w:numId w:val="1009"/>
        </w:numPr>
        <w:pStyle w:val="Compact"/>
      </w:pPr>
      <w:r>
        <w:t xml:space="preserve">21.04: No son preparaciones para sopas/potajes o caldos, ni “preparaciones alimenticias compuestas homogeneizadas” de venta al por menor según Nota 3 del Capítulo 21; el producto es un ingrediente para uso industrial, no una preparación homogeneizada para lactantes/uso dietético en envases ≤250 g y .</w:t>
      </w:r>
    </w:p>
    <w:p>
      <w:pPr>
        <w:numPr>
          <w:ilvl w:val="0"/>
          <w:numId w:val="1009"/>
        </w:numPr>
        <w:pStyle w:val="Compact"/>
      </w:pPr>
      <w:r>
        <w:t xml:space="preserve">21.05: No son helados ni otras nieves (texto de partida) .</w:t>
      </w:r>
    </w:p>
    <w:p>
      <w:pPr>
        <w:numPr>
          <w:ilvl w:val="0"/>
          <w:numId w:val="1009"/>
        </w:numPr>
        <w:pStyle w:val="Compact"/>
      </w:pPr>
      <w:r>
        <w:t xml:space="preserve">21.06.10: No se acredita condición de “concentrado de proteínas” ni “sustancia proteica texturizada” (texto de subpartida). El bajo tenor proteico declarado y la altísima humedad impiden identificar carácter de concentrado; no hay indicios de texturización . Por RGI 6, se descarta 2106.10 frente a 2106.90.</w:t>
      </w:r>
    </w:p>
    <w:p>
      <w:pPr>
        <w:numPr>
          <w:ilvl w:val="0"/>
          <w:numId w:val="1009"/>
        </w:numPr>
        <w:pStyle w:val="Compact"/>
      </w:pPr>
      <w:r>
        <w:t xml:space="preserve">Capítulo 21, Nota 1(e): No hay indicios de &gt;20% en peso de carne/despojos/etc.; además el propio interesado indica que no se presenta como carne ni preparación de carne, por lo que no opera la exclusión hacia Capítulo 16 (salvedad de 21.03/21.04) .</w:t>
      </w:r>
    </w:p>
    <w:p>
      <w:pPr>
        <w:numPr>
          <w:ilvl w:val="0"/>
          <w:numId w:val="1009"/>
        </w:numPr>
        <w:pStyle w:val="Compact"/>
      </w:pPr>
      <w:r>
        <w:t xml:space="preserve">Capítulo 04 (incluidas sus Notas): El producto no es leche/derivados, huevos ni miel; la Nota 5(c) reafirma que ciertos productos fuera del tenor lácteo se clasifican en 21.06, lo que corrobora la improcedencia del Capítulo 04 para el caso ; 04.10 versa sobre insectos comestibles y sus harinas/polvos, supuesto no aplicable .</w:t>
      </w:r>
    </w:p>
    <w:p>
      <w:pPr>
        <w:pStyle w:val="FirstParagraph"/>
      </w:pPr>
      <w:r>
        <w:t xml:space="preserve">Importante sobre 2106.90: Dado que la presente resolución propone 2106.90 como subpartida aplicable, no procede su descarte. Al contrario, se adopta 2106.90 por ser la única subpartida cuyo texto abarca de manera adecuada una “preparación alimenticia no expresada ni comprendida en otra parte”, una vez excluida 2106.10 por su especificidad no satisfecha (RGI 6 y RGI 3(a)) .</w:t>
      </w:r>
    </w:p>
    <w:p>
      <w:pPr>
        <w:pStyle w:val="BodyText"/>
      </w:pPr>
      <w:r>
        <w:t xml:space="preserve">IV. Requisitos documentales</w:t>
      </w:r>
      <w:r>
        <w:t xml:space="preserve"> </w:t>
      </w:r>
      <w:r>
        <w:t xml:space="preserve">Para sustentar la clasificación y, en su caso, descartar subhipótesis más específicas dentro de 21.06:</w:t>
      </w:r>
    </w:p>
    <w:p>
      <w:pPr>
        <w:numPr>
          <w:ilvl w:val="0"/>
          <w:numId w:val="1010"/>
        </w:numPr>
        <w:pStyle w:val="Compact"/>
      </w:pPr>
      <w:r>
        <w:t xml:space="preserve">Ficha técnica completa y hoja de especificaciones: composición cuantitativa (proteína en base húmeda y seca, humedad, grasa, carbohidratos, cenizas), pH, actividad de agua.</w:t>
      </w:r>
    </w:p>
    <w:p>
      <w:pPr>
        <w:numPr>
          <w:ilvl w:val="0"/>
          <w:numId w:val="1010"/>
        </w:numPr>
        <w:pStyle w:val="Compact"/>
      </w:pPr>
      <w:r>
        <w:t xml:space="preserve">Descripción del proceso biotecnológico: tipo de cultivo celular, origen y naturaleza de la línea celular de coturnix, etapas de estabilización y cualquier tratamiento de texturización.</w:t>
      </w:r>
    </w:p>
    <w:p>
      <w:pPr>
        <w:numPr>
          <w:ilvl w:val="0"/>
          <w:numId w:val="1010"/>
        </w:numPr>
        <w:pStyle w:val="Compact"/>
      </w:pPr>
      <w:r>
        <w:t xml:space="preserve">Certificados de análisis recientes (por lote): proteína (método Kjeldahl o equivalente), humedad, grasa.</w:t>
      </w:r>
    </w:p>
    <w:p>
      <w:pPr>
        <w:numPr>
          <w:ilvl w:val="0"/>
          <w:numId w:val="1010"/>
        </w:numPr>
        <w:pStyle w:val="Compact"/>
      </w:pPr>
      <w:r>
        <w:t xml:space="preserve">Evidencia de uso previsto: formulación como ingrediente para alimentos compuestos; no destinado a venta al por menor como sopa/salsa ni como producto homogeneizado del tipo 21.04.</w:t>
      </w:r>
    </w:p>
    <w:p>
      <w:pPr>
        <w:numPr>
          <w:ilvl w:val="0"/>
          <w:numId w:val="1010"/>
        </w:numPr>
        <w:pStyle w:val="Compact"/>
      </w:pPr>
      <w:r>
        <w:t xml:space="preserve">Información sobre aditivos/portadores utilizados en la estabilización (por ejemplo, si se añadieron sólidos lácteos o huevo, a efectos de descartar subclasificaciones específicas a nivel nacional como “a base de huevo” o “con sólidos lácteos” dentro de 2106.90 en fracciones nacionales) .</w:t>
      </w:r>
    </w:p>
    <w:p>
      <w:pPr>
        <w:numPr>
          <w:ilvl w:val="0"/>
          <w:numId w:val="1010"/>
        </w:numPr>
        <w:pStyle w:val="Compact"/>
      </w:pPr>
      <w:r>
        <w:t xml:space="preserve">Etiquetado, presentación comercial y material fotográfico del producto y su envase.</w:t>
      </w:r>
    </w:p>
    <w:p>
      <w:pPr>
        <w:pStyle w:val="FirstParagraph"/>
      </w:pPr>
      <w:r>
        <w:t xml:space="preserve">V. Conclusión</w:t>
      </w:r>
    </w:p>
    <w:p>
      <w:pPr>
        <w:numPr>
          <w:ilvl w:val="0"/>
          <w:numId w:val="1011"/>
        </w:numPr>
        <w:pStyle w:val="Compact"/>
      </w:pPr>
      <w:r>
        <w:t xml:space="preserve">Clasificación propuesta (nivel de subpartida):</w:t>
      </w:r>
      <w:r>
        <w:t xml:space="preserve"> </w:t>
      </w:r>
      <w:r>
        <w:t xml:space="preserve">• Capítulo: 21 – Preparaciones alimenticias diversas .</w:t>
      </w:r>
      <w:r>
        <w:t xml:space="preserve"> </w:t>
      </w:r>
      <w:r>
        <w:t xml:space="preserve">• Partida: 21.06 – Preparaciones alimenticias no expresadas ni comprendidas en otra parte .</w:t>
      </w:r>
      <w:r>
        <w:t xml:space="preserve"> </w:t>
      </w:r>
      <w:r>
        <w:t xml:space="preserve">• Subpartida: 2106.90 – Las demás .</w:t>
      </w:r>
      <w:r>
        <w:t xml:space="preserve"> </w:t>
      </w:r>
      <w:r>
        <w:t xml:space="preserve">• Fracción (8 dígitos): Por determinar en el ámbito nacional (no requerido por el presente dictamen).</w:t>
      </w:r>
      <w:r>
        <w:t xml:space="preserve"> </w:t>
      </w:r>
      <w:r>
        <w:t xml:space="preserve">• NICO (10 dígitos): Por determinar en el ámbito nacional (no requerido por el presente dictamen).</w:t>
      </w:r>
    </w:p>
    <w:p>
      <w:pPr>
        <w:numPr>
          <w:ilvl w:val="0"/>
          <w:numId w:val="1011"/>
        </w:numPr>
        <w:pStyle w:val="Compact"/>
      </w:pPr>
      <w:r>
        <w:t xml:space="preserve">Resolución final: Con fundamento en RGI 1, RGI 3(a) y RGI 6, y tras descartar partidas y subpartidas más específicas que no describen el producto, la mercancía objeto del presente dictamen se clasifica en la subpartida 2106.90.</w:t>
      </w:r>
    </w:p>
    <w:p>
      <w:pPr>
        <w:pStyle w:val="FirstParagraph"/>
      </w:pPr>
      <w:r>
        <w:t xml:space="preserve">Determinación condicionada</w:t>
      </w:r>
    </w:p>
    <w:p>
      <w:pPr>
        <w:numPr>
          <w:ilvl w:val="0"/>
          <w:numId w:val="1012"/>
        </w:numPr>
        <w:pStyle w:val="Compact"/>
      </w:pPr>
      <w:r>
        <w:t xml:space="preserve">Opción A (si se acreditara que el producto, por proceso y composición, es un “concentrado de proteínas” o una “sustancia proteica texturizada”, por ejemplo, elevada proteína en base seca y/o texturización declarada): Cap. 21; Partida 21.06; Subpartida 2106.10 – Concentrados de proteínas y sustancias proteicas texturadas (RGI 6) .</w:t>
      </w:r>
    </w:p>
    <w:p>
      <w:pPr>
        <w:numPr>
          <w:ilvl w:val="0"/>
          <w:numId w:val="1012"/>
        </w:numPr>
        <w:pStyle w:val="Compact"/>
      </w:pPr>
      <w:r>
        <w:t xml:space="preserve">Opción B (si se acreditara que la preparación está formulada y presentada como “preparación para sopas, potajes o caldos” o sopa preparada): Cap. 21; Partida 21.04; Subpartida 2104.10 – Preparaciones para sopas, potajes o caldos; sopas, potajes o caldos, preparados (RGI 1) .</w:t>
      </w:r>
    </w:p>
    <w:p>
      <w:pPr>
        <w:pStyle w:val="FirstParagraph"/>
      </w:pPr>
      <w:r>
        <w:t xml:space="preserve">CRITERIOS FALTANTES:</w:t>
      </w:r>
    </w:p>
    <w:p>
      <w:pPr>
        <w:numPr>
          <w:ilvl w:val="0"/>
          <w:numId w:val="1013"/>
        </w:numPr>
        <w:pStyle w:val="Compact"/>
      </w:pPr>
      <w:r>
        <w:t xml:space="preserve">Porcentaje de proteína en base seca y confirmación de ausencia de texturización proteica (para descartar/confirmar 2106.10).</w:t>
      </w:r>
    </w:p>
    <w:p>
      <w:pPr>
        <w:numPr>
          <w:ilvl w:val="0"/>
          <w:numId w:val="1013"/>
        </w:numPr>
        <w:pStyle w:val="Compact"/>
      </w:pPr>
      <w:r>
        <w:t xml:space="preserve">Evidencias de formulación/uso que confirmen que no es base para sopas/caldos ni preparación homogeneizada de venta al por menor (para descartar/confirmar 2104.10 o 2104.20) .</w:t>
      </w:r>
    </w:p>
    <w:p>
      <w:pPr>
        <w:numPr>
          <w:ilvl w:val="0"/>
          <w:numId w:val="1013"/>
        </w:numPr>
        <w:pStyle w:val="Compact"/>
      </w:pPr>
      <w:r>
        <w:t xml:space="preserve">Confirmación de ausencia de aportes significativos de huevo o sólidos lácteos en la estabilización (a efectos de eventuales fracciones nacionales dentro de 2106.90) .</w:t>
      </w:r>
    </w:p>
    <w:bookmarkEnd w:id="22"/>
    <w:bookmarkStart w:id="23" w:name="notas"/>
    <w:p>
      <w:pPr>
        <w:pStyle w:val="Heading3"/>
      </w:pPr>
      <w:r>
        <w:t xml:space="preserve">NOTAS:</w:t>
      </w:r>
    </w:p>
    <w:p>
      <w:r>
        <w:pict>
          <v:rect style="width:0;height:1.5pt" o:hralign="center" o:hrstd="t" o:hr="t"/>
        </w:pict>
      </w:r>
    </w:p>
    <w:p>
      <w:pPr>
        <w:pStyle w:val="FirstParagraph"/>
      </w:pPr>
      <w:r>
        <w:t xml:space="preserve">El código 21.06.10 no se menciona en los anexos de la LIGIE.</w:t>
      </w:r>
    </w:p>
    <w:p>
      <w:pPr>
        <w:pStyle w:val="BodyText"/>
      </w:pPr>
      <w:r>
        <w:t xml:space="preserve">El código 21.06.10 no se menciona en el DOF en el período 15/07/2025 al 30/08/2025.</w:t>
      </w:r>
    </w:p>
    <w:bookmarkEnd w:id="23"/>
    <w:bookmarkStart w:id="24" w:name="documentación-consultada"/>
    <w:p>
      <w:pPr>
        <w:pStyle w:val="Heading3"/>
      </w:pPr>
      <w:r>
        <w:t xml:space="preserve">Documentación consultada</w:t>
      </w:r>
    </w:p>
    <w:p>
      <w:pPr>
        <w:numPr>
          <w:ilvl w:val="0"/>
          <w:numId w:val="1014"/>
        </w:numPr>
        <w:pStyle w:val="Compact"/>
      </w:pPr>
      <w:r>
        <w:t xml:space="preserve">Referencias: Ley de los Impuestos Generales de Importación y de Exportación</w:t>
      </w:r>
    </w:p>
    <w:p>
      <w:pPr>
        <w:numPr>
          <w:ilvl w:val="0"/>
          <w:numId w:val="1014"/>
        </w:numPr>
        <w:pStyle w:val="Compact"/>
      </w:pPr>
      <w:r>
        <w:t xml:space="preserve">Versión LIGIE: 7ma Enmienda del Sistema Armonizado</w:t>
      </w:r>
    </w:p>
    <w:p>
      <w:pPr>
        <w:numPr>
          <w:ilvl w:val="0"/>
          <w:numId w:val="1014"/>
        </w:numPr>
        <w:pStyle w:val="Compact"/>
      </w:pPr>
      <w:r>
        <w:t xml:space="preserve">Archivo: LIGIE-UNIFICADA-LIGIE_20250728-20250728.pdf</w:t>
      </w:r>
    </w:p>
    <w:p>
      <w:pPr>
        <w:numPr>
          <w:ilvl w:val="0"/>
          <w:numId w:val="1014"/>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22">
    <w:nsid w:val="47261bad"/>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23">
    <w:nsid w:val="b3cbbdee"/>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num w:numId="1000">
    <w:abstractNumId w:val="990"/>
  </w:num>
  <w:num w:numId="1001">
    <w:abstractNumId w:val="991"/>
  </w:num>
  <w:num w:numId="1002">
    <w:abstractNumId w:val="991"/>
  </w:num>
  <w:num w:numId="1003">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1"/>
  </w:num>
  <w:num w:numId="1007">
    <w:abstractNumId w:val="9942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2025-09-16T02:00:15Z</dcterms:created>
  <dcterms:modified xsi:type="dcterms:W3CDTF">2025-09-16T02:00:15Z</dcterms:modified>
</cp:coreProperties>
</file>

<file path=docProps/custom.xml><?xml version="1.0" encoding="utf-8"?>
<Properties xmlns="http://schemas.openxmlformats.org/officeDocument/2006/custom-properties" xmlns:vt="http://schemas.openxmlformats.org/officeDocument/2006/docPropsVTypes"/>
</file>