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05" w:type="dxa"/>
        <w:tblLook w:val="04A0" w:firstRow="1" w:lastRow="0" w:firstColumn="1" w:lastColumn="0" w:noHBand="0" w:noVBand="1"/>
      </w:tblPr>
      <w:tblGrid>
        <w:gridCol w:w="1492"/>
        <w:gridCol w:w="3813"/>
        <w:gridCol w:w="9000"/>
      </w:tblGrid>
      <w:tr w:rsidR="00582E5C" w:rsidRPr="00583E33" w14:paraId="177177F9" w14:textId="77777777" w:rsidTr="00CD6C0D">
        <w:trPr>
          <w:cantSplit/>
          <w:trHeight w:val="300"/>
          <w:tblHeader/>
        </w:trPr>
        <w:tc>
          <w:tcPr>
            <w:tcW w:w="1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</w:tcPr>
          <w:p w14:paraId="0B24A242" w14:textId="1A882E3A" w:rsidR="00582E5C" w:rsidRDefault="00582E5C" w:rsidP="00582E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82E5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MBTA Communities Public Comment Form</w:t>
            </w:r>
          </w:p>
        </w:tc>
      </w:tr>
      <w:tr w:rsidR="00582E5C" w:rsidRPr="00583E33" w14:paraId="217F5CC0" w14:textId="77777777" w:rsidTr="00CD6C0D">
        <w:trPr>
          <w:cantSplit/>
          <w:trHeight w:val="300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ABC539F" w14:textId="7A1F051F" w:rsidR="00582E5C" w:rsidRPr="004765F1" w:rsidRDefault="00582E5C" w:rsidP="002361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Role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5E0D859" w14:textId="47366852" w:rsidR="00582E5C" w:rsidRPr="004765F1" w:rsidRDefault="00582E5C" w:rsidP="002361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Feedback Topic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AF7DA52" w14:textId="5D02C992" w:rsidR="00582E5C" w:rsidRPr="004765F1" w:rsidRDefault="00582E5C" w:rsidP="002361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Written Comments</w:t>
            </w:r>
          </w:p>
        </w:tc>
      </w:tr>
      <w:tr w:rsidR="00582E5C" w:rsidRPr="00583E33" w14:paraId="235A75AF" w14:textId="77777777" w:rsidTr="00582E5C">
        <w:trPr>
          <w:trHeight w:val="62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9B40" w14:textId="5692FD79" w:rsidR="00582E5C" w:rsidRPr="004765F1" w:rsidRDefault="00582E5C" w:rsidP="00582E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Massachusetts Resident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DEBA" w14:textId="77777777" w:rsidR="00582E5C" w:rsidRPr="00582E5C" w:rsidRDefault="00582E5C" w:rsidP="00582E5C">
            <w:pPr>
              <w:pStyle w:val="p1"/>
              <w:rPr>
                <w:rFonts w:ascii="Tahoma" w:eastAsiaTheme="minorHAnsi" w:hAnsi="Tahoma" w:cs="Tahoma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582E5C">
              <w:rPr>
                <w:rFonts w:ascii="Tahoma" w:eastAsiaTheme="minorHAnsi" w:hAnsi="Tahoma" w:cs="Tahoma"/>
                <w:color w:val="000000"/>
                <w:kern w:val="2"/>
                <w:sz w:val="20"/>
                <w:szCs w:val="20"/>
                <w14:ligatures w14:val="standardContextual"/>
              </w:rPr>
              <w:t>Environmental issues</w:t>
            </w:r>
          </w:p>
          <w:p w14:paraId="2ABC59DE" w14:textId="77777777" w:rsidR="00582E5C" w:rsidRPr="00582E5C" w:rsidRDefault="00582E5C" w:rsidP="00582E5C">
            <w:pPr>
              <w:pStyle w:val="p1"/>
              <w:rPr>
                <w:rFonts w:ascii="Tahoma" w:eastAsiaTheme="minorHAnsi" w:hAnsi="Tahoma" w:cs="Tahoma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582E5C">
              <w:rPr>
                <w:rFonts w:ascii="Tahoma" w:eastAsiaTheme="minorHAnsi" w:hAnsi="Tahoma" w:cs="Tahoma"/>
                <w:color w:val="000000"/>
                <w:kern w:val="2"/>
                <w:sz w:val="20"/>
                <w:szCs w:val="20"/>
                <w14:ligatures w14:val="standardContextual"/>
              </w:rPr>
              <w:t>Historic Districts</w:t>
            </w:r>
          </w:p>
          <w:p w14:paraId="70FFAACF" w14:textId="3C72B9CB" w:rsidR="00582E5C" w:rsidRPr="004765F1" w:rsidRDefault="00582E5C" w:rsidP="00E37ED2">
            <w:pPr>
              <w:pStyle w:val="p1"/>
            </w:pPr>
            <w:r w:rsidRPr="00582E5C">
              <w:rPr>
                <w:rFonts w:ascii="Tahoma" w:eastAsiaTheme="minorHAnsi" w:hAnsi="Tahoma" w:cs="Tahoma"/>
                <w:color w:val="000000"/>
                <w:kern w:val="2"/>
                <w:sz w:val="20"/>
                <w:szCs w:val="20"/>
                <w14:ligatures w14:val="standardContextual"/>
              </w:rPr>
              <w:t>Other: Impact on Massachusetts Agricultural Preservation Restriction</w:t>
            </w:r>
            <w:r w:rsidR="00E37ED2">
              <w:rPr>
                <w:rFonts w:ascii="Tahoma" w:eastAsiaTheme="minorHAnsi" w:hAnsi="Tahoma" w:cs="Tahoma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582E5C">
              <w:rPr>
                <w:rFonts w:ascii="Tahoma" w:eastAsiaTheme="minorHAnsi" w:hAnsi="Tahoma" w:cs="Tahoma"/>
                <w:color w:val="000000"/>
                <w:kern w:val="2"/>
                <w:sz w:val="20"/>
                <w:szCs w:val="20"/>
                <w14:ligatures w14:val="standardContextual"/>
              </w:rPr>
              <w:t>(APR) Investments</w:t>
            </w: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A2B1" w14:textId="11C42ECD" w:rsidR="00582E5C" w:rsidRPr="00582E5C" w:rsidRDefault="00582E5C" w:rsidP="00582E5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2E5C">
              <w:rPr>
                <w:rFonts w:ascii="Tahoma" w:hAnsi="Tahoma" w:cs="Tahoma"/>
                <w:color w:val="000000"/>
                <w:sz w:val="20"/>
                <w:szCs w:val="20"/>
              </w:rPr>
              <w:t>Towns use local zoning and investments in the Massachusetts Agricultural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582E5C">
              <w:rPr>
                <w:rFonts w:ascii="Tahoma" w:hAnsi="Tahoma" w:cs="Tahoma"/>
                <w:color w:val="000000"/>
                <w:sz w:val="20"/>
                <w:szCs w:val="20"/>
              </w:rPr>
              <w:t>Preservation Restriction (APR) program to preserve its culture by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582E5C">
              <w:rPr>
                <w:rFonts w:ascii="Tahoma" w:hAnsi="Tahoma" w:cs="Tahoma"/>
                <w:color w:val="000000"/>
                <w:sz w:val="20"/>
                <w:szCs w:val="20"/>
              </w:rPr>
              <w:t>protecting agricultural heritage, rural character, and community identity.</w:t>
            </w:r>
          </w:p>
          <w:p w14:paraId="0D5CD38F" w14:textId="08A04464" w:rsidR="00582E5C" w:rsidRPr="00582E5C" w:rsidRDefault="00582E5C" w:rsidP="00582E5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2E5C">
              <w:rPr>
                <w:rFonts w:ascii="Tahoma" w:hAnsi="Tahoma" w:cs="Tahoma"/>
                <w:color w:val="000000"/>
                <w:sz w:val="20"/>
                <w:szCs w:val="20"/>
              </w:rPr>
              <w:t>When a town invests in the local APR, it permanently restricts residential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582E5C">
              <w:rPr>
                <w:rFonts w:ascii="Tahoma" w:hAnsi="Tahoma" w:cs="Tahoma"/>
                <w:color w:val="000000"/>
                <w:sz w:val="20"/>
                <w:szCs w:val="20"/>
              </w:rPr>
              <w:t>and commercial development.</w:t>
            </w:r>
          </w:p>
          <w:p w14:paraId="6AA4B64C" w14:textId="4E0029DD" w:rsidR="00582E5C" w:rsidRPr="00582E5C" w:rsidRDefault="00582E5C" w:rsidP="00582E5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2E5C">
              <w:rPr>
                <w:rFonts w:ascii="Tahoma" w:hAnsi="Tahoma" w:cs="Tahoma"/>
                <w:color w:val="000000"/>
                <w:sz w:val="20"/>
                <w:szCs w:val="20"/>
              </w:rPr>
              <w:t>The MBTA Communities Act will negatively affect a town's APR plans by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582E5C">
              <w:rPr>
                <w:rFonts w:ascii="Tahoma" w:hAnsi="Tahoma" w:cs="Tahoma"/>
                <w:color w:val="000000"/>
                <w:sz w:val="20"/>
                <w:szCs w:val="20"/>
              </w:rPr>
              <w:t>increasing development pressure on agricultural lands, creating zoning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582E5C">
              <w:rPr>
                <w:rFonts w:ascii="Tahoma" w:hAnsi="Tahoma" w:cs="Tahoma"/>
                <w:color w:val="000000"/>
                <w:sz w:val="20"/>
                <w:szCs w:val="20"/>
              </w:rPr>
              <w:t>conflicts, straining local resources, and eroding community support for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582E5C">
              <w:rPr>
                <w:rFonts w:ascii="Tahoma" w:hAnsi="Tahoma" w:cs="Tahoma"/>
                <w:color w:val="000000"/>
                <w:sz w:val="20"/>
                <w:szCs w:val="20"/>
              </w:rPr>
              <w:t>preservation efforts.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2A0BB6E5" w14:textId="3FEB1F8A" w:rsidR="00582E5C" w:rsidRPr="00582E5C" w:rsidRDefault="00582E5C" w:rsidP="00582E5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2E5C">
              <w:rPr>
                <w:rFonts w:ascii="Tahoma" w:hAnsi="Tahoma" w:cs="Tahoma"/>
                <w:color w:val="000000"/>
                <w:sz w:val="20"/>
                <w:szCs w:val="20"/>
              </w:rPr>
              <w:t>The MBTA Communities Act will alter the rural character and scenic beauty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582E5C">
              <w:rPr>
                <w:rFonts w:ascii="Tahoma" w:hAnsi="Tahoma" w:cs="Tahoma"/>
                <w:color w:val="000000"/>
                <w:sz w:val="20"/>
                <w:szCs w:val="20"/>
              </w:rPr>
              <w:t>of towns, which are key cultural and economic benefits of the APR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582E5C">
              <w:rPr>
                <w:rFonts w:ascii="Tahoma" w:hAnsi="Tahoma" w:cs="Tahoma"/>
                <w:color w:val="000000"/>
                <w:sz w:val="20"/>
                <w:szCs w:val="20"/>
              </w:rPr>
              <w:t>Program. If agricultural lands are rezoned or developed, the cultural and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582E5C">
              <w:rPr>
                <w:rFonts w:ascii="Tahoma" w:hAnsi="Tahoma" w:cs="Tahoma"/>
                <w:color w:val="000000"/>
                <w:sz w:val="20"/>
                <w:szCs w:val="20"/>
              </w:rPr>
              <w:t>environmental benefits of APR could be diminished.</w:t>
            </w:r>
          </w:p>
          <w:p w14:paraId="1AEEF742" w14:textId="34ECAF13" w:rsidR="00582E5C" w:rsidRPr="00582E5C" w:rsidRDefault="00582E5C" w:rsidP="00582E5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82E5C">
              <w:rPr>
                <w:rFonts w:ascii="Tahoma" w:hAnsi="Tahoma" w:cs="Tahoma"/>
                <w:color w:val="000000"/>
                <w:sz w:val="20"/>
                <w:szCs w:val="20"/>
              </w:rPr>
              <w:t>If residents perceive the MBTA Communities Act as a threat to their quality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582E5C">
              <w:rPr>
                <w:rFonts w:ascii="Tahoma" w:hAnsi="Tahoma" w:cs="Tahoma"/>
                <w:color w:val="000000"/>
                <w:sz w:val="20"/>
                <w:szCs w:val="20"/>
              </w:rPr>
              <w:t>of life or local identity, they will become less supportive of land preservation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582E5C">
              <w:rPr>
                <w:rFonts w:ascii="Tahoma" w:hAnsi="Tahoma" w:cs="Tahoma"/>
                <w:color w:val="000000"/>
                <w:sz w:val="20"/>
                <w:szCs w:val="20"/>
              </w:rPr>
              <w:t>initiatives like APR.</w:t>
            </w:r>
          </w:p>
          <w:p w14:paraId="1789FA77" w14:textId="1C29E28D" w:rsidR="00582E5C" w:rsidRPr="004765F1" w:rsidRDefault="00582E5C" w:rsidP="00582E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582E5C">
              <w:rPr>
                <w:rFonts w:ascii="Tahoma" w:hAnsi="Tahoma" w:cs="Tahoma"/>
                <w:color w:val="000000"/>
                <w:sz w:val="20"/>
                <w:szCs w:val="20"/>
              </w:rPr>
              <w:t>This will weaken community backing for future APR projects, making it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582E5C">
              <w:rPr>
                <w:rFonts w:ascii="Tahoma" w:hAnsi="Tahoma" w:cs="Tahoma"/>
                <w:color w:val="000000"/>
                <w:sz w:val="20"/>
                <w:szCs w:val="20"/>
              </w:rPr>
              <w:t>harder to secure funding or political support.</w:t>
            </w:r>
          </w:p>
        </w:tc>
      </w:tr>
      <w:tr w:rsidR="00582E5C" w:rsidRPr="00583E33" w14:paraId="0A0A8CBE" w14:textId="77777777" w:rsidTr="00E37ED2">
        <w:trPr>
          <w:trHeight w:val="30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74DE" w14:textId="118AF277" w:rsidR="00582E5C" w:rsidRPr="004765F1" w:rsidRDefault="00582E5C" w:rsidP="00E37E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Massachusetts Resident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E449B" w14:textId="77777777" w:rsidR="00582E5C" w:rsidRPr="00582E5C" w:rsidRDefault="00582E5C" w:rsidP="00582E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Definitions</w:t>
            </w:r>
          </w:p>
          <w:p w14:paraId="004E3223" w14:textId="19FAD94F" w:rsidR="00582E5C" w:rsidRPr="004765F1" w:rsidRDefault="00582E5C" w:rsidP="00582E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Other: MBTA Communities Act is Redundant &amp; Radical</w:t>
            </w: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1658" w14:textId="2CFC924D" w:rsidR="00582E5C" w:rsidRPr="00582E5C" w:rsidRDefault="00582E5C" w:rsidP="00582E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Existing affordable housing laws have been codified in Massachusetts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General Law by the General Court over the years.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Why not work through existing laws to achieve EOHLC goals?</w:t>
            </w:r>
          </w:p>
          <w:p w14:paraId="53E7EE03" w14:textId="44DEEF44" w:rsidR="00582E5C" w:rsidRPr="00582E5C" w:rsidRDefault="00582E5C" w:rsidP="00582E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MGL Chapter 161A primarily deals with the regulation, management, and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funding of the Massachusetts Bay Transportation Authority (MBTA).</w:t>
            </w:r>
          </w:p>
          <w:p w14:paraId="03A2B885" w14:textId="77777777" w:rsidR="00582E5C" w:rsidRPr="00582E5C" w:rsidRDefault="00582E5C" w:rsidP="00582E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Laws specifically designed to address affordable housing:</w:t>
            </w:r>
          </w:p>
          <w:p w14:paraId="200E44B7" w14:textId="742ABF49" w:rsidR="00582E5C" w:rsidRPr="00582E5C" w:rsidRDefault="00582E5C" w:rsidP="00582E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1) Chapter 40B (Comprehensive Permit Act): Allows developers to bypass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local zoning if less than 10% of a municipality's housing is affordable,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promoting affordable housing development (20-25% of units must be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affordable).</w:t>
            </w:r>
          </w:p>
          <w:p w14:paraId="33EEB89E" w14:textId="262003DE" w:rsidR="00582E5C" w:rsidRPr="00582E5C" w:rsidRDefault="00582E5C" w:rsidP="00582E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2) Chapter 40T (</w:t>
            </w:r>
            <w:proofErr w:type="gramStart"/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Publicly-Assisted</w:t>
            </w:r>
            <w:proofErr w:type="gramEnd"/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Housing): Defines and governs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publicly-assisted housing, ensuring affordability and tenant protections for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subsidized units.</w:t>
            </w:r>
          </w:p>
          <w:p w14:paraId="6FDBD499" w14:textId="36C8E7A6" w:rsidR="00582E5C" w:rsidRPr="00582E5C" w:rsidRDefault="00582E5C" w:rsidP="00582E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3) Chapter 121B (Housing and Urban Renewal): Establishes local housing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authorities to develop and manage public and affordable housing, with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provisions for tenant protections and innovative housing projects.</w:t>
            </w:r>
          </w:p>
          <w:p w14:paraId="7A9039E9" w14:textId="3F335201" w:rsidR="00582E5C" w:rsidRPr="004765F1" w:rsidRDefault="00582E5C" w:rsidP="00582E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We don't need a radical subversion of Chapter 161A - MBTA a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transportation service law which is intended for TRANSPORTATION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initiatives, not housing.</w:t>
            </w:r>
          </w:p>
        </w:tc>
      </w:tr>
      <w:tr w:rsidR="00582E5C" w:rsidRPr="00583E33" w14:paraId="26CE8D0D" w14:textId="77777777" w:rsidTr="00E37ED2">
        <w:trPr>
          <w:trHeight w:val="30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61A7B" w14:textId="1A84745B" w:rsidR="00582E5C" w:rsidRPr="004765F1" w:rsidRDefault="00582E5C" w:rsidP="00E37E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Massachusetts Resident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C922" w14:textId="22DEA023" w:rsidR="00582E5C" w:rsidRPr="004765F1" w:rsidRDefault="00E37ED2" w:rsidP="00E37ED2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7ED2">
              <w:rPr>
                <w:rFonts w:ascii="Tahoma" w:hAnsi="Tahoma" w:cs="Tahoma"/>
                <w:color w:val="000000"/>
                <w:sz w:val="20"/>
                <w:szCs w:val="20"/>
              </w:rPr>
              <w:t>Other: EOHLC's Failure to Address Public Safety and Infrastructure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37ED2">
              <w:rPr>
                <w:rFonts w:ascii="Tahoma" w:hAnsi="Tahoma" w:cs="Tahoma"/>
                <w:color w:val="000000"/>
                <w:sz w:val="20"/>
                <w:szCs w:val="20"/>
              </w:rPr>
              <w:t>Concerns</w:t>
            </w: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9FA1F" w14:textId="28C2E16D" w:rsidR="00582E5C" w:rsidRPr="00582E5C" w:rsidRDefault="00582E5C" w:rsidP="00582E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The EOHLC has failed to adequately consider the public safety implications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of implementing high-density zoning in small towns. Such zoning could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increase the risk of accidents, congestion, and emergency response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delays, as these areas are not typically designed to handle significantly</w:t>
            </w:r>
          </w:p>
          <w:p w14:paraId="646D40EA" w14:textId="77777777" w:rsidR="00582E5C" w:rsidRPr="00582E5C" w:rsidRDefault="00582E5C" w:rsidP="00582E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higher population densities.</w:t>
            </w:r>
          </w:p>
          <w:p w14:paraId="21BF4339" w14:textId="3E6381E3" w:rsidR="00582E5C" w:rsidRPr="00582E5C" w:rsidRDefault="00582E5C" w:rsidP="00582E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Small towns often have limited and aging water and sewer systems which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have reached capacity. </w:t>
            </w:r>
            <w:r w:rsidR="004E7B2A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In fact, Rehoboth only has well water and septic systems for both residential and commercially zoned properties. </w:t>
            </w: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The proposed zoning changes by EOHLC do not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account for the potential </w:t>
            </w:r>
            <w:bookmarkStart w:id="0" w:name="_GoBack"/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overwhelming of these infrastructures. Without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upgrades, the existing systems could lead to public health crises, including</w:t>
            </w:r>
          </w:p>
          <w:p w14:paraId="1736A7C2" w14:textId="002B6C70" w:rsidR="00582E5C" w:rsidRPr="004765F1" w:rsidRDefault="00582E5C" w:rsidP="00582E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water contamination or sewage overflows, directly contradicting the aim of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sustainable development.</w:t>
            </w:r>
            <w:bookmarkEnd w:id="0"/>
          </w:p>
        </w:tc>
      </w:tr>
      <w:tr w:rsidR="00582E5C" w:rsidRPr="00583E33" w14:paraId="2D11B8D0" w14:textId="77777777" w:rsidTr="00E37ED2">
        <w:trPr>
          <w:cantSplit/>
          <w:trHeight w:val="30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601D0" w14:textId="66709894" w:rsidR="00582E5C" w:rsidRPr="004765F1" w:rsidRDefault="00582E5C" w:rsidP="00E37E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Massachusetts Resident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7D73" w14:textId="057E54AD" w:rsidR="00582E5C" w:rsidRPr="004765F1" w:rsidRDefault="00E37ED2" w:rsidP="00E37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Other: Lack of Genuine Emergency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439A4" w14:textId="51246EB7" w:rsidR="00E37ED2" w:rsidRPr="00E37ED2" w:rsidRDefault="00E37ED2" w:rsidP="00E37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The EOHLC's declaration of an emergency appears to be at odds with its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operational inefficiencies and the political context in which it was made.</w:t>
            </w:r>
          </w:p>
          <w:p w14:paraId="74907143" w14:textId="2C6DDF49" w:rsidR="00E37ED2" w:rsidRPr="00E37ED2" w:rsidRDefault="00E37ED2" w:rsidP="00E37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This situation could reflect broader issues in policy implementation and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governmental transparency in Massachusetts, especially concerning critical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areas like housing policy.</w:t>
            </w:r>
          </w:p>
          <w:p w14:paraId="52CB88B8" w14:textId="77777777" w:rsidR="00E37ED2" w:rsidRDefault="00E37ED2" w:rsidP="00E37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4561E95" w14:textId="6548E3D1" w:rsidR="00E37ED2" w:rsidRPr="00E37ED2" w:rsidRDefault="00E37ED2" w:rsidP="00E37E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7ED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Lack of Genuine Emergency Resulting From</w:t>
            </w:r>
          </w:p>
          <w:p w14:paraId="742CC021" w14:textId="31148181" w:rsidR="00E37ED2" w:rsidRPr="00E37ED2" w:rsidRDefault="00E37ED2" w:rsidP="00E37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E37ED2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Political Motive Over Actual Need: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The declaration of an emergency by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EOHLC is suggested to be politically motivated rather than driven by an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immediate, tangible crisis like a natural disaster or public health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emergency. A genuine emergency would typically involve an immediate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threat to public safety or welfare, such as the need for rapid response to a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natural disaster or a health crisis like a global pandemic. Instead, the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housing situation, does not present the same level of immediate urgency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that would typically justify bypassing standard regulatory procedures.</w:t>
            </w:r>
          </w:p>
          <w:p w14:paraId="52302519" w14:textId="5C8F7870" w:rsidR="00E37ED2" w:rsidRPr="00E37ED2" w:rsidRDefault="00E37ED2" w:rsidP="00E37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E37ED2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Procedural Deficiencies: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The EOHLC had ample time, over two years, to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address known deficiencies in its guidelines or regulations. The failure to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act in this timeframe suggests that the emergency declaration might be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more about circumventing due process and public scrutiny than addressing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an urgent crisis. This delay in action raises questions about the urgency of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the situation and the agency's management capabilities.</w:t>
            </w:r>
          </w:p>
          <w:p w14:paraId="7F4FEF1F" w14:textId="77777777" w:rsidR="00E37ED2" w:rsidRDefault="00E37ED2" w:rsidP="00E37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C0C225A" w14:textId="070C561B" w:rsidR="00E37ED2" w:rsidRPr="00E37ED2" w:rsidRDefault="00E37ED2" w:rsidP="00E37E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7ED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Housing Policy as a Political Tool</w:t>
            </w:r>
          </w:p>
          <w:p w14:paraId="251872A6" w14:textId="3BAAA86A" w:rsidR="00E37ED2" w:rsidRPr="00E37ED2" w:rsidRDefault="00E37ED2" w:rsidP="00E37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Declaring an emergency in this context could be perceived as a strategic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move to enact policies or changes without the usual public and legislative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oversight. This could be aimed at pushing through reforms or regulations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that might face opposition or require extensive negotiation under normal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circumstances, thus framing the issue in a way that demands immediate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action.</w:t>
            </w:r>
          </w:p>
          <w:p w14:paraId="68D42C5A" w14:textId="77777777" w:rsidR="00E37ED2" w:rsidRDefault="00E37ED2" w:rsidP="00E37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5F306B3" w14:textId="1D0BCD6A" w:rsidR="00E37ED2" w:rsidRPr="00E37ED2" w:rsidRDefault="00E37ED2" w:rsidP="00E37E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7ED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Backlog and Decision Delays</w:t>
            </w:r>
          </w:p>
          <w:p w14:paraId="137918AA" w14:textId="46DD2802" w:rsidR="00E37ED2" w:rsidRPr="00E37ED2" w:rsidRDefault="00E37ED2" w:rsidP="00E37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The EOHLC's responsibility includes reviewing and deciding on municipal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compliance with housing policies, particularly those related to zoning and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housing development. The 78 applications pending review, some for over a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year, indicates significant operational inefficiencies or perhaps an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intentional slowdown. This backlog directly contradicts the narrative of an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urgent housing crisis where one would expect swift action to address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housing needs.</w:t>
            </w:r>
          </w:p>
          <w:p w14:paraId="6157FA2A" w14:textId="77777777" w:rsidR="00E37ED2" w:rsidRDefault="00E37ED2" w:rsidP="00E37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3900A4D" w14:textId="77777777" w:rsidR="00E37ED2" w:rsidRPr="00E37ED2" w:rsidRDefault="00E37ED2" w:rsidP="00E37E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7ED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Contradiction to the Emergency Claim </w:t>
            </w:r>
          </w:p>
          <w:p w14:paraId="3D8ACBAD" w14:textId="2AB063E8" w:rsidR="00E37ED2" w:rsidRPr="00E37ED2" w:rsidRDefault="00E37ED2" w:rsidP="00E37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If there were a genuine emergency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necessitating immediate action, one would expect expedited processes to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facilitate quick solutions, such as approving housing developments or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zoning changes to increase housing stock. Instead, the delays in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decision-making suggest either mismanagement, lack of resources, or a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different set of priorities that don't align with the urgency claimed in the</w:t>
            </w:r>
          </w:p>
          <w:p w14:paraId="4BF44423" w14:textId="77777777" w:rsidR="00E37ED2" w:rsidRDefault="00E37ED2" w:rsidP="00E37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emergency declaration.</w:t>
            </w:r>
          </w:p>
          <w:p w14:paraId="568706A5" w14:textId="77777777" w:rsidR="00E37ED2" w:rsidRDefault="00E37ED2" w:rsidP="00E37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82EC5F8" w14:textId="74E6D505" w:rsidR="00E37ED2" w:rsidRPr="00E37ED2" w:rsidRDefault="00E37ED2" w:rsidP="00E37E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7ED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Implications of Lack of True Emergency</w:t>
            </w:r>
          </w:p>
          <w:p w14:paraId="472C43A9" w14:textId="65200AEF" w:rsidR="00E37ED2" w:rsidRPr="00E37ED2" w:rsidRDefault="00E37ED2" w:rsidP="00E37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Public Trust and Policy Effectiveness to manage effectively when a true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housing crisis is undermined. It can also lead to skepticism about the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government's use of emergency powers, suggesting they might be invoked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for convenience rather than necessity.</w:t>
            </w:r>
          </w:p>
          <w:p w14:paraId="59864446" w14:textId="006B3168" w:rsidR="00E37ED2" w:rsidRPr="00E37ED2" w:rsidRDefault="00E37ED2" w:rsidP="00E37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Policy and Legal Challenges questions the validity of the emergency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declaration under Massachusetts law, particularly if it's seen as an attempt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to bypass procedural requirements of the Administrative Procedures Act or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other regulatory frameworks.</w:t>
            </w:r>
          </w:p>
          <w:p w14:paraId="0C6C2D47" w14:textId="6A1BBD1F" w:rsidR="00582E5C" w:rsidRPr="004765F1" w:rsidRDefault="00E37ED2" w:rsidP="00E37E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Delays in processing municipal applications could hamper local efforts to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address housing shortages, potentially leading to further exacerbation of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the housing crisis rather than resolution, as municipalities might be left in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37ED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limbo regarding their compliance with state mandates.</w:t>
            </w:r>
          </w:p>
        </w:tc>
      </w:tr>
      <w:tr w:rsidR="00582E5C" w:rsidRPr="00583E33" w14:paraId="259E9C38" w14:textId="77777777" w:rsidTr="00E37ED2">
        <w:trPr>
          <w:trHeight w:val="30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C9FF" w14:textId="58D52540" w:rsidR="00582E5C" w:rsidRPr="004765F1" w:rsidRDefault="00E37ED2" w:rsidP="00E37E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Massachusetts Resident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0B96" w14:textId="4BC0890D" w:rsidR="00582E5C" w:rsidRPr="004765F1" w:rsidRDefault="00BA341E" w:rsidP="00BA34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Other: Circumvention of Public Notice and Comment Process</w:t>
            </w: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FE28" w14:textId="77777777" w:rsidR="00BA341E" w:rsidRPr="00BA341E" w:rsidRDefault="00BA341E" w:rsidP="00BA3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A341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Circumvention of Public Notice and Comment Process</w:t>
            </w:r>
          </w:p>
          <w:p w14:paraId="607D62FA" w14:textId="67797BAD" w:rsidR="00BA341E" w:rsidRPr="00BA341E" w:rsidRDefault="00BA341E" w:rsidP="00BA34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Under the Massachusetts APA, when state agencies like EOHLC propose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new regulations, they are required to engage in a public notice and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comment period. This process ensures that the public, stakeholders, and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interest groups have an opportunity to review the proposed regulations,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submit their comments, and influence the final regulatory text. This is a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cornerstone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of democratic governance, providing transparency and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allowing for public scrutiny and input.</w:t>
            </w:r>
          </w:p>
          <w:p w14:paraId="454B0063" w14:textId="77777777" w:rsidR="00BA341E" w:rsidRPr="00BA341E" w:rsidRDefault="00BA341E" w:rsidP="00BA3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A341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Emergency Regulations Following the SJC Milton Decision</w:t>
            </w:r>
          </w:p>
          <w:p w14:paraId="73C11A54" w14:textId="17BE10FF" w:rsidR="00BA341E" w:rsidRPr="00BA341E" w:rsidRDefault="00BA341E" w:rsidP="00BA34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The "emergency regulations" were introduced shortly after a significant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legal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decision by the Massachusetts Supreme Judicial Court (SJC) in the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case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of Milton. This decision likely invalidated certain guidelines or previous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regulations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set by EOHLC. In response, EOHLC issued new regulations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under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the guise of "emergency" measures.</w:t>
            </w:r>
          </w:p>
          <w:p w14:paraId="1D302E28" w14:textId="66355653" w:rsidR="00BA341E" w:rsidRPr="00BA341E" w:rsidRDefault="00BA341E" w:rsidP="00BA34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The problem highlighted here is that these emergency regulations were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nearly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identical to the ones invalidated by the court, suggesting they were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not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new solutions but rather an attempt to reintroduce the same rules under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a different label. This action can be seen as an attempt to sidestep the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judicial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ruling rather than genuinely addressing the issues pointed out by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the court.</w:t>
            </w:r>
          </w:p>
          <w:p w14:paraId="5C67714C" w14:textId="77777777" w:rsidR="00BA341E" w:rsidRPr="00BA341E" w:rsidRDefault="00BA341E" w:rsidP="00BA3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A341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Lack of Meaningful Public Input</w:t>
            </w:r>
          </w:p>
          <w:p w14:paraId="1E5D1F42" w14:textId="030939BC" w:rsidR="00BA341E" w:rsidRPr="00BA341E" w:rsidRDefault="00BA341E" w:rsidP="00BA34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These regulations were passed without adhering to the APA's requirement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for public engagement. This could mean that the public was not given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adequate time to review the regulations, provide comments, or that the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process was rushed to the point where public input could not effectively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influence the outcome.</w:t>
            </w:r>
          </w:p>
          <w:p w14:paraId="7584E397" w14:textId="77777777" w:rsidR="00BA341E" w:rsidRPr="00BA341E" w:rsidRDefault="00BA341E" w:rsidP="00BA3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A341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Undermining the Democratic Process</w:t>
            </w:r>
          </w:p>
          <w:p w14:paraId="295B450F" w14:textId="30698AD5" w:rsidR="00BA341E" w:rsidRPr="00BA341E" w:rsidRDefault="00BA341E" w:rsidP="00BA34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By bypassing public participation, EOHLC's actions undermine the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democratic process where laws and regulations should ideally reflect the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will and input of the governed. This circumvention can lead to policies that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do not have broad public support or understanding, potentially leading to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further legal challenges or public dissatisfaction.</w:t>
            </w:r>
          </w:p>
          <w:p w14:paraId="2D75104A" w14:textId="77777777" w:rsidR="00BA341E" w:rsidRPr="00BA341E" w:rsidRDefault="00BA341E" w:rsidP="00BA34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A341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Violation of Statutory Requirements</w:t>
            </w:r>
          </w:p>
          <w:p w14:paraId="2070E219" w14:textId="13F8A602" w:rsidR="00582E5C" w:rsidRPr="004765F1" w:rsidRDefault="00BA341E" w:rsidP="002361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The APA mandates specific procedures for transparency, including public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notices, hearings, and comment periods. By not following these steps,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EOHLC not only potentially infringes on legal obligations but also sets a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precedent that might encourage other agencies to bypass these democratic</w:t>
            </w:r>
            <w:r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safeguards when convenient.</w:t>
            </w:r>
          </w:p>
        </w:tc>
      </w:tr>
      <w:tr w:rsidR="00582E5C" w:rsidRPr="00583E33" w14:paraId="140BB8D7" w14:textId="77777777" w:rsidTr="001C4B6F">
        <w:trPr>
          <w:cantSplit/>
          <w:trHeight w:val="30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E097" w14:textId="7E49FDF9" w:rsidR="00582E5C" w:rsidRPr="004765F1" w:rsidRDefault="00BA341E" w:rsidP="00BA34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582E5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Massachusetts Resident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EF4D" w14:textId="7F81E13F" w:rsidR="00582E5C" w:rsidRPr="004765F1" w:rsidRDefault="00BA341E" w:rsidP="002361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Other: Disproportionate Zoning Mandates</w:t>
            </w: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0FDF" w14:textId="55B4E947" w:rsidR="00BA341E" w:rsidRPr="00BA341E" w:rsidRDefault="00BA341E" w:rsidP="00BA34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The zoning mandates under the MBTA Communities Act, when applied to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areas like </w:t>
            </w:r>
            <w:r w:rsidR="002119A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Rehoboth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, highlight a </w:t>
            </w:r>
            <w:r w:rsidRPr="00BA341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disconnect between policy intent and practical</w:t>
            </w:r>
            <w:r w:rsidR="001C4B6F" w:rsidRPr="001C4B6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implementation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. This act requires cities and towns served by the MBTA to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have at least one zoning district where multi-family housing is permitted by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right, aiming to increase housing density near transit hubs. The goal is to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promote sustainable urban development by reducing car dependency and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encouraging the use of public transportation.</w:t>
            </w:r>
          </w:p>
          <w:p w14:paraId="18779B11" w14:textId="6A60B0DD" w:rsidR="00BA341E" w:rsidRPr="00BA341E" w:rsidRDefault="00BA341E" w:rsidP="00BA34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BA341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Geographical Disconnect: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2119A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Rehoboth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is located </w:t>
            </w:r>
            <w:r w:rsidR="002119A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five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miles from the nearest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MBTA station. This distance significantly diminishes the practical benefits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of zoning for multi-family housing intended to be transit oriented. Residents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in </w:t>
            </w:r>
            <w:r w:rsidR="002119A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Rehoboth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would not realistically use public transit daily due to the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impractical commute, leading to continued reliance on personal vehicles.</w:t>
            </w:r>
          </w:p>
          <w:p w14:paraId="5D6A53C2" w14:textId="37488DAC" w:rsidR="00BA341E" w:rsidRPr="00BA341E" w:rsidRDefault="00BA341E" w:rsidP="00BA34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BA341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Car Dependency: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Even with zoning changes that allow for multi-family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housing, the lack of effective public transit options means that these new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developments do not achieve the environmental and urban planning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benefits intended by the Act. Residents would continue to drive, negating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the act's aim to reduce traffic and emissions.</w:t>
            </w:r>
          </w:p>
          <w:p w14:paraId="168187F2" w14:textId="04D80630" w:rsidR="00BA341E" w:rsidRPr="00BA341E" w:rsidRDefault="00BA341E" w:rsidP="00BA34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2119A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Infrastructure Mismatch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: Local infrastructure in </w:t>
            </w:r>
            <w:r w:rsidR="002119A0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Rehoboth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20124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is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not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prepared for increased density. Roads, sewage, water supply, and other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municipal services might not have the capacity to support higher population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densities without significant upgrades, which could be costly and not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immediately feasible.</w:t>
            </w:r>
            <w:r w:rsidR="0020124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WE HAVE ONLY WELL WATER AND SEPTIC FOR RESIDENTIAL AND COMMERCIAL PROPERTIES.</w:t>
            </w:r>
          </w:p>
          <w:p w14:paraId="0FD2DA8B" w14:textId="6150834E" w:rsidR="00BA341E" w:rsidRPr="00BA341E" w:rsidRDefault="00BA341E" w:rsidP="00BA34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BA341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Unjust Application: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The inclusion of communities </w:t>
            </w:r>
            <w:r w:rsidR="0020124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like Rehoboth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under such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mandates </w:t>
            </w:r>
            <w:proofErr w:type="gramStart"/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can be seen as</w:t>
            </w:r>
            <w:proofErr w:type="gramEnd"/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disproportionate because the policy's benefits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(increased housing options near transit) do not match the community's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reality. This leads to local resistance, as residents perceive the changes as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imposed without considering local conditions.</w:t>
            </w:r>
          </w:p>
          <w:p w14:paraId="057F527B" w14:textId="2667618E" w:rsidR="00BA341E" w:rsidRPr="00BA341E" w:rsidRDefault="00BA341E" w:rsidP="00BA34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BA341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Economic and Social Impact: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Forcing zoning changes in less suitable areas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can lead to economic strain on local governments due to the need for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infrastructure expansion. Socially, there might be community backlash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against perceived external impositions that do not align with local needs or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lifestyles.</w:t>
            </w:r>
          </w:p>
          <w:p w14:paraId="7FD64840" w14:textId="0C765544" w:rsidR="00BA341E" w:rsidRPr="00BA341E" w:rsidRDefault="00BA341E" w:rsidP="00BA34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BA341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One-Size-Fits-All Approach: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The critique here would be that the Act applies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a uniform policy across diverse locales without enough flexibility to account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for significant variations in geography, existing infrastructure, and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community needs.</w:t>
            </w:r>
          </w:p>
          <w:p w14:paraId="4C026C90" w14:textId="1EFDBE21" w:rsidR="00582E5C" w:rsidRPr="004765F1" w:rsidRDefault="00BA341E" w:rsidP="002361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</w:pPr>
            <w:r w:rsidRPr="00BA341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Need for Tailored Solutions: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 xml:space="preserve"> There's a call for a more nuanced approach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where zoning laws consider the actual transit connectivity and local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infrastructure capabilities. This might involve different criteria for zoning</w:t>
            </w:r>
            <w:r w:rsidR="001C4B6F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BA341E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mandates based on actual transit usage or distance from transit facilities.</w:t>
            </w:r>
          </w:p>
        </w:tc>
      </w:tr>
    </w:tbl>
    <w:p w14:paraId="5DA1A27C" w14:textId="77777777" w:rsidR="009837FD" w:rsidRDefault="009837FD"/>
    <w:sectPr w:rsidR="009837FD" w:rsidSect="004765F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F1"/>
    <w:rsid w:val="00062D9E"/>
    <w:rsid w:val="001C4B6F"/>
    <w:rsid w:val="00201246"/>
    <w:rsid w:val="002119A0"/>
    <w:rsid w:val="002355DF"/>
    <w:rsid w:val="004053B2"/>
    <w:rsid w:val="004765F1"/>
    <w:rsid w:val="004E7B2A"/>
    <w:rsid w:val="00582E5C"/>
    <w:rsid w:val="00583E33"/>
    <w:rsid w:val="008F372B"/>
    <w:rsid w:val="009837FD"/>
    <w:rsid w:val="00A36D67"/>
    <w:rsid w:val="00BA341E"/>
    <w:rsid w:val="00C055A5"/>
    <w:rsid w:val="00CD6C0D"/>
    <w:rsid w:val="00DA72F3"/>
    <w:rsid w:val="00E37ED2"/>
    <w:rsid w:val="00F9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FD57E"/>
  <w15:chartTrackingRefBased/>
  <w15:docId w15:val="{988F32FB-0640-2F44-8C1E-2053324A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41E"/>
  </w:style>
  <w:style w:type="paragraph" w:styleId="Heading1">
    <w:name w:val="heading 1"/>
    <w:basedOn w:val="Normal"/>
    <w:next w:val="Normal"/>
    <w:link w:val="Heading1Char"/>
    <w:uiPriority w:val="9"/>
    <w:qFormat/>
    <w:rsid w:val="00476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5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5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5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5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5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5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6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765F1"/>
  </w:style>
  <w:style w:type="paragraph" w:customStyle="1" w:styleId="p1">
    <w:name w:val="p1"/>
    <w:basedOn w:val="Normal"/>
    <w:rsid w:val="00582E5C"/>
    <w:pPr>
      <w:spacing w:after="0" w:line="240" w:lineRule="auto"/>
    </w:pPr>
    <w:rPr>
      <w:rFonts w:ascii="Helvetica" w:eastAsia="Times New Roman" w:hAnsi="Helvetica" w:cs="Times New Roman"/>
      <w:color w:val="16232C"/>
      <w:kern w:val="0"/>
      <w:sz w:val="11"/>
      <w:szCs w:val="1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Roy</dc:creator>
  <cp:keywords/>
  <dc:description/>
  <cp:lastModifiedBy>Justin Radny</cp:lastModifiedBy>
  <cp:revision>7</cp:revision>
  <dcterms:created xsi:type="dcterms:W3CDTF">2025-02-20T12:38:00Z</dcterms:created>
  <dcterms:modified xsi:type="dcterms:W3CDTF">2025-02-20T13:37:00Z</dcterms:modified>
</cp:coreProperties>
</file>