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72C0B" w14:textId="77777777" w:rsidR="00193916" w:rsidRPr="00976D56" w:rsidRDefault="00193916" w:rsidP="001E1260">
      <w:pPr>
        <w:pStyle w:val="PolicyTitleBox"/>
      </w:pPr>
      <w:r>
        <w:t>Lourdes Public Charter School</w:t>
      </w:r>
    </w:p>
    <w:p w14:paraId="2AA8E9A1" w14:textId="77777777" w:rsidR="00CC7D46" w:rsidRDefault="00CC7D46" w:rsidP="00CC7D46"/>
    <w:p w14:paraId="2D178315" w14:textId="77777777" w:rsidR="001E1260" w:rsidRDefault="001E1260" w:rsidP="001E1260">
      <w:pPr>
        <w:pStyle w:val="PolicyCode"/>
      </w:pPr>
      <w:r>
        <w:t>Code:</w:t>
      </w:r>
      <w:r>
        <w:tab/>
      </w:r>
      <w:r w:rsidR="000F3F3C">
        <w:t>JG</w:t>
      </w:r>
    </w:p>
    <w:p w14:paraId="7A0C7BF1" w14:textId="51CD3BC0" w:rsidR="001E1260" w:rsidRDefault="001E1260" w:rsidP="001E1260">
      <w:pPr>
        <w:pStyle w:val="PolicyCode"/>
      </w:pPr>
      <w:r>
        <w:t>Adopted:</w:t>
      </w:r>
      <w:r>
        <w:tab/>
      </w:r>
      <w:r w:rsidR="0006302F">
        <w:t>4/28/25</w:t>
      </w:r>
    </w:p>
    <w:p w14:paraId="4BFBB90C" w14:textId="77777777" w:rsidR="001E1260" w:rsidRPr="001E1260" w:rsidRDefault="001E1260" w:rsidP="00CC7D46"/>
    <w:p w14:paraId="12F6DBCD" w14:textId="77777777" w:rsidR="00EF573E" w:rsidRDefault="000F3F3C" w:rsidP="00EF573E">
      <w:pPr>
        <w:pStyle w:val="PolicyTitle"/>
      </w:pPr>
      <w:r>
        <w:t>Student Discipline**</w:t>
      </w:r>
    </w:p>
    <w:p w14:paraId="235B042B" w14:textId="56071DA6" w:rsidR="00EF573E" w:rsidRDefault="00EF573E" w:rsidP="00EF573E"/>
    <w:p w14:paraId="75BB9E0A" w14:textId="77777777" w:rsidR="000F3F3C" w:rsidRDefault="000F3F3C" w:rsidP="000F3F3C">
      <w:pPr>
        <w:pStyle w:val="PolicyBodyText"/>
      </w:pPr>
      <w:r>
        <w:t>Discipline in the public charter school is based upon a philosophy designed to produce behavioral changes that will enable students to develop the self-discipline necessary to remain in school and to function successfully in their educational and social environments.</w:t>
      </w:r>
    </w:p>
    <w:p w14:paraId="39AADD38" w14:textId="77777777" w:rsidR="000F3F3C" w:rsidRDefault="000F3F3C" w:rsidP="000F3F3C">
      <w:pPr>
        <w:pStyle w:val="PolicyBodyText"/>
      </w:pPr>
    </w:p>
    <w:p w14:paraId="6AF58349" w14:textId="369BD4AC" w:rsidR="000F3F3C" w:rsidRDefault="000F3F3C" w:rsidP="000F3F3C">
      <w:pPr>
        <w:pStyle w:val="PolicyBodyText"/>
      </w:pPr>
      <w:r>
        <w:t>Students are subject to discipline for conduct while traveling to and from school, at the bus stop, at school-sponsored events, while at other schools in the public charter school and while off campus, whenever such conduct causes a substantial and material disruption of the educational environment or the invasion of rights of others.</w:t>
      </w:r>
    </w:p>
    <w:p w14:paraId="67BA6E78" w14:textId="77777777" w:rsidR="000F3F3C" w:rsidRDefault="000F3F3C" w:rsidP="000F3F3C">
      <w:pPr>
        <w:pStyle w:val="PolicyBodyText"/>
      </w:pPr>
    </w:p>
    <w:p w14:paraId="762CE19C" w14:textId="353D2381" w:rsidR="000F3F3C" w:rsidRDefault="000F3F3C" w:rsidP="000F3F3C">
      <w:pPr>
        <w:pStyle w:val="PolicyBodyText"/>
      </w:pPr>
      <w:r>
        <w:t>The major objectives of the public charter school</w:t>
      </w:r>
      <w:r w:rsidR="00C945C2">
        <w:t>’</w:t>
      </w:r>
      <w:r>
        <w:t>s discipline program are to teach the following fundamental concepts for living:</w:t>
      </w:r>
    </w:p>
    <w:p w14:paraId="32D80CB7" w14:textId="77777777" w:rsidR="000F3F3C" w:rsidRDefault="000F3F3C" w:rsidP="000F3F3C">
      <w:pPr>
        <w:pStyle w:val="PolicyBodyText"/>
      </w:pPr>
    </w:p>
    <w:p w14:paraId="256CA9D0" w14:textId="77777777" w:rsidR="000F3F3C" w:rsidRDefault="000F3F3C" w:rsidP="000F3F3C">
      <w:pPr>
        <w:pStyle w:val="Level1"/>
      </w:pPr>
      <w:r>
        <w:t>Understanding and respect for individual rights, dignity and safety;</w:t>
      </w:r>
    </w:p>
    <w:p w14:paraId="54BB6887" w14:textId="77777777" w:rsidR="000F3F3C" w:rsidRDefault="000F3F3C" w:rsidP="000F3F3C">
      <w:pPr>
        <w:pStyle w:val="Level1"/>
      </w:pPr>
      <w:r>
        <w:t>Understanding and respect for the law, Board policies, administrative regulations and school rules;</w:t>
      </w:r>
    </w:p>
    <w:p w14:paraId="34A5E653" w14:textId="48EA766A" w:rsidR="000F3F3C" w:rsidRDefault="000F3F3C" w:rsidP="000F3F3C">
      <w:pPr>
        <w:pStyle w:val="Level1"/>
      </w:pPr>
      <w:r>
        <w:t>Understanding of and respect for public and private property rights.</w:t>
      </w:r>
    </w:p>
    <w:p w14:paraId="5B81CB7A" w14:textId="48870771" w:rsidR="000F3F3C" w:rsidRDefault="000F3F3C" w:rsidP="000F3F3C">
      <w:pPr>
        <w:pStyle w:val="PolicyBodyText"/>
      </w:pPr>
      <w:r>
        <w:t xml:space="preserve">The </w:t>
      </w:r>
      <w:r w:rsidR="00441739">
        <w:t>Board</w:t>
      </w:r>
      <w:r>
        <w:t xml:space="preserve"> seeks to ensure a school climate which is appropriate for learning and which assures the safety and welfare of personnel and students. The </w:t>
      </w:r>
      <w:r w:rsidR="00441739">
        <w:t>administrator</w:t>
      </w:r>
      <w:r>
        <w:t xml:space="preserve"> will develop procedures whereby those students who disrupt the educational setting or who endanger the safety of others will be subject to disciplinary sanctions that are age appropriate, and to the extent practicable, use approaches that are shown through research to be effective to correct behavioral problems, while supporting a students</w:t>
      </w:r>
      <w:r w:rsidR="00C945C2">
        <w:t>’</w:t>
      </w:r>
      <w:r>
        <w:t xml:space="preserve"> attendance to school and classes. Examples include, but are not limited to, reprimands, conferences, detention and denial of participation in cocurricular and extracurricular activities. Titles and/or privileges available to or granted to students may be denied and/or revoked.</w:t>
      </w:r>
    </w:p>
    <w:p w14:paraId="1D67F28C" w14:textId="77777777" w:rsidR="000F3F3C" w:rsidRDefault="000F3F3C" w:rsidP="000F3F3C">
      <w:pPr>
        <w:pStyle w:val="PolicyBodyText"/>
      </w:pPr>
    </w:p>
    <w:p w14:paraId="37D09590" w14:textId="77777777" w:rsidR="000F3F3C" w:rsidRDefault="000F3F3C" w:rsidP="00C945C2">
      <w:pPr>
        <w:pStyle w:val="PolicyBodyText"/>
        <w:spacing w:after="240"/>
      </w:pPr>
      <w:r>
        <w:t>The public charter school shall enforce consistently, fairly and without bias all student conduct policies, administrative regulations and school rules.</w:t>
      </w:r>
    </w:p>
    <w:p w14:paraId="22B2FBF3" w14:textId="20BC9DCB" w:rsidR="000F3F3C" w:rsidRDefault="00067910" w:rsidP="000F3F3C">
      <w:pPr>
        <w:pStyle w:val="PolicyBodyText"/>
      </w:pPr>
      <w:r>
        <w:t>S</w:t>
      </w:r>
      <w:r w:rsidR="000F3F3C">
        <w:t>tudent</w:t>
      </w:r>
      <w:r>
        <w:t xml:space="preserve">s with disabilities </w:t>
      </w:r>
      <w:r w:rsidR="000F3F3C">
        <w:t>shall be disciplined in accordance with federal law and board policy JGDA - Discipline of Students with Disabilities and accompanying administrative regulation.</w:t>
      </w:r>
    </w:p>
    <w:p w14:paraId="47784C74" w14:textId="77777777" w:rsidR="000F3F3C" w:rsidRDefault="000F3F3C" w:rsidP="000F3F3C">
      <w:pPr>
        <w:pStyle w:val="PolicyBodyText"/>
      </w:pPr>
    </w:p>
    <w:p w14:paraId="6D19DA4D" w14:textId="77777777" w:rsidR="000F3F3C" w:rsidRDefault="000F3F3C" w:rsidP="000F3F3C">
      <w:pPr>
        <w:pStyle w:val="PolicyBodyText"/>
      </w:pPr>
      <w:r>
        <w:t>Parents, students and employees shall be notified by handbook, code of conduct or other document of the acceptable behavior, behavior subject to discipline and the procedures to address behavior. These procedures will include a system of consequences designed to correct student misconduct and promote acceptable behavior.</w:t>
      </w:r>
    </w:p>
    <w:p w14:paraId="13D8A5D9" w14:textId="77777777" w:rsidR="000F3F3C" w:rsidRDefault="000F3F3C" w:rsidP="000F3F3C">
      <w:pPr>
        <w:pStyle w:val="PolicyBodyText"/>
      </w:pPr>
    </w:p>
    <w:p w14:paraId="795F42A1" w14:textId="77777777" w:rsidR="000F3F3C" w:rsidRDefault="000F3F3C" w:rsidP="000F3F3C">
      <w:pPr>
        <w:pStyle w:val="PolicyBodyText"/>
      </w:pPr>
      <w:r>
        <w:t>END OF POLICY</w:t>
      </w:r>
    </w:p>
    <w:p w14:paraId="568C21A8" w14:textId="77777777" w:rsidR="000F3F3C" w:rsidRDefault="000F3F3C" w:rsidP="000F3F3C">
      <w:pPr>
        <w:pStyle w:val="PolicyLine"/>
      </w:pPr>
    </w:p>
    <w:p w14:paraId="3A52F5FD" w14:textId="77777777" w:rsidR="00C945C2" w:rsidRDefault="00C945C2">
      <w:pPr>
        <w:suppressAutoHyphens w:val="0"/>
        <w:spacing w:after="160" w:line="259" w:lineRule="auto"/>
        <w:rPr>
          <w:rFonts w:ascii="Times New Roman Bold" w:hAnsi="Times New Roman Bold"/>
          <w:b/>
          <w:sz w:val="20"/>
        </w:rPr>
      </w:pPr>
      <w:r>
        <w:br w:type="page"/>
      </w:r>
    </w:p>
    <w:p w14:paraId="58F41DF2" w14:textId="4E309F10" w:rsidR="000F3F3C" w:rsidRPr="00153581" w:rsidRDefault="000F3F3C" w:rsidP="005953A8">
      <w:pPr>
        <w:pStyle w:val="PolicyReferencesHeading"/>
      </w:pPr>
      <w:r w:rsidRPr="00153581">
        <w:lastRenderedPageBreak/>
        <w:t>Legal Reference(s):</w:t>
      </w:r>
    </w:p>
    <w:p w14:paraId="282DA6AE" w14:textId="77777777" w:rsidR="000F3F3C" w:rsidRPr="00153581" w:rsidRDefault="000F3F3C" w:rsidP="000F3F3C">
      <w:pPr>
        <w:pStyle w:val="PolicyReferences"/>
      </w:pPr>
    </w:p>
    <w:p w14:paraId="7A602BE9" w14:textId="77777777" w:rsidR="000F3F3C" w:rsidRPr="00153581" w:rsidRDefault="000F3F3C" w:rsidP="000F3F3C">
      <w:pPr>
        <w:pStyle w:val="PolicyReferences"/>
        <w:sectPr w:rsidR="000F3F3C" w:rsidRPr="00153581" w:rsidSect="000F3F3C">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56818D84" w14:textId="77777777" w:rsidR="000F3F3C" w:rsidRPr="00153581" w:rsidRDefault="000F3F3C" w:rsidP="000F3F3C">
      <w:pPr>
        <w:pStyle w:val="PolicyReferences"/>
      </w:pPr>
      <w:r w:rsidRPr="00153581">
        <w:fldChar w:fldCharType="begin"/>
      </w:r>
      <w:r w:rsidRPr="00153581">
        <w:instrText xml:space="preserve">   HYPERLINK "http://policy.osba.org/orsredir.asp?ors=ors-243" </w:instrText>
      </w:r>
      <w:r w:rsidRPr="00153581">
        <w:fldChar w:fldCharType="separate"/>
      </w:r>
      <w:r w:rsidRPr="00153581">
        <w:rPr>
          <w:rStyle w:val="SYSHYPERTEXT"/>
        </w:rPr>
        <w:t>ORS 243</w:t>
      </w:r>
      <w:r w:rsidRPr="00153581">
        <w:fldChar w:fldCharType="end"/>
      </w:r>
      <w:r w:rsidRPr="00153581">
        <w:t>.650</w:t>
      </w:r>
    </w:p>
    <w:p w14:paraId="431EF52B" w14:textId="77777777" w:rsidR="000F3F3C" w:rsidRPr="00153581" w:rsidRDefault="000F3F3C" w:rsidP="000F3F3C">
      <w:pPr>
        <w:pStyle w:val="PolicyReferences"/>
      </w:pPr>
      <w:hyperlink r:id="rId14" w:history="1">
        <w:r w:rsidRPr="00153581">
          <w:rPr>
            <w:rStyle w:val="SYSHYPERTEXT"/>
          </w:rPr>
          <w:t>ORS 332</w:t>
        </w:r>
      </w:hyperlink>
      <w:r w:rsidRPr="00153581">
        <w:t>.061</w:t>
      </w:r>
    </w:p>
    <w:p w14:paraId="15B041E6" w14:textId="77777777" w:rsidR="000F3F3C" w:rsidRPr="00153581" w:rsidRDefault="000F3F3C" w:rsidP="000F3F3C">
      <w:pPr>
        <w:pStyle w:val="PolicyReferences"/>
      </w:pPr>
      <w:hyperlink r:id="rId15" w:history="1">
        <w:r w:rsidRPr="00153581">
          <w:rPr>
            <w:rStyle w:val="SYSHYPERTEXT"/>
          </w:rPr>
          <w:t>ORS 332</w:t>
        </w:r>
      </w:hyperlink>
      <w:r w:rsidRPr="00153581">
        <w:t>.072</w:t>
      </w:r>
    </w:p>
    <w:p w14:paraId="25DCCEC7" w14:textId="77777777" w:rsidR="000F3F3C" w:rsidRPr="00153581" w:rsidRDefault="000F3F3C" w:rsidP="000F3F3C">
      <w:pPr>
        <w:pStyle w:val="PolicyReferences"/>
      </w:pPr>
      <w:r w:rsidRPr="00153581">
        <w:br w:type="column"/>
      </w:r>
      <w:hyperlink r:id="rId16" w:history="1">
        <w:r w:rsidRPr="00153581">
          <w:rPr>
            <w:rStyle w:val="SYSHYPERTEXT"/>
          </w:rPr>
          <w:t>ORS 338</w:t>
        </w:r>
      </w:hyperlink>
      <w:r w:rsidRPr="00153581">
        <w:t>.115</w:t>
      </w:r>
    </w:p>
    <w:p w14:paraId="22F560F1" w14:textId="77777777" w:rsidR="000F3F3C" w:rsidRPr="00153581" w:rsidRDefault="000F3F3C" w:rsidP="000F3F3C">
      <w:pPr>
        <w:pStyle w:val="PolicyReferences"/>
      </w:pPr>
      <w:hyperlink r:id="rId17" w:history="1">
        <w:r w:rsidRPr="00153581">
          <w:rPr>
            <w:rStyle w:val="SYSHYPERTEXT"/>
          </w:rPr>
          <w:t>ORS 339</w:t>
        </w:r>
      </w:hyperlink>
      <w:r w:rsidRPr="00153581">
        <w:t>.115</w:t>
      </w:r>
    </w:p>
    <w:p w14:paraId="3A94BD51" w14:textId="77777777" w:rsidR="000F3F3C" w:rsidRPr="00153581" w:rsidRDefault="000F3F3C" w:rsidP="000F3F3C">
      <w:pPr>
        <w:pStyle w:val="PolicyReferences"/>
      </w:pPr>
      <w:hyperlink r:id="rId18" w:history="1">
        <w:r w:rsidRPr="00153581">
          <w:rPr>
            <w:rStyle w:val="SYSHYPERTEXT"/>
          </w:rPr>
          <w:t>ORS 339</w:t>
        </w:r>
      </w:hyperlink>
      <w:r w:rsidRPr="00153581">
        <w:t>.240 to -339.280</w:t>
      </w:r>
    </w:p>
    <w:p w14:paraId="772F9601" w14:textId="77777777" w:rsidR="000F3F3C" w:rsidRPr="00153581" w:rsidRDefault="000F3F3C" w:rsidP="000F3F3C">
      <w:pPr>
        <w:pStyle w:val="PolicyReferences"/>
      </w:pPr>
      <w:hyperlink r:id="rId19" w:history="1">
        <w:r w:rsidRPr="00153581">
          <w:rPr>
            <w:rStyle w:val="SYSHYPERTEXT"/>
          </w:rPr>
          <w:t>ORS 659</w:t>
        </w:r>
      </w:hyperlink>
      <w:r w:rsidRPr="00153581">
        <w:t>.850</w:t>
      </w:r>
    </w:p>
    <w:p w14:paraId="779A8C70" w14:textId="77777777" w:rsidR="000F3F3C" w:rsidRPr="00153581" w:rsidRDefault="000F3F3C" w:rsidP="000F3F3C">
      <w:pPr>
        <w:pStyle w:val="PolicyReferences"/>
      </w:pPr>
      <w:r w:rsidRPr="00153581">
        <w:br w:type="column"/>
      </w:r>
      <w:bookmarkStart w:id="2" w:name="OAR"/>
      <w:bookmarkEnd w:id="2"/>
      <w:r w:rsidRPr="00153581">
        <w:fldChar w:fldCharType="begin"/>
      </w:r>
      <w:r w:rsidRPr="00153581">
        <w:instrText xml:space="preserve">   HYPERLINK "http://policy.osba.org/orsredir.asp?ors=oar-581-021" </w:instrText>
      </w:r>
      <w:r w:rsidRPr="00153581">
        <w:fldChar w:fldCharType="separate"/>
      </w:r>
      <w:r w:rsidRPr="00153581">
        <w:rPr>
          <w:rStyle w:val="SYSHYPERTEXT"/>
        </w:rPr>
        <w:t>OAR 581-021</w:t>
      </w:r>
      <w:r w:rsidRPr="00153581">
        <w:fldChar w:fldCharType="end"/>
      </w:r>
      <w:r w:rsidRPr="00153581">
        <w:t>-0045</w:t>
      </w:r>
    </w:p>
    <w:p w14:paraId="7F0A8A10" w14:textId="77777777" w:rsidR="000F3F3C" w:rsidRPr="00153581" w:rsidRDefault="000F3F3C" w:rsidP="000F3F3C">
      <w:pPr>
        <w:pStyle w:val="PolicyReferences"/>
        <w:sectPr w:rsidR="000F3F3C" w:rsidRPr="00153581" w:rsidSect="000F3F3C">
          <w:footerReference w:type="default" r:id="rId20"/>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21" w:history="1">
        <w:r w:rsidRPr="00153581">
          <w:rPr>
            <w:rStyle w:val="SYSHYPERTEXT"/>
          </w:rPr>
          <w:t>OAR 581-021</w:t>
        </w:r>
      </w:hyperlink>
      <w:r w:rsidRPr="00153581">
        <w:t>-0050 to -0075</w:t>
      </w:r>
    </w:p>
    <w:p w14:paraId="525F7EDF" w14:textId="77777777" w:rsidR="000F3F3C" w:rsidRPr="00153581" w:rsidRDefault="000F3F3C" w:rsidP="000F3F3C">
      <w:pPr>
        <w:pStyle w:val="PolicyReferences"/>
      </w:pPr>
      <w:r w:rsidRPr="00153581">
        <w:t>Tinker v. Des Moines Sch. Dist., 393 U.S. 503 (1969).</w:t>
      </w:r>
    </w:p>
    <w:p w14:paraId="349322FB" w14:textId="77777777" w:rsidR="000F3F3C" w:rsidRPr="00153581" w:rsidRDefault="000F3F3C" w:rsidP="000F3F3C">
      <w:pPr>
        <w:pStyle w:val="PolicyReferences"/>
      </w:pPr>
      <w:r w:rsidRPr="00153581">
        <w:t>Shorb v. Grotting and Powers Sch. Dist., Case No. 00CV-0255 (Coos County Circuit Ct.) (2000).</w:t>
      </w:r>
    </w:p>
    <w:p w14:paraId="6D4DFF3F" w14:textId="77777777" w:rsidR="00DA5763" w:rsidRPr="00153581" w:rsidRDefault="000F3F3C" w:rsidP="000F3F3C">
      <w:pPr>
        <w:pStyle w:val="PolicyReferences"/>
      </w:pPr>
      <w:r w:rsidRPr="00153581">
        <w:t>Ferguson v. Phoenix Talent Sch. Dist. #4, 172 Or. App. 389 (2001).</w:t>
      </w:r>
      <w:bookmarkStart w:id="3" w:name="LawsEnd"/>
      <w:bookmarkEnd w:id="3"/>
    </w:p>
    <w:p w14:paraId="1BC4B1B4" w14:textId="77777777" w:rsidR="00153581" w:rsidRPr="00153581" w:rsidRDefault="00153581" w:rsidP="000F3F3C">
      <w:pPr>
        <w:pStyle w:val="PolicyReferences"/>
      </w:pPr>
    </w:p>
    <w:p w14:paraId="714F5364" w14:textId="77777777" w:rsidR="00153581" w:rsidRPr="00153581" w:rsidRDefault="00153581" w:rsidP="000F3F3C">
      <w:pPr>
        <w:pStyle w:val="PolicyReferences"/>
      </w:pPr>
    </w:p>
    <w:p w14:paraId="10EC829A" w14:textId="43330890" w:rsidR="00153581" w:rsidRPr="00153581" w:rsidRDefault="00153581" w:rsidP="00153581">
      <w:pPr>
        <w:pStyle w:val="PolicyReferences"/>
        <w:rPr>
          <w:b/>
        </w:rPr>
      </w:pPr>
      <w:bookmarkStart w:id="4" w:name="XREFS"/>
      <w:bookmarkEnd w:id="4"/>
      <w:r w:rsidRPr="00153581">
        <w:rPr>
          <w:b/>
        </w:rPr>
        <w:t>Cross Reference(s):</w:t>
      </w:r>
    </w:p>
    <w:p w14:paraId="7B57C289" w14:textId="77777777" w:rsidR="00153581" w:rsidRPr="00153581" w:rsidRDefault="00153581" w:rsidP="00153581">
      <w:pPr>
        <w:pStyle w:val="PolicyReferences"/>
      </w:pPr>
    </w:p>
    <w:p w14:paraId="4E273AD3" w14:textId="53B99184" w:rsidR="00153581" w:rsidRPr="00153581" w:rsidRDefault="00153581" w:rsidP="00153581">
      <w:pPr>
        <w:pStyle w:val="PolicyReferences"/>
      </w:pPr>
      <w:r w:rsidRPr="00153581">
        <w:t>JFC - Student Conduct</w:t>
      </w:r>
    </w:p>
    <w:p w14:paraId="07CBF2B0" w14:textId="11105DB5" w:rsidR="00153581" w:rsidRPr="00153581" w:rsidRDefault="00153581" w:rsidP="00153581">
      <w:pPr>
        <w:pStyle w:val="PolicyReferences"/>
      </w:pPr>
      <w:r w:rsidRPr="00153581">
        <w:t>JGD - Suspension</w:t>
      </w:r>
    </w:p>
    <w:p w14:paraId="248C106E" w14:textId="3BE799AF" w:rsidR="00153581" w:rsidRPr="00153581" w:rsidRDefault="00153581" w:rsidP="00153581">
      <w:pPr>
        <w:pStyle w:val="PolicyReferences"/>
      </w:pPr>
      <w:r w:rsidRPr="00153581">
        <w:t>JGE - Expulsion</w:t>
      </w:r>
    </w:p>
    <w:sectPr w:rsidR="00153581" w:rsidRPr="00153581" w:rsidSect="000F3F3C">
      <w:footerReference w:type="default" r:id="rId2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BE944" w14:textId="77777777" w:rsidR="000F3F3C" w:rsidRDefault="000F3F3C" w:rsidP="00FC3907">
      <w:r>
        <w:separator/>
      </w:r>
    </w:p>
  </w:endnote>
  <w:endnote w:type="continuationSeparator" w:id="0">
    <w:p w14:paraId="604F9293" w14:textId="77777777" w:rsidR="000F3F3C" w:rsidRDefault="000F3F3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2880F" w14:textId="77777777" w:rsidR="0006302F" w:rsidRDefault="00063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3F3C" w14:paraId="7D587FF0" w14:textId="77777777" w:rsidTr="004616AD">
      <w:tc>
        <w:tcPr>
          <w:tcW w:w="2340" w:type="dxa"/>
        </w:tcPr>
        <w:p w14:paraId="0FA41AFA" w14:textId="33C08F32" w:rsidR="000F3F3C" w:rsidRDefault="000F3F3C" w:rsidP="004616AD">
          <w:pPr>
            <w:pStyle w:val="Footer"/>
            <w:rPr>
              <w:noProof/>
              <w:sz w:val="20"/>
            </w:rPr>
          </w:pPr>
        </w:p>
      </w:tc>
      <w:tc>
        <w:tcPr>
          <w:tcW w:w="7956" w:type="dxa"/>
        </w:tcPr>
        <w:p w14:paraId="25ABA391" w14:textId="77777777" w:rsidR="000F3F3C" w:rsidRDefault="000F3F3C" w:rsidP="004616AD">
          <w:pPr>
            <w:pStyle w:val="Footer"/>
            <w:jc w:val="right"/>
          </w:pPr>
          <w:r>
            <w:t>Student Discipline** – JG</w:t>
          </w:r>
        </w:p>
        <w:p w14:paraId="44AEB4BD" w14:textId="77777777" w:rsidR="000F3F3C" w:rsidRDefault="000F3F3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7310CC1" w14:textId="77777777" w:rsidR="000F3F3C" w:rsidRPr="00782930" w:rsidRDefault="000F3F3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C882A" w14:textId="77777777" w:rsidR="0006302F" w:rsidRDefault="000630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3F3C" w14:paraId="64291EC6" w14:textId="77777777" w:rsidTr="004616AD">
      <w:tc>
        <w:tcPr>
          <w:tcW w:w="2340" w:type="dxa"/>
        </w:tcPr>
        <w:p w14:paraId="32A982CF" w14:textId="77777777" w:rsidR="000F3F3C" w:rsidRDefault="000F3F3C" w:rsidP="004616AD">
          <w:pPr>
            <w:pStyle w:val="Footer"/>
            <w:rPr>
              <w:noProof/>
              <w:sz w:val="20"/>
            </w:rPr>
          </w:pPr>
          <w:r>
            <w:rPr>
              <w:noProof/>
              <w:sz w:val="20"/>
            </w:rPr>
            <w:t>4/13/17│PH</w:t>
          </w:r>
        </w:p>
      </w:tc>
      <w:tc>
        <w:tcPr>
          <w:tcW w:w="7956" w:type="dxa"/>
        </w:tcPr>
        <w:p w14:paraId="2C0C03C3" w14:textId="77777777" w:rsidR="000F3F3C" w:rsidRDefault="000F3F3C" w:rsidP="004616AD">
          <w:pPr>
            <w:pStyle w:val="Footer"/>
            <w:jc w:val="right"/>
          </w:pPr>
          <w:r>
            <w:t>Student Discipline** – JG</w:t>
          </w:r>
        </w:p>
        <w:p w14:paraId="63F90B08" w14:textId="77777777" w:rsidR="000F3F3C" w:rsidRDefault="000F3F3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88E8F36" w14:textId="77777777" w:rsidR="000F3F3C" w:rsidRPr="00782930" w:rsidRDefault="000F3F3C"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3F3C" w14:paraId="3A320521" w14:textId="77777777" w:rsidTr="004616AD">
      <w:tc>
        <w:tcPr>
          <w:tcW w:w="2340" w:type="dxa"/>
        </w:tcPr>
        <w:p w14:paraId="444C41D5" w14:textId="77777777" w:rsidR="000F3F3C" w:rsidRDefault="000F3F3C" w:rsidP="004616AD">
          <w:pPr>
            <w:pStyle w:val="Footer"/>
            <w:rPr>
              <w:noProof/>
              <w:sz w:val="20"/>
            </w:rPr>
          </w:pPr>
          <w:r>
            <w:rPr>
              <w:noProof/>
              <w:sz w:val="20"/>
            </w:rPr>
            <w:t>4/13/17│PH</w:t>
          </w:r>
        </w:p>
      </w:tc>
      <w:tc>
        <w:tcPr>
          <w:tcW w:w="7956" w:type="dxa"/>
        </w:tcPr>
        <w:p w14:paraId="3C866E5B" w14:textId="77777777" w:rsidR="000F3F3C" w:rsidRDefault="000F3F3C" w:rsidP="004616AD">
          <w:pPr>
            <w:pStyle w:val="Footer"/>
            <w:jc w:val="right"/>
          </w:pPr>
          <w:r>
            <w:t>Student Discipline** – JG</w:t>
          </w:r>
        </w:p>
        <w:p w14:paraId="0C447B11" w14:textId="77777777" w:rsidR="000F3F3C" w:rsidRDefault="000F3F3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BFBA78B" w14:textId="77777777" w:rsidR="000F3F3C" w:rsidRPr="00782930" w:rsidRDefault="000F3F3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234D5" w14:textId="77777777" w:rsidR="000F3F3C" w:rsidRDefault="000F3F3C" w:rsidP="00FC3907">
      <w:r>
        <w:separator/>
      </w:r>
    </w:p>
  </w:footnote>
  <w:footnote w:type="continuationSeparator" w:id="0">
    <w:p w14:paraId="444CC57E" w14:textId="77777777" w:rsidR="000F3F3C" w:rsidRDefault="000F3F3C"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8619D" w14:textId="77777777" w:rsidR="0006302F" w:rsidRPr="00C945C2" w:rsidRDefault="00063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F1BC" w14:textId="77777777" w:rsidR="0006302F" w:rsidRDefault="000630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C1D80" w14:textId="77777777" w:rsidR="0006302F" w:rsidRDefault="00063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525824499">
    <w:abstractNumId w:val="7"/>
  </w:num>
  <w:num w:numId="2" w16cid:durableId="647396157">
    <w:abstractNumId w:val="4"/>
  </w:num>
  <w:num w:numId="3" w16cid:durableId="776562258">
    <w:abstractNumId w:val="4"/>
  </w:num>
  <w:num w:numId="4" w16cid:durableId="923414200">
    <w:abstractNumId w:val="3"/>
  </w:num>
  <w:num w:numId="5" w16cid:durableId="1296445981">
    <w:abstractNumId w:val="3"/>
  </w:num>
  <w:num w:numId="6" w16cid:durableId="217009889">
    <w:abstractNumId w:val="2"/>
  </w:num>
  <w:num w:numId="7" w16cid:durableId="339893753">
    <w:abstractNumId w:val="2"/>
  </w:num>
  <w:num w:numId="8" w16cid:durableId="1457793368">
    <w:abstractNumId w:val="1"/>
  </w:num>
  <w:num w:numId="9" w16cid:durableId="586841274">
    <w:abstractNumId w:val="1"/>
  </w:num>
  <w:num w:numId="10" w16cid:durableId="1519193400">
    <w:abstractNumId w:val="0"/>
  </w:num>
  <w:num w:numId="11" w16cid:durableId="1842547175">
    <w:abstractNumId w:val="0"/>
  </w:num>
  <w:num w:numId="12" w16cid:durableId="1789162732">
    <w:abstractNumId w:val="6"/>
  </w:num>
  <w:num w:numId="13" w16cid:durableId="1600721928">
    <w:abstractNumId w:val="9"/>
  </w:num>
  <w:num w:numId="14" w16cid:durableId="208032157">
    <w:abstractNumId w:val="8"/>
  </w:num>
  <w:num w:numId="15" w16cid:durableId="2023311460">
    <w:abstractNumId w:val="5"/>
  </w:num>
  <w:num w:numId="16" w16cid:durableId="1048576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555"/>
    <w:rsid w:val="000617BB"/>
    <w:rsid w:val="0006302F"/>
    <w:rsid w:val="00067910"/>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3F3C"/>
    <w:rsid w:val="000F710F"/>
    <w:rsid w:val="000F7910"/>
    <w:rsid w:val="00123136"/>
    <w:rsid w:val="00125E1F"/>
    <w:rsid w:val="00137065"/>
    <w:rsid w:val="001479B1"/>
    <w:rsid w:val="00151EC6"/>
    <w:rsid w:val="00153581"/>
    <w:rsid w:val="00156EA7"/>
    <w:rsid w:val="00176E56"/>
    <w:rsid w:val="00176FC1"/>
    <w:rsid w:val="0018025F"/>
    <w:rsid w:val="00193916"/>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90A78"/>
    <w:rsid w:val="002A7657"/>
    <w:rsid w:val="002C77C7"/>
    <w:rsid w:val="002D5619"/>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1739"/>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5611"/>
    <w:rsid w:val="00536354"/>
    <w:rsid w:val="00543474"/>
    <w:rsid w:val="00557E6B"/>
    <w:rsid w:val="00573A5C"/>
    <w:rsid w:val="005953A8"/>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0F0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D7FFB"/>
    <w:rsid w:val="008E1CAE"/>
    <w:rsid w:val="008E5A2D"/>
    <w:rsid w:val="008F4D57"/>
    <w:rsid w:val="00907FA5"/>
    <w:rsid w:val="00912BAC"/>
    <w:rsid w:val="00923DFB"/>
    <w:rsid w:val="009317A1"/>
    <w:rsid w:val="0093544A"/>
    <w:rsid w:val="00940E79"/>
    <w:rsid w:val="009510E8"/>
    <w:rsid w:val="009510FB"/>
    <w:rsid w:val="00963266"/>
    <w:rsid w:val="00972985"/>
    <w:rsid w:val="00976D56"/>
    <w:rsid w:val="00976F42"/>
    <w:rsid w:val="00977D62"/>
    <w:rsid w:val="009816CA"/>
    <w:rsid w:val="00982B4E"/>
    <w:rsid w:val="009854C4"/>
    <w:rsid w:val="0098659F"/>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1E39"/>
    <w:rsid w:val="00A7204A"/>
    <w:rsid w:val="00A967F8"/>
    <w:rsid w:val="00AC3EDD"/>
    <w:rsid w:val="00AC5141"/>
    <w:rsid w:val="00AC6972"/>
    <w:rsid w:val="00AE1154"/>
    <w:rsid w:val="00AE5A84"/>
    <w:rsid w:val="00AF3E4D"/>
    <w:rsid w:val="00AF6F27"/>
    <w:rsid w:val="00B01ACE"/>
    <w:rsid w:val="00B04433"/>
    <w:rsid w:val="00B2331C"/>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54D2"/>
    <w:rsid w:val="00C04F63"/>
    <w:rsid w:val="00C21664"/>
    <w:rsid w:val="00C25368"/>
    <w:rsid w:val="00C33AB4"/>
    <w:rsid w:val="00C42489"/>
    <w:rsid w:val="00C430FD"/>
    <w:rsid w:val="00C71516"/>
    <w:rsid w:val="00C82AB8"/>
    <w:rsid w:val="00C945C2"/>
    <w:rsid w:val="00CB18D4"/>
    <w:rsid w:val="00CB5D00"/>
    <w:rsid w:val="00CC11B1"/>
    <w:rsid w:val="00CC2690"/>
    <w:rsid w:val="00CC38AB"/>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A5763"/>
    <w:rsid w:val="00DE0C18"/>
    <w:rsid w:val="00DF0AE6"/>
    <w:rsid w:val="00DF464B"/>
    <w:rsid w:val="00E009DD"/>
    <w:rsid w:val="00E07338"/>
    <w:rsid w:val="00E3208C"/>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2AAC"/>
    <w:rsid w:val="00F704CA"/>
    <w:rsid w:val="00F774CC"/>
    <w:rsid w:val="00F80E45"/>
    <w:rsid w:val="00F903EA"/>
    <w:rsid w:val="00F91523"/>
    <w:rsid w:val="00F94BBC"/>
    <w:rsid w:val="00FA481C"/>
    <w:rsid w:val="00FB3011"/>
    <w:rsid w:val="00FB52F8"/>
    <w:rsid w:val="00FC3907"/>
    <w:rsid w:val="00FD2D66"/>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D30F18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F3F3C"/>
    <w:rPr>
      <w:color w:val="0000FF"/>
      <w:u w:val="single"/>
    </w:rPr>
  </w:style>
  <w:style w:type="paragraph" w:styleId="Revision">
    <w:name w:val="Revision"/>
    <w:hidden/>
    <w:uiPriority w:val="99"/>
    <w:semiHidden/>
    <w:rsid w:val="00BF54D2"/>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3" Type="http://schemas.openxmlformats.org/officeDocument/2006/relationships/styles" Target="styles.xml"/><Relationship Id="rId21" Type="http://schemas.openxmlformats.org/officeDocument/2006/relationships/hyperlink" Target="http://policy.osba.org/orsredir.asp?ors=oar-581-02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65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D1176-4581-41E9-A6F2-2F8A409C0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 - Student Discipline**</dc:title>
  <dc:subject>Lourdes Board Policy</dc:subject>
  <dc:creator>Oregon School Boards Association</dc:creator>
  <cp:keywords/>
  <dc:description/>
  <cp:lastModifiedBy>Colleen Allen</cp:lastModifiedBy>
  <cp:revision>19</cp:revision>
  <dcterms:created xsi:type="dcterms:W3CDTF">2018-03-09T23:22:00Z</dcterms:created>
  <dcterms:modified xsi:type="dcterms:W3CDTF">2025-05-22T15:44:00Z</dcterms:modified>
</cp:coreProperties>
</file>