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B62A0" w14:textId="77777777" w:rsidR="00F63A53" w:rsidRPr="00976D56" w:rsidRDefault="00F63A53" w:rsidP="001E1260">
      <w:pPr>
        <w:pStyle w:val="PolicyTitleBox"/>
      </w:pPr>
      <w:r>
        <w:t>Lourdes Public Charter School</w:t>
      </w:r>
    </w:p>
    <w:p w14:paraId="75574C87" w14:textId="77777777" w:rsidR="00CC7D46" w:rsidRPr="00EF2864" w:rsidRDefault="00CC7D46" w:rsidP="00EF2864">
      <w:pPr>
        <w:shd w:val="clear" w:color="000000" w:fill="auto"/>
      </w:pPr>
    </w:p>
    <w:p w14:paraId="311FDD17" w14:textId="77777777" w:rsidR="001E1260" w:rsidRPr="00EF2864" w:rsidRDefault="001E1260" w:rsidP="00EF2864">
      <w:pPr>
        <w:pStyle w:val="PolicyCode"/>
        <w:shd w:val="clear" w:color="000000" w:fill="auto"/>
      </w:pPr>
      <w:r w:rsidRPr="00EF2864">
        <w:t>Code:</w:t>
      </w:r>
      <w:r w:rsidRPr="00EF2864">
        <w:tab/>
      </w:r>
      <w:r w:rsidR="0089236E" w:rsidRPr="00EF2864">
        <w:t>JGE</w:t>
      </w:r>
    </w:p>
    <w:p w14:paraId="2E71938C" w14:textId="614E5974" w:rsidR="001E1260" w:rsidRPr="00EF2864" w:rsidRDefault="001E1260" w:rsidP="00EF2864">
      <w:pPr>
        <w:pStyle w:val="PolicyCode"/>
        <w:shd w:val="clear" w:color="000000" w:fill="auto"/>
      </w:pPr>
      <w:r w:rsidRPr="00EF2864">
        <w:t>Adopted:</w:t>
      </w:r>
      <w:r w:rsidRPr="00EF2864">
        <w:tab/>
      </w:r>
      <w:r w:rsidR="004D5C09">
        <w:t>4/28/25</w:t>
      </w:r>
    </w:p>
    <w:p w14:paraId="563633AE" w14:textId="77777777" w:rsidR="001E1260" w:rsidRPr="00EF2864" w:rsidRDefault="001E1260" w:rsidP="00EF2864">
      <w:pPr>
        <w:shd w:val="clear" w:color="000000" w:fill="auto"/>
      </w:pPr>
    </w:p>
    <w:p w14:paraId="78698189" w14:textId="7E60BC44" w:rsidR="00EF573E" w:rsidRPr="00EF2864" w:rsidRDefault="0089236E" w:rsidP="00EF2864">
      <w:pPr>
        <w:pStyle w:val="PolicyTitle"/>
        <w:shd w:val="clear" w:color="000000" w:fill="auto"/>
      </w:pPr>
      <w:r w:rsidRPr="00EF2864">
        <w:t>Expulsion**</w:t>
      </w:r>
    </w:p>
    <w:p w14:paraId="5BFDACEA" w14:textId="77777777" w:rsidR="005C03CE" w:rsidRDefault="005C03CE" w:rsidP="00EF2864">
      <w:pPr>
        <w:pStyle w:val="PolicyBodyText"/>
        <w:shd w:val="clear" w:color="000000" w:fill="auto"/>
      </w:pPr>
    </w:p>
    <w:p w14:paraId="1B83B88D" w14:textId="5AAEF36E" w:rsidR="0089236E" w:rsidRPr="00EF2864" w:rsidRDefault="00B60211" w:rsidP="00EF2864">
      <w:pPr>
        <w:pStyle w:val="PolicyBodyText"/>
        <w:shd w:val="clear" w:color="000000" w:fill="auto"/>
      </w:pPr>
      <w:r>
        <w:t>The</w:t>
      </w:r>
      <w:r w:rsidR="0089236E" w:rsidRPr="00EF2864">
        <w:t xml:space="preserve"> </w:t>
      </w:r>
      <w:r w:rsidR="00055325">
        <w:t>administrator</w:t>
      </w:r>
      <w:r w:rsidR="0089236E" w:rsidRPr="00EF2864">
        <w:t>, after reviewing available information, may recommend to the Board that a student be expelled. Expulsion of a student shall not extend beyond one calendar year.</w:t>
      </w:r>
    </w:p>
    <w:p w14:paraId="274BCC19" w14:textId="77777777" w:rsidR="0089236E" w:rsidRPr="00EF2864" w:rsidRDefault="0089236E" w:rsidP="00EF2864">
      <w:pPr>
        <w:pStyle w:val="PolicyBodyText"/>
        <w:shd w:val="clear" w:color="000000" w:fill="auto"/>
      </w:pPr>
    </w:p>
    <w:p w14:paraId="21E1A184" w14:textId="4D43548B" w:rsidR="0089236E" w:rsidRPr="00EF2864" w:rsidRDefault="0089236E" w:rsidP="00EF2864">
      <w:pPr>
        <w:pStyle w:val="PolicyBodyText"/>
        <w:shd w:val="clear" w:color="000000" w:fill="auto"/>
      </w:pPr>
      <w:r w:rsidRPr="00EF2864">
        <w:t xml:space="preserve">A student may </w:t>
      </w:r>
      <w:r w:rsidR="00125231" w:rsidRPr="00EF2864">
        <w:t xml:space="preserve">only </w:t>
      </w:r>
      <w:r w:rsidRPr="00EF2864">
        <w:t>be expelled for any of the following circumstances:</w:t>
      </w:r>
    </w:p>
    <w:p w14:paraId="67FE14E6" w14:textId="77777777" w:rsidR="0089236E" w:rsidRPr="00EF2864" w:rsidRDefault="0089236E" w:rsidP="00EF2864">
      <w:pPr>
        <w:pStyle w:val="PolicyBodyText"/>
        <w:shd w:val="clear" w:color="000000" w:fill="auto"/>
      </w:pPr>
    </w:p>
    <w:p w14:paraId="1974B47E" w14:textId="79D78FDC" w:rsidR="0089236E" w:rsidRPr="00EF2864" w:rsidRDefault="0089236E" w:rsidP="00EF2864">
      <w:pPr>
        <w:pStyle w:val="Level1"/>
        <w:shd w:val="clear" w:color="000000" w:fill="auto"/>
      </w:pPr>
      <w:r w:rsidRPr="00EF2864">
        <w:t>When a student</w:t>
      </w:r>
      <w:r w:rsidR="002477C0">
        <w:t>’</w:t>
      </w:r>
      <w:r w:rsidRPr="00EF2864">
        <w:t>s conduct poses a threat to the health or safety of students or employees;</w:t>
      </w:r>
    </w:p>
    <w:p w14:paraId="2D3CFFB2" w14:textId="4C41C990" w:rsidR="0089236E" w:rsidRPr="00EF2864" w:rsidRDefault="0089236E" w:rsidP="00EF2864">
      <w:pPr>
        <w:pStyle w:val="Level1"/>
        <w:shd w:val="clear" w:color="000000" w:fill="auto"/>
      </w:pPr>
      <w:r w:rsidRPr="00EF2864">
        <w:t>When other strategies to change the student</w:t>
      </w:r>
      <w:r w:rsidR="002477C0">
        <w:t>’</w:t>
      </w:r>
      <w:r w:rsidRPr="00EF2864">
        <w:t xml:space="preserve">s </w:t>
      </w:r>
      <w:r w:rsidR="00125231" w:rsidRPr="00EF2864">
        <w:t>conduct</w:t>
      </w:r>
      <w:r w:rsidRPr="00EF2864">
        <w:t xml:space="preserve"> have been ineffective, except that expulsion may not be used to address truancy; or</w:t>
      </w:r>
    </w:p>
    <w:p w14:paraId="182A12CD" w14:textId="77777777" w:rsidR="0089236E" w:rsidRPr="00EF2864" w:rsidRDefault="0089236E" w:rsidP="00EF2864">
      <w:pPr>
        <w:pStyle w:val="Level1"/>
        <w:shd w:val="clear" w:color="000000" w:fill="auto"/>
      </w:pPr>
      <w:r w:rsidRPr="00EF2864">
        <w:t>When required by law.</w:t>
      </w:r>
    </w:p>
    <w:p w14:paraId="781F770B" w14:textId="48C0743B" w:rsidR="0089236E" w:rsidRPr="00EF2864" w:rsidRDefault="0089236E" w:rsidP="00EF2864">
      <w:pPr>
        <w:pStyle w:val="PolicyBodyText"/>
        <w:shd w:val="clear" w:color="000000" w:fill="auto"/>
      </w:pPr>
      <w:r w:rsidRPr="00EF2864">
        <w:t>The age of the student and the past pattern of behavior will be considered prior to imposing the expulsion.</w:t>
      </w:r>
    </w:p>
    <w:p w14:paraId="6A26CF5D" w14:textId="77777777" w:rsidR="0089236E" w:rsidRPr="00EF2864" w:rsidRDefault="0089236E" w:rsidP="00EF2864">
      <w:pPr>
        <w:pStyle w:val="PolicyBodyText"/>
        <w:shd w:val="clear" w:color="000000" w:fill="auto"/>
      </w:pPr>
    </w:p>
    <w:p w14:paraId="6DEE120D" w14:textId="7BAF486E" w:rsidR="0089236E" w:rsidRPr="00EF2864" w:rsidRDefault="0089236E" w:rsidP="00EF2864">
      <w:pPr>
        <w:pStyle w:val="PolicyBodyText"/>
        <w:shd w:val="clear" w:color="000000" w:fill="auto"/>
      </w:pPr>
      <w:r w:rsidRPr="00EF2864">
        <w:t>No student may be expelled without a hearing unless the students</w:t>
      </w:r>
      <w:r w:rsidR="002477C0">
        <w:t>’</w:t>
      </w:r>
      <w:r w:rsidRPr="00EF2864">
        <w:t xml:space="preserve"> parents, or the student if 18 years of age, waives the right to a hearing, either in writing or by failure to appear at a scheduled hearing.</w:t>
      </w:r>
    </w:p>
    <w:p w14:paraId="613772CF" w14:textId="6D7C9308" w:rsidR="0089236E" w:rsidRPr="00EF2864" w:rsidRDefault="0089236E" w:rsidP="00EF2864">
      <w:pPr>
        <w:pStyle w:val="PolicyBodyText"/>
        <w:shd w:val="clear" w:color="000000" w:fill="auto"/>
      </w:pPr>
    </w:p>
    <w:p w14:paraId="7012C39E" w14:textId="29003794" w:rsidR="00125231" w:rsidRPr="00EF2864" w:rsidRDefault="00125231" w:rsidP="00EF2864">
      <w:pPr>
        <w:pStyle w:val="PolicyBodyText"/>
        <w:shd w:val="clear" w:color="000000" w:fill="auto"/>
        <w:spacing w:after="240"/>
      </w:pPr>
      <w:r w:rsidRPr="00EF2864">
        <w:t xml:space="preserve">The Board delegates the authority to decide on an expulsion to the </w:t>
      </w:r>
      <w:r w:rsidR="006F16A8">
        <w:t>administrator</w:t>
      </w:r>
      <w:r w:rsidRPr="00EF2864">
        <w:t>.</w:t>
      </w:r>
      <w:r w:rsidR="002477C0">
        <w:rPr>
          <w:rStyle w:val="FootnoteReference"/>
        </w:rPr>
        <w:t xml:space="preserve"> </w:t>
      </w:r>
      <w:r w:rsidRPr="00EF2864">
        <w:t xml:space="preserve">The </w:t>
      </w:r>
      <w:r w:rsidR="006F16A8">
        <w:t>administrator</w:t>
      </w:r>
      <w:r w:rsidR="00473194" w:rsidRPr="00EF2864">
        <w:t xml:space="preserve"> </w:t>
      </w:r>
      <w:r w:rsidRPr="00EF2864">
        <w:t xml:space="preserve">may designate another person to handle the potential expulsion, and the </w:t>
      </w:r>
      <w:r w:rsidR="00055325">
        <w:t>administrator</w:t>
      </w:r>
      <w:r w:rsidRPr="00EF2864">
        <w:t xml:space="preserve">, a designee or another individual may act as the hearings officer. The </w:t>
      </w:r>
      <w:r w:rsidR="00D94EE8" w:rsidRPr="00EF2864">
        <w:t>public charter school</w:t>
      </w:r>
      <w:r w:rsidRPr="00EF2864">
        <w:t xml:space="preserve"> may contract with an individual who is not employed by the </w:t>
      </w:r>
      <w:r w:rsidR="00D94EE8" w:rsidRPr="00EF2864">
        <w:t>school</w:t>
      </w:r>
      <w:r w:rsidRPr="00EF2864">
        <w:t xml:space="preserve"> to serve as the hearings officer. The hearings officer will not be associated with the initial actions of the</w:t>
      </w:r>
      <w:r w:rsidR="002E7CA7" w:rsidRPr="00EF2864">
        <w:t xml:space="preserve"> </w:t>
      </w:r>
      <w:r w:rsidR="00D94EE8" w:rsidRPr="00EF2864">
        <w:t>school</w:t>
      </w:r>
      <w:r w:rsidRPr="00EF2864">
        <w:t xml:space="preserve"> administrators. The hearings officer will conduct the hearing and make a final decision regarding the expulsion. A decision of the hearings officer may be appealed by the parent or the student if age 18 or over to the Board for review.</w:t>
      </w:r>
    </w:p>
    <w:p w14:paraId="1AE76B21" w14:textId="7A753F57" w:rsidR="00125231" w:rsidRPr="00EF2864" w:rsidRDefault="00125231" w:rsidP="00EF2864">
      <w:pPr>
        <w:pStyle w:val="PolicyBodyText"/>
        <w:shd w:val="clear" w:color="000000" w:fill="auto"/>
        <w:spacing w:after="240"/>
      </w:pPr>
      <w:r w:rsidRPr="00EF2864">
        <w:t>If the decision of the hearings officer is appealed to the Board for review, the findings as to the facts and the hearings officer</w:t>
      </w:r>
      <w:r w:rsidR="002477C0">
        <w:t>’</w:t>
      </w:r>
      <w:r w:rsidRPr="00EF2864">
        <w:t>s decision will be submitted to the Board, and will be available in identical form to the Board, the student and the student</w:t>
      </w:r>
      <w:r w:rsidR="002477C0">
        <w:t>’</w:t>
      </w:r>
      <w:r w:rsidRPr="00EF2864">
        <w:t>s parents at the same time. At a future meeting, the Board will review the hearings officer</w:t>
      </w:r>
      <w:r w:rsidR="002477C0">
        <w:t>’</w:t>
      </w:r>
      <w:r w:rsidRPr="00EF2864">
        <w:t>s decision and will affirm, modify or reverse the decision</w:t>
      </w:r>
      <w:r w:rsidR="006A5F72" w:rsidRPr="00EF2864">
        <w:t>.</w:t>
      </w:r>
    </w:p>
    <w:p w14:paraId="273C533B" w14:textId="11DBC9FD" w:rsidR="0089236E" w:rsidRPr="00EF2864" w:rsidRDefault="0089236E" w:rsidP="00EF2864">
      <w:pPr>
        <w:pStyle w:val="PolicyBodyText"/>
        <w:shd w:val="clear" w:color="000000" w:fill="auto"/>
      </w:pPr>
      <w:r w:rsidRPr="00EF2864">
        <w:t>When a</w:t>
      </w:r>
      <w:r w:rsidR="00837F98" w:rsidRPr="00EF2864">
        <w:t xml:space="preserve"> recommendation for a</w:t>
      </w:r>
      <w:r w:rsidRPr="00EF2864">
        <w:t xml:space="preserve">n expulsion </w:t>
      </w:r>
      <w:r w:rsidR="00837F98" w:rsidRPr="00EF2864">
        <w:t xml:space="preserve">is made and a </w:t>
      </w:r>
      <w:r w:rsidRPr="00EF2864">
        <w:t>hearing is not waived, the following procedure is required:</w:t>
      </w:r>
    </w:p>
    <w:p w14:paraId="5051C4B7" w14:textId="77777777" w:rsidR="0089236E" w:rsidRPr="00EF2864" w:rsidRDefault="0089236E" w:rsidP="00EF2864">
      <w:pPr>
        <w:pStyle w:val="PolicyBodyText"/>
        <w:shd w:val="clear" w:color="000000" w:fill="auto"/>
      </w:pPr>
    </w:p>
    <w:p w14:paraId="6BF488DA" w14:textId="1F8FB9E6" w:rsidR="0089236E" w:rsidRPr="00EF2864" w:rsidRDefault="0089236E" w:rsidP="00EF2864">
      <w:pPr>
        <w:pStyle w:val="Level1"/>
        <w:numPr>
          <w:ilvl w:val="0"/>
          <w:numId w:val="17"/>
        </w:numPr>
        <w:shd w:val="clear" w:color="000000" w:fill="auto"/>
      </w:pPr>
      <w:r w:rsidRPr="00EF2864">
        <w:t>Notice will be given to the student and the parent by personal service</w:t>
      </w:r>
      <w:r w:rsidRPr="00EF2864">
        <w:rPr>
          <w:rStyle w:val="FootnoteReference"/>
        </w:rPr>
        <w:footnoteReference w:id="1"/>
      </w:r>
      <w:r w:rsidRPr="00EF2864">
        <w:t xml:space="preserve"> or by certified mail</w:t>
      </w:r>
      <w:r w:rsidRPr="00EF2864">
        <w:rPr>
          <w:rStyle w:val="FootnoteReference"/>
        </w:rPr>
        <w:footnoteReference w:id="2"/>
      </w:r>
      <w:r w:rsidRPr="00EF2864">
        <w:t xml:space="preserve"> at least five days prior to the scheduled hearing. Notice shall include:</w:t>
      </w:r>
    </w:p>
    <w:p w14:paraId="1F331460" w14:textId="1A10FFFB" w:rsidR="0089236E" w:rsidRPr="00EF2864" w:rsidRDefault="0089236E" w:rsidP="00EF2864">
      <w:pPr>
        <w:pStyle w:val="Level2"/>
        <w:shd w:val="clear" w:color="000000" w:fill="auto"/>
      </w:pPr>
      <w:r w:rsidRPr="00EF2864">
        <w:t>The specific charge or charges</w:t>
      </w:r>
      <w:r w:rsidR="00837F98" w:rsidRPr="00EF2864">
        <w:t xml:space="preserve"> and the specific facts </w:t>
      </w:r>
      <w:r w:rsidR="00850F76">
        <w:t>which</w:t>
      </w:r>
      <w:r w:rsidR="00837F98" w:rsidRPr="00EF2864">
        <w:t xml:space="preserve"> support the charge or charges</w:t>
      </w:r>
      <w:r w:rsidRPr="00EF2864">
        <w:t>;</w:t>
      </w:r>
    </w:p>
    <w:p w14:paraId="1AEE768A" w14:textId="0626AE60" w:rsidR="0089236E" w:rsidRPr="00EF2864" w:rsidRDefault="0089236E" w:rsidP="00EF2864">
      <w:pPr>
        <w:pStyle w:val="Level2"/>
        <w:shd w:val="clear" w:color="000000" w:fill="auto"/>
      </w:pPr>
      <w:r w:rsidRPr="00EF2864">
        <w:lastRenderedPageBreak/>
        <w:t xml:space="preserve">A </w:t>
      </w:r>
      <w:r w:rsidR="00837F98" w:rsidRPr="00EF2864">
        <w:t xml:space="preserve">statement of intent to consider the charges as a reason </w:t>
      </w:r>
      <w:r w:rsidRPr="00EF2864">
        <w:t>for expulsion;</w:t>
      </w:r>
    </w:p>
    <w:p w14:paraId="49465F3A" w14:textId="38345020" w:rsidR="0089236E" w:rsidRPr="00EF2864" w:rsidRDefault="0089236E" w:rsidP="00EF2864">
      <w:pPr>
        <w:pStyle w:val="Level2"/>
        <w:shd w:val="clear" w:color="000000" w:fill="auto"/>
      </w:pPr>
      <w:r w:rsidRPr="00EF2864">
        <w:t>The student</w:t>
      </w:r>
      <w:r w:rsidR="002477C0">
        <w:t>’</w:t>
      </w:r>
      <w:r w:rsidRPr="00EF2864">
        <w:t>s right to a hearing;</w:t>
      </w:r>
    </w:p>
    <w:p w14:paraId="2BC01EC5" w14:textId="77777777" w:rsidR="0089236E" w:rsidRPr="00EF2864" w:rsidRDefault="0089236E" w:rsidP="00EF2864">
      <w:pPr>
        <w:pStyle w:val="Level2"/>
        <w:shd w:val="clear" w:color="000000" w:fill="auto"/>
      </w:pPr>
      <w:r w:rsidRPr="00EF2864">
        <w:t>When and where the hearing will take place; and</w:t>
      </w:r>
    </w:p>
    <w:p w14:paraId="04693839" w14:textId="14FC484F" w:rsidR="0089236E" w:rsidRPr="00EF2864" w:rsidRDefault="0089236E" w:rsidP="00EF2864">
      <w:pPr>
        <w:pStyle w:val="Level2"/>
        <w:shd w:val="clear" w:color="000000" w:fill="auto"/>
      </w:pPr>
      <w:r w:rsidRPr="00EF2864">
        <w:t xml:space="preserve">The </w:t>
      </w:r>
      <w:r w:rsidR="00837F98" w:rsidRPr="00EF2864">
        <w:t>student may be represented by counsel or other persons</w:t>
      </w:r>
      <w:r w:rsidRPr="00EF2864">
        <w:t>.</w:t>
      </w:r>
    </w:p>
    <w:p w14:paraId="7AB5B2F1" w14:textId="7D97DFCC" w:rsidR="0089236E" w:rsidRPr="00EF2864" w:rsidRDefault="00AE5CD0" w:rsidP="00EF2864">
      <w:pPr>
        <w:pStyle w:val="Level1"/>
        <w:shd w:val="clear" w:color="000000" w:fill="auto"/>
      </w:pPr>
      <w:r w:rsidRPr="00EF2864">
        <w:t>If</w:t>
      </w:r>
      <w:r w:rsidR="0089236E" w:rsidRPr="00EF2864">
        <w:t xml:space="preserve"> the parent or student </w:t>
      </w:r>
      <w:r w:rsidRPr="00EF2864">
        <w:t>does not unders</w:t>
      </w:r>
      <w:r w:rsidR="00AA009D" w:rsidRPr="00EF2864">
        <w:t>t</w:t>
      </w:r>
      <w:r w:rsidRPr="00EF2864">
        <w:t>and</w:t>
      </w:r>
      <w:r w:rsidR="0089236E" w:rsidRPr="00EF2864">
        <w:t xml:space="preserve"> the English language, the public charter school will provide a</w:t>
      </w:r>
      <w:r w:rsidRPr="00EF2864">
        <w:t>n interpreter during the hearing. All communications will be in a manner that is understandable to the parents</w:t>
      </w:r>
      <w:r w:rsidR="00AA009D" w:rsidRPr="00EF2864">
        <w:t xml:space="preserve"> </w:t>
      </w:r>
      <w:r w:rsidRPr="00EF2864">
        <w:t>and student</w:t>
      </w:r>
      <w:r w:rsidR="0089236E" w:rsidRPr="00EF2864">
        <w:t>;</w:t>
      </w:r>
    </w:p>
    <w:p w14:paraId="279EBFAA" w14:textId="7C0C2BB9" w:rsidR="0089236E" w:rsidRPr="00EF2864" w:rsidRDefault="0089236E" w:rsidP="00EF2864">
      <w:pPr>
        <w:pStyle w:val="Level1"/>
        <w:shd w:val="clear" w:color="000000" w:fill="auto"/>
      </w:pPr>
      <w:r w:rsidRPr="00EF2864">
        <w:t>The student shall be permitted to have a representation present at the hearing to advise and to present arguments. The representation may be an attorney</w:t>
      </w:r>
      <w:r w:rsidR="00AE5CD0" w:rsidRPr="00EF2864">
        <w:t>,</w:t>
      </w:r>
      <w:r w:rsidRPr="00EF2864">
        <w:t xml:space="preserve"> parent</w:t>
      </w:r>
      <w:r w:rsidR="00AE5CD0" w:rsidRPr="00EF2864">
        <w:t xml:space="preserve"> or other person</w:t>
      </w:r>
      <w:r w:rsidRPr="00EF2864">
        <w:t>. The public charter school</w:t>
      </w:r>
      <w:r w:rsidR="002477C0">
        <w:t>’</w:t>
      </w:r>
      <w:r w:rsidRPr="00EF2864">
        <w:t>s attorney may be present;</w:t>
      </w:r>
    </w:p>
    <w:p w14:paraId="102B96D5" w14:textId="7A9C5E90" w:rsidR="0089236E" w:rsidRPr="00EF2864" w:rsidRDefault="0089236E" w:rsidP="00EF2864">
      <w:pPr>
        <w:pStyle w:val="Level1"/>
        <w:shd w:val="clear" w:color="000000" w:fill="auto"/>
      </w:pPr>
      <w:r w:rsidRPr="00EF2864">
        <w:t xml:space="preserve">The student shall be afforded the right to present </w:t>
      </w:r>
      <w:r w:rsidR="00CC570C" w:rsidRPr="00EF2864">
        <w:t>their</w:t>
      </w:r>
      <w:r w:rsidRPr="00EF2864">
        <w:t xml:space="preserve"> version of the events underlying the expulsion recommendation and to introduce evidence by testimony, writings or other exhibits;</w:t>
      </w:r>
    </w:p>
    <w:p w14:paraId="73461416" w14:textId="77777777" w:rsidR="0089236E" w:rsidRPr="00EF2864" w:rsidRDefault="0089236E" w:rsidP="00EF2864">
      <w:pPr>
        <w:pStyle w:val="Level1"/>
        <w:shd w:val="clear" w:color="000000" w:fill="auto"/>
      </w:pPr>
      <w:r w:rsidRPr="00EF2864">
        <w:t>The student shall be permitted to be present and to hear the evidence presented by the public charter school;</w:t>
      </w:r>
    </w:p>
    <w:p w14:paraId="627D7E5C" w14:textId="77777777" w:rsidR="0089236E" w:rsidRPr="00EF2864" w:rsidRDefault="0089236E" w:rsidP="00EF2864">
      <w:pPr>
        <w:pStyle w:val="Level1"/>
        <w:shd w:val="clear" w:color="000000" w:fill="auto"/>
      </w:pPr>
      <w:r w:rsidRPr="00EF2864">
        <w:t>The hearings officer or the student may record the hearing;</w:t>
      </w:r>
    </w:p>
    <w:p w14:paraId="03657EB2" w14:textId="7931F6C1" w:rsidR="0089236E" w:rsidRPr="00EF2864" w:rsidRDefault="0089236E" w:rsidP="00EF2864">
      <w:pPr>
        <w:pStyle w:val="Level1"/>
        <w:shd w:val="clear" w:color="000000" w:fill="auto"/>
      </w:pPr>
      <w:r w:rsidRPr="00EF2864">
        <w:t>Strict rules of evidence shall not apply to the proceedings. However, this shall not limit the hearings officer</w:t>
      </w:r>
      <w:r w:rsidR="002477C0">
        <w:t>’</w:t>
      </w:r>
      <w:r w:rsidRPr="00EF2864">
        <w:t>s control of the hearing;</w:t>
      </w:r>
    </w:p>
    <w:p w14:paraId="7B3E6BF6" w14:textId="54F5678F" w:rsidR="0089236E" w:rsidRPr="00EF2864" w:rsidRDefault="0089236E" w:rsidP="00EF2864">
      <w:pPr>
        <w:pStyle w:val="Level1"/>
        <w:shd w:val="clear" w:color="000000" w:fill="auto"/>
      </w:pPr>
      <w:r w:rsidRPr="00EF2864">
        <w:t xml:space="preserve">A </w:t>
      </w:r>
      <w:r w:rsidR="00AE5CD0" w:rsidRPr="00EF2864">
        <w:t xml:space="preserve">Board-conducted hearing or a </w:t>
      </w:r>
      <w:r w:rsidRPr="00EF2864">
        <w:t>Board review of the hearings officer</w:t>
      </w:r>
      <w:r w:rsidR="002477C0">
        <w:t>’</w:t>
      </w:r>
      <w:r w:rsidRPr="00EF2864">
        <w:t>s decision will be conducted in executive session unless the student or the student</w:t>
      </w:r>
      <w:r w:rsidR="002477C0">
        <w:t>’</w:t>
      </w:r>
      <w:r w:rsidRPr="00EF2864">
        <w:t xml:space="preserve">s parent requests a public hearing. If an executive session is held by the Board or a private hearing held by the hearings officer, the following will </w:t>
      </w:r>
      <w:r w:rsidRPr="00EF2864">
        <w:rPr>
          <w:b/>
        </w:rPr>
        <w:t>not</w:t>
      </w:r>
      <w:r w:rsidRPr="00EF2864">
        <w:t xml:space="preserve"> be made public:</w:t>
      </w:r>
    </w:p>
    <w:p w14:paraId="24C0ACFD" w14:textId="77777777" w:rsidR="0089236E" w:rsidRPr="00EF2864" w:rsidRDefault="0089236E" w:rsidP="00EF2864">
      <w:pPr>
        <w:pStyle w:val="Level2"/>
        <w:shd w:val="clear" w:color="000000" w:fill="auto"/>
      </w:pPr>
      <w:r w:rsidRPr="00EF2864">
        <w:t>The name of the minor student;</w:t>
      </w:r>
    </w:p>
    <w:p w14:paraId="0EB919B0" w14:textId="4BF2523D" w:rsidR="0089236E" w:rsidRPr="00EF2864" w:rsidRDefault="0089236E" w:rsidP="00EF2864">
      <w:pPr>
        <w:pStyle w:val="Level2"/>
        <w:shd w:val="clear" w:color="000000" w:fill="auto"/>
      </w:pPr>
      <w:r w:rsidRPr="00EF2864">
        <w:t>The issues involved, including a student</w:t>
      </w:r>
      <w:r w:rsidR="002477C0">
        <w:t>’</w:t>
      </w:r>
      <w:r w:rsidRPr="00EF2864">
        <w:t>s confidential record;</w:t>
      </w:r>
    </w:p>
    <w:p w14:paraId="6E1B3C1E" w14:textId="77777777" w:rsidR="0089236E" w:rsidRPr="00EF2864" w:rsidRDefault="0089236E" w:rsidP="00EF2864">
      <w:pPr>
        <w:pStyle w:val="Level2"/>
        <w:shd w:val="clear" w:color="000000" w:fill="auto"/>
      </w:pPr>
      <w:r w:rsidRPr="00EF2864">
        <w:t>The discussion;</w:t>
      </w:r>
    </w:p>
    <w:p w14:paraId="25DE3A2B" w14:textId="77777777" w:rsidR="0089236E" w:rsidRPr="00EF2864" w:rsidRDefault="0089236E" w:rsidP="00EF2864">
      <w:pPr>
        <w:pStyle w:val="Level2"/>
        <w:shd w:val="clear" w:color="000000" w:fill="auto"/>
      </w:pPr>
      <w:r w:rsidRPr="00EF2864">
        <w:t>The vote of Board members, which may be taken in executive session when considering an expulsion.</w:t>
      </w:r>
    </w:p>
    <w:p w14:paraId="596A536B" w14:textId="7B95EF15" w:rsidR="0089236E" w:rsidRPr="00EF2864" w:rsidRDefault="0089236E" w:rsidP="00EF2864">
      <w:pPr>
        <w:pStyle w:val="PolicyBodyText"/>
        <w:shd w:val="clear" w:color="000000" w:fill="auto"/>
      </w:pPr>
      <w:r w:rsidRPr="00EF2864">
        <w:t xml:space="preserve">Prior to expulsion, the public charter school must notify the resident district of the student </w:t>
      </w:r>
      <w:r w:rsidR="00D7006F" w:rsidRPr="00EF2864">
        <w:t xml:space="preserve">about </w:t>
      </w:r>
      <w:r w:rsidRPr="00EF2864">
        <w:t>the impending expulsion.</w:t>
      </w:r>
    </w:p>
    <w:p w14:paraId="5F0F1ADE" w14:textId="77777777" w:rsidR="0089236E" w:rsidRPr="00EF2864" w:rsidRDefault="0089236E" w:rsidP="00EF2864">
      <w:pPr>
        <w:pStyle w:val="PolicyBodyText"/>
        <w:shd w:val="clear" w:color="000000" w:fill="auto"/>
      </w:pPr>
    </w:p>
    <w:p w14:paraId="61869F2C" w14:textId="77777777" w:rsidR="0089236E" w:rsidRPr="00EF2864" w:rsidRDefault="0089236E" w:rsidP="00EF2864">
      <w:pPr>
        <w:pStyle w:val="PolicyBodyText"/>
        <w:shd w:val="clear" w:color="000000" w:fill="auto"/>
      </w:pPr>
      <w:r w:rsidRPr="00EF2864">
        <w:t>END OF POLICY</w:t>
      </w:r>
    </w:p>
    <w:p w14:paraId="049543BD" w14:textId="77777777" w:rsidR="0089236E" w:rsidRPr="00EF2864" w:rsidRDefault="0089236E" w:rsidP="00EF2864">
      <w:pPr>
        <w:pStyle w:val="PolicyLine"/>
        <w:shd w:val="clear" w:color="000000" w:fill="auto"/>
      </w:pPr>
    </w:p>
    <w:p w14:paraId="6D545A96" w14:textId="77777777" w:rsidR="0089236E" w:rsidRPr="00251684" w:rsidRDefault="0089236E" w:rsidP="00EF2864">
      <w:pPr>
        <w:pStyle w:val="PolicyReferencesHeading"/>
      </w:pPr>
      <w:r w:rsidRPr="00251684">
        <w:t>Legal Reference(s):</w:t>
      </w:r>
    </w:p>
    <w:p w14:paraId="58241DC8" w14:textId="77777777" w:rsidR="0089236E" w:rsidRPr="00251684" w:rsidRDefault="0089236E" w:rsidP="00EF2864">
      <w:pPr>
        <w:pStyle w:val="PolicyReferences"/>
      </w:pPr>
    </w:p>
    <w:p w14:paraId="7C977412" w14:textId="77777777" w:rsidR="0089236E" w:rsidRPr="00251684" w:rsidRDefault="0089236E" w:rsidP="00EF2864">
      <w:pPr>
        <w:pStyle w:val="PolicyReferences"/>
        <w:sectPr w:rsidR="0089236E" w:rsidRPr="00251684" w:rsidSect="008923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94CBE63" w14:textId="429368CA" w:rsidR="0089236E" w:rsidRPr="00251684" w:rsidRDefault="00D568A1" w:rsidP="00EF2864">
      <w:pPr>
        <w:pStyle w:val="PolicyReferences"/>
      </w:pPr>
      <w:r w:rsidRPr="00251684">
        <w:rPr>
          <w:rStyle w:val="SYSHYPERTEXT"/>
        </w:rPr>
        <w:fldChar w:fldCharType="begin"/>
      </w:r>
      <w:r w:rsidRPr="00251684">
        <w:rPr>
          <w:rStyle w:val="SYSHYPERTEXT"/>
        </w:rPr>
        <w:instrText xml:space="preserve"> HYPERLINK "http://policy.osba.org/orsredir.asp?ors=ors-192" </w:instrText>
      </w:r>
      <w:r w:rsidRPr="00251684">
        <w:rPr>
          <w:rStyle w:val="SYSHYPERTEXT"/>
        </w:rPr>
      </w:r>
      <w:r w:rsidRPr="00251684">
        <w:rPr>
          <w:rStyle w:val="SYSHYPERTEXT"/>
        </w:rPr>
        <w:fldChar w:fldCharType="separate"/>
      </w:r>
      <w:r w:rsidRPr="00251684">
        <w:rPr>
          <w:rStyle w:val="Hyperlink"/>
        </w:rPr>
        <w:t>ORS 192</w:t>
      </w:r>
      <w:r w:rsidRPr="00251684">
        <w:rPr>
          <w:rStyle w:val="SYSHYPERTEXT"/>
        </w:rPr>
        <w:fldChar w:fldCharType="end"/>
      </w:r>
      <w:r w:rsidR="0089236E" w:rsidRPr="00251684">
        <w:t>.660</w:t>
      </w:r>
    </w:p>
    <w:p w14:paraId="7030D2E0" w14:textId="11AF1F5B" w:rsidR="0089236E" w:rsidRPr="00251684" w:rsidRDefault="00D568A1" w:rsidP="00EF2864">
      <w:pPr>
        <w:pStyle w:val="PolicyReferences"/>
      </w:pPr>
      <w:hyperlink r:id="rId14" w:history="1">
        <w:r w:rsidRPr="00251684">
          <w:rPr>
            <w:rStyle w:val="Hyperlink"/>
          </w:rPr>
          <w:t>ORS 332</w:t>
        </w:r>
      </w:hyperlink>
      <w:r w:rsidR="0089236E" w:rsidRPr="00251684">
        <w:t>.061</w:t>
      </w:r>
    </w:p>
    <w:p w14:paraId="1C16BF55" w14:textId="6EF5E835" w:rsidR="0089236E" w:rsidRPr="00251684" w:rsidRDefault="00D568A1" w:rsidP="00EF2864">
      <w:pPr>
        <w:pStyle w:val="PolicyReferences"/>
      </w:pPr>
      <w:hyperlink r:id="rId15" w:history="1">
        <w:r w:rsidRPr="00251684">
          <w:rPr>
            <w:rStyle w:val="Hyperlink"/>
          </w:rPr>
          <w:t>ORS 336</w:t>
        </w:r>
      </w:hyperlink>
      <w:r w:rsidR="0089236E" w:rsidRPr="00251684">
        <w:t>.615 -</w:t>
      </w:r>
      <w:r w:rsidR="0059538F" w:rsidRPr="00251684">
        <w:t xml:space="preserve"> </w:t>
      </w:r>
      <w:r w:rsidR="0089236E" w:rsidRPr="00251684">
        <w:t>336.665</w:t>
      </w:r>
    </w:p>
    <w:p w14:paraId="2FB6DF58" w14:textId="04121FA9" w:rsidR="0089236E" w:rsidRPr="00251684" w:rsidRDefault="00D568A1" w:rsidP="00EF2864">
      <w:pPr>
        <w:pStyle w:val="PolicyReferences"/>
      </w:pPr>
      <w:hyperlink r:id="rId16" w:history="1">
        <w:r w:rsidRPr="00251684">
          <w:rPr>
            <w:rStyle w:val="Hyperlink"/>
          </w:rPr>
          <w:t>ORS 338</w:t>
        </w:r>
      </w:hyperlink>
      <w:r w:rsidR="0089236E" w:rsidRPr="00251684">
        <w:t>.115</w:t>
      </w:r>
      <w:r w:rsidR="00AD38D4" w:rsidRPr="00251684">
        <w:t>(1)</w:t>
      </w:r>
      <w:r w:rsidR="0089236E" w:rsidRPr="00251684">
        <w:t>(j)</w:t>
      </w:r>
    </w:p>
    <w:p w14:paraId="15A3070B" w14:textId="056659AD" w:rsidR="0089236E" w:rsidRPr="00251684" w:rsidRDefault="00D568A1" w:rsidP="00EF2864">
      <w:pPr>
        <w:pStyle w:val="PolicyReferences"/>
      </w:pPr>
      <w:hyperlink r:id="rId17" w:history="1">
        <w:r w:rsidRPr="00251684">
          <w:rPr>
            <w:rStyle w:val="Hyperlink"/>
          </w:rPr>
          <w:t>ORS 339</w:t>
        </w:r>
      </w:hyperlink>
      <w:r w:rsidR="0089236E" w:rsidRPr="00251684">
        <w:t>.115</w:t>
      </w:r>
    </w:p>
    <w:p w14:paraId="2A51DCD5" w14:textId="74B980D4" w:rsidR="0089236E" w:rsidRPr="00251684" w:rsidRDefault="00D568A1" w:rsidP="00EF2864">
      <w:pPr>
        <w:pStyle w:val="PolicyReferences"/>
      </w:pPr>
      <w:hyperlink r:id="rId18" w:history="1">
        <w:r w:rsidRPr="00251684">
          <w:rPr>
            <w:rStyle w:val="Hyperlink"/>
          </w:rPr>
          <w:t>ORS 339</w:t>
        </w:r>
      </w:hyperlink>
      <w:r w:rsidR="0089236E" w:rsidRPr="00251684">
        <w:t>.240</w:t>
      </w:r>
    </w:p>
    <w:p w14:paraId="219194D3" w14:textId="5026D223" w:rsidR="0089236E" w:rsidRPr="00251684" w:rsidRDefault="00D568A1" w:rsidP="00EF2864">
      <w:pPr>
        <w:pStyle w:val="PolicyReferences"/>
      </w:pPr>
      <w:hyperlink r:id="rId19" w:history="1">
        <w:r w:rsidRPr="00251684">
          <w:rPr>
            <w:rStyle w:val="Hyperlink"/>
          </w:rPr>
          <w:t>ORS 339</w:t>
        </w:r>
      </w:hyperlink>
      <w:r w:rsidR="0089236E" w:rsidRPr="00251684">
        <w:t>.250</w:t>
      </w:r>
    </w:p>
    <w:p w14:paraId="69071407" w14:textId="77777777" w:rsidR="0089236E" w:rsidRPr="00251684" w:rsidRDefault="0089236E" w:rsidP="00EF2864">
      <w:pPr>
        <w:pStyle w:val="PolicyReferences"/>
      </w:pPr>
    </w:p>
    <w:p w14:paraId="40719C89" w14:textId="294A78B6" w:rsidR="0059538F" w:rsidRPr="00251684" w:rsidRDefault="00D568A1" w:rsidP="00EF2864">
      <w:pPr>
        <w:pStyle w:val="PolicyReferences"/>
      </w:pPr>
      <w:hyperlink r:id="rId20" w:history="1">
        <w:r w:rsidRPr="00251684">
          <w:rPr>
            <w:rStyle w:val="Hyperlink"/>
          </w:rPr>
          <w:t>OAR 581</w:t>
        </w:r>
      </w:hyperlink>
      <w:r w:rsidR="0059538F" w:rsidRPr="00251684">
        <w:t>-021-0050</w:t>
      </w:r>
    </w:p>
    <w:p w14:paraId="618F0AFC" w14:textId="6DE05E11" w:rsidR="0059538F" w:rsidRPr="00251684" w:rsidRDefault="00D568A1" w:rsidP="00EF2864">
      <w:pPr>
        <w:pStyle w:val="PolicyReferences"/>
      </w:pPr>
      <w:hyperlink r:id="rId21" w:history="1">
        <w:r w:rsidRPr="00251684">
          <w:rPr>
            <w:rStyle w:val="Hyperlink"/>
          </w:rPr>
          <w:t>OAR 581</w:t>
        </w:r>
      </w:hyperlink>
      <w:r w:rsidR="0059538F" w:rsidRPr="00251684">
        <w:t>-021-0070</w:t>
      </w:r>
    </w:p>
    <w:p w14:paraId="3D999E15" w14:textId="0290B693" w:rsidR="00423081" w:rsidRPr="00251684" w:rsidRDefault="00D568A1" w:rsidP="00EF2864">
      <w:pPr>
        <w:pStyle w:val="PolicyReferences"/>
      </w:pPr>
      <w:hyperlink r:id="rId22" w:history="1">
        <w:r w:rsidRPr="00251684">
          <w:rPr>
            <w:rStyle w:val="Hyperlink"/>
          </w:rPr>
          <w:t>OAR 581</w:t>
        </w:r>
      </w:hyperlink>
      <w:r w:rsidR="0059538F" w:rsidRPr="00251684">
        <w:t>-021-0071</w:t>
      </w:r>
    </w:p>
    <w:p w14:paraId="6C0D184E" w14:textId="16211662" w:rsidR="0089236E" w:rsidRPr="00251684" w:rsidRDefault="0089236E" w:rsidP="00EF2864">
      <w:pPr>
        <w:pStyle w:val="PolicyReferences"/>
        <w:sectPr w:rsidR="0089236E" w:rsidRPr="00251684" w:rsidSect="0089236E">
          <w:footerReference w:type="default" r:id="rId23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</w:p>
    <w:p w14:paraId="65D7A663" w14:textId="77777777" w:rsidR="0075791F" w:rsidRPr="00251684" w:rsidRDefault="0075791F" w:rsidP="00EF2864">
      <w:pPr>
        <w:pStyle w:val="PolicyReferences"/>
      </w:pPr>
    </w:p>
    <w:p w14:paraId="138C03E4" w14:textId="77777777" w:rsidR="00251684" w:rsidRPr="00251684" w:rsidRDefault="00251684" w:rsidP="00EF2864">
      <w:pPr>
        <w:pStyle w:val="PolicyReferences"/>
      </w:pPr>
    </w:p>
    <w:p w14:paraId="6837D4F7" w14:textId="11F7DE6C" w:rsidR="00251684" w:rsidRPr="00251684" w:rsidRDefault="00251684" w:rsidP="00251684">
      <w:pPr>
        <w:pStyle w:val="PolicyReferences"/>
        <w:rPr>
          <w:b/>
        </w:rPr>
      </w:pPr>
      <w:bookmarkStart w:id="2" w:name="XREFS"/>
      <w:bookmarkEnd w:id="2"/>
      <w:r w:rsidRPr="00251684">
        <w:rPr>
          <w:b/>
        </w:rPr>
        <w:t>Cross Reference(s):</w:t>
      </w:r>
    </w:p>
    <w:p w14:paraId="798A8D3C" w14:textId="77777777" w:rsidR="00251684" w:rsidRPr="00251684" w:rsidRDefault="00251684" w:rsidP="00251684">
      <w:pPr>
        <w:pStyle w:val="PolicyReferences"/>
      </w:pPr>
    </w:p>
    <w:p w14:paraId="219141E3" w14:textId="02340987" w:rsidR="00251684" w:rsidRPr="00251684" w:rsidRDefault="00251684" w:rsidP="00251684">
      <w:pPr>
        <w:pStyle w:val="PolicyReferences"/>
      </w:pPr>
      <w:r w:rsidRPr="00251684">
        <w:t>JG - Student Discipline</w:t>
      </w:r>
    </w:p>
    <w:sectPr w:rsidR="00251684" w:rsidRPr="00251684" w:rsidSect="0089236E">
      <w:footerReference w:type="default" r:id="rId24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0A0D" w14:textId="77777777" w:rsidR="0089236E" w:rsidRDefault="0089236E" w:rsidP="00FC3907">
      <w:r>
        <w:separator/>
      </w:r>
    </w:p>
  </w:endnote>
  <w:endnote w:type="continuationSeparator" w:id="0">
    <w:p w14:paraId="5664306B" w14:textId="77777777" w:rsidR="0089236E" w:rsidRDefault="0089236E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9C6A8" w14:textId="77777777" w:rsidR="004D5C09" w:rsidRDefault="004D5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236E" w:rsidRPr="00EF2864" w14:paraId="4D503BE7" w14:textId="77777777" w:rsidTr="004616AD">
      <w:tc>
        <w:tcPr>
          <w:tcW w:w="2340" w:type="dxa"/>
        </w:tcPr>
        <w:p w14:paraId="5A126460" w14:textId="26C47C7F" w:rsidR="0089236E" w:rsidRPr="00EF2864" w:rsidRDefault="0089236E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EA195F6" w14:textId="77777777" w:rsidR="0089236E" w:rsidRPr="00EF2864" w:rsidRDefault="0089236E" w:rsidP="004616AD">
          <w:pPr>
            <w:pStyle w:val="Footer"/>
            <w:jc w:val="right"/>
          </w:pPr>
          <w:r w:rsidRPr="00EF2864">
            <w:t>Expulsion** – JGE</w:t>
          </w:r>
        </w:p>
        <w:p w14:paraId="6802C519" w14:textId="77777777" w:rsidR="0089236E" w:rsidRPr="00EF2864" w:rsidRDefault="0089236E" w:rsidP="004616AD">
          <w:pPr>
            <w:pStyle w:val="Footer"/>
            <w:jc w:val="right"/>
            <w:rPr>
              <w:sz w:val="20"/>
            </w:rPr>
          </w:pP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PAGE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  <w:r w:rsidRPr="00EF2864">
            <w:rPr>
              <w:noProof/>
            </w:rPr>
            <w:t>-</w:t>
          </w: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NUMPAGES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</w:p>
      </w:tc>
    </w:tr>
  </w:tbl>
  <w:p w14:paraId="1A16F55F" w14:textId="77777777" w:rsidR="0089236E" w:rsidRPr="00EF2864" w:rsidRDefault="0089236E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B244" w14:textId="77777777" w:rsidR="004D5C09" w:rsidRDefault="004D5C0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236E" w:rsidRPr="00EF2864" w14:paraId="15C7055D" w14:textId="77777777" w:rsidTr="004616AD">
      <w:tc>
        <w:tcPr>
          <w:tcW w:w="2340" w:type="dxa"/>
        </w:tcPr>
        <w:p w14:paraId="2E8D9DE0" w14:textId="77777777" w:rsidR="0089236E" w:rsidRPr="00EF2864" w:rsidRDefault="0089236E" w:rsidP="004616AD">
          <w:pPr>
            <w:pStyle w:val="Footer"/>
            <w:rPr>
              <w:noProof/>
              <w:sz w:val="20"/>
            </w:rPr>
          </w:pPr>
          <w:r w:rsidRPr="00EF2864">
            <w:rPr>
              <w:noProof/>
              <w:sz w:val="20"/>
            </w:rPr>
            <w:t>R4/17/17│PH</w:t>
          </w:r>
        </w:p>
      </w:tc>
      <w:tc>
        <w:tcPr>
          <w:tcW w:w="7956" w:type="dxa"/>
        </w:tcPr>
        <w:p w14:paraId="09EE64EF" w14:textId="77777777" w:rsidR="0089236E" w:rsidRPr="00EF2864" w:rsidRDefault="0089236E" w:rsidP="004616AD">
          <w:pPr>
            <w:pStyle w:val="Footer"/>
            <w:jc w:val="right"/>
          </w:pPr>
          <w:r w:rsidRPr="00EF2864">
            <w:t>Expulsion** – JGE</w:t>
          </w:r>
        </w:p>
        <w:p w14:paraId="19A2CE0A" w14:textId="77777777" w:rsidR="0089236E" w:rsidRPr="00EF2864" w:rsidRDefault="0089236E" w:rsidP="004616AD">
          <w:pPr>
            <w:pStyle w:val="Footer"/>
            <w:jc w:val="right"/>
            <w:rPr>
              <w:sz w:val="20"/>
            </w:rPr>
          </w:pP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PAGE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  <w:r w:rsidRPr="00EF2864">
            <w:rPr>
              <w:noProof/>
            </w:rPr>
            <w:t>-</w:t>
          </w: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NUMPAGES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</w:p>
      </w:tc>
    </w:tr>
  </w:tbl>
  <w:p w14:paraId="0F258F50" w14:textId="77777777" w:rsidR="0089236E" w:rsidRPr="00EF2864" w:rsidRDefault="0089236E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236E" w:rsidRPr="00EF2864" w14:paraId="052B0422" w14:textId="77777777" w:rsidTr="004616AD">
      <w:tc>
        <w:tcPr>
          <w:tcW w:w="2340" w:type="dxa"/>
        </w:tcPr>
        <w:p w14:paraId="6F5A9F02" w14:textId="77777777" w:rsidR="0089236E" w:rsidRPr="00EF2864" w:rsidRDefault="0089236E" w:rsidP="004616AD">
          <w:pPr>
            <w:pStyle w:val="Footer"/>
            <w:rPr>
              <w:noProof/>
              <w:sz w:val="20"/>
            </w:rPr>
          </w:pPr>
          <w:r w:rsidRPr="00EF2864">
            <w:rPr>
              <w:noProof/>
              <w:sz w:val="20"/>
            </w:rPr>
            <w:t>R4/17/17│PH</w:t>
          </w:r>
        </w:p>
      </w:tc>
      <w:tc>
        <w:tcPr>
          <w:tcW w:w="7956" w:type="dxa"/>
        </w:tcPr>
        <w:p w14:paraId="0292F21D" w14:textId="77777777" w:rsidR="0089236E" w:rsidRPr="00EF2864" w:rsidRDefault="0089236E" w:rsidP="004616AD">
          <w:pPr>
            <w:pStyle w:val="Footer"/>
            <w:jc w:val="right"/>
          </w:pPr>
          <w:r w:rsidRPr="00EF2864">
            <w:t>Expulsion** – JGE</w:t>
          </w:r>
        </w:p>
        <w:p w14:paraId="5A5EE2AE" w14:textId="77777777" w:rsidR="0089236E" w:rsidRPr="00EF2864" w:rsidRDefault="0089236E" w:rsidP="004616AD">
          <w:pPr>
            <w:pStyle w:val="Footer"/>
            <w:jc w:val="right"/>
            <w:rPr>
              <w:sz w:val="20"/>
            </w:rPr>
          </w:pP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PAGE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  <w:r w:rsidRPr="00EF2864">
            <w:rPr>
              <w:noProof/>
            </w:rPr>
            <w:t>-</w:t>
          </w:r>
          <w:r w:rsidRPr="00EF2864">
            <w:rPr>
              <w:bCs/>
              <w:noProof/>
            </w:rPr>
            <w:fldChar w:fldCharType="begin"/>
          </w:r>
          <w:r w:rsidRPr="00EF2864">
            <w:rPr>
              <w:bCs/>
              <w:noProof/>
            </w:rPr>
            <w:instrText xml:space="preserve"> NUMPAGES  \* Arabic  \* MERGEFORMAT </w:instrText>
          </w:r>
          <w:r w:rsidRPr="00EF2864">
            <w:rPr>
              <w:bCs/>
              <w:noProof/>
            </w:rPr>
            <w:fldChar w:fldCharType="separate"/>
          </w:r>
          <w:r w:rsidRPr="00EF2864">
            <w:rPr>
              <w:bCs/>
              <w:noProof/>
            </w:rPr>
            <w:t>1</w:t>
          </w:r>
          <w:r w:rsidRPr="00EF2864">
            <w:rPr>
              <w:bCs/>
              <w:noProof/>
            </w:rPr>
            <w:fldChar w:fldCharType="end"/>
          </w:r>
        </w:p>
      </w:tc>
    </w:tr>
  </w:tbl>
  <w:p w14:paraId="5E4A4B71" w14:textId="77777777" w:rsidR="0089236E" w:rsidRPr="00EF2864" w:rsidRDefault="0089236E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80302" w14:textId="77777777" w:rsidR="0089236E" w:rsidRDefault="0089236E" w:rsidP="00FC3907">
      <w:r>
        <w:separator/>
      </w:r>
    </w:p>
  </w:footnote>
  <w:footnote w:type="continuationSeparator" w:id="0">
    <w:p w14:paraId="2B70FDE2" w14:textId="77777777" w:rsidR="0089236E" w:rsidRDefault="0089236E" w:rsidP="00FC3907">
      <w:r>
        <w:continuationSeparator/>
      </w:r>
    </w:p>
  </w:footnote>
  <w:footnote w:id="1">
    <w:p w14:paraId="3A6EAA2C" w14:textId="77777777" w:rsidR="0089236E" w:rsidRDefault="008923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2864">
        <w:t>The person serving the notice shall file a return of service. (OAR 581-021-0070)</w:t>
      </w:r>
    </w:p>
  </w:footnote>
  <w:footnote w:id="2">
    <w:p w14:paraId="42831CF8" w14:textId="515E6E38" w:rsidR="0089236E" w:rsidRDefault="008923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2864">
        <w:t xml:space="preserve">When </w:t>
      </w:r>
      <w:r w:rsidR="002477C0">
        <w:t>“</w:t>
      </w:r>
      <w:r w:rsidRPr="00EF2864">
        <w:t>certified mail is given to a parent of a suspended student, the notice shall be placed in the mail at least five days before the date of the hearing.</w:t>
      </w:r>
      <w:r w:rsidR="002477C0">
        <w:t>”</w:t>
      </w:r>
      <w:r w:rsidRPr="00EF2864">
        <w:t xml:space="preserve"> (OAR 581-021-0070)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4E42C" w14:textId="77777777" w:rsidR="004D5C09" w:rsidRPr="002477C0" w:rsidRDefault="004D5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1EED" w14:textId="77777777" w:rsidR="004D5C09" w:rsidRDefault="004D5C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91275" w14:textId="77777777" w:rsidR="004D5C09" w:rsidRDefault="004D5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487622061">
    <w:abstractNumId w:val="7"/>
  </w:num>
  <w:num w:numId="2" w16cid:durableId="1472089256">
    <w:abstractNumId w:val="4"/>
  </w:num>
  <w:num w:numId="3" w16cid:durableId="1171796225">
    <w:abstractNumId w:val="4"/>
  </w:num>
  <w:num w:numId="4" w16cid:durableId="1216887772">
    <w:abstractNumId w:val="3"/>
  </w:num>
  <w:num w:numId="5" w16cid:durableId="180168526">
    <w:abstractNumId w:val="3"/>
  </w:num>
  <w:num w:numId="6" w16cid:durableId="1326278382">
    <w:abstractNumId w:val="2"/>
  </w:num>
  <w:num w:numId="7" w16cid:durableId="2143502338">
    <w:abstractNumId w:val="2"/>
  </w:num>
  <w:num w:numId="8" w16cid:durableId="490294294">
    <w:abstractNumId w:val="1"/>
  </w:num>
  <w:num w:numId="9" w16cid:durableId="1754860200">
    <w:abstractNumId w:val="1"/>
  </w:num>
  <w:num w:numId="10" w16cid:durableId="1718431632">
    <w:abstractNumId w:val="0"/>
  </w:num>
  <w:num w:numId="11" w16cid:durableId="1798260026">
    <w:abstractNumId w:val="0"/>
  </w:num>
  <w:num w:numId="12" w16cid:durableId="1384788037">
    <w:abstractNumId w:val="6"/>
  </w:num>
  <w:num w:numId="13" w16cid:durableId="340401537">
    <w:abstractNumId w:val="9"/>
  </w:num>
  <w:num w:numId="14" w16cid:durableId="2123182275">
    <w:abstractNumId w:val="8"/>
  </w:num>
  <w:num w:numId="15" w16cid:durableId="812254174">
    <w:abstractNumId w:val="5"/>
  </w:num>
  <w:num w:numId="16" w16cid:durableId="19249541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86836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5325"/>
    <w:rsid w:val="000560B5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231"/>
    <w:rsid w:val="00125E1F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7AE7"/>
    <w:rsid w:val="001F34E8"/>
    <w:rsid w:val="001F4D2D"/>
    <w:rsid w:val="002100FF"/>
    <w:rsid w:val="0021369D"/>
    <w:rsid w:val="00217190"/>
    <w:rsid w:val="00224022"/>
    <w:rsid w:val="002345DA"/>
    <w:rsid w:val="002378A5"/>
    <w:rsid w:val="00246025"/>
    <w:rsid w:val="002477C0"/>
    <w:rsid w:val="00251684"/>
    <w:rsid w:val="0028031C"/>
    <w:rsid w:val="00280B93"/>
    <w:rsid w:val="002821D2"/>
    <w:rsid w:val="00284A5E"/>
    <w:rsid w:val="00286D2D"/>
    <w:rsid w:val="00290A78"/>
    <w:rsid w:val="0029518E"/>
    <w:rsid w:val="0029544A"/>
    <w:rsid w:val="002A7657"/>
    <w:rsid w:val="002C77C7"/>
    <w:rsid w:val="002E7CA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6641"/>
    <w:rsid w:val="003F7B66"/>
    <w:rsid w:val="00415660"/>
    <w:rsid w:val="00415A69"/>
    <w:rsid w:val="00423081"/>
    <w:rsid w:val="004347FA"/>
    <w:rsid w:val="00440997"/>
    <w:rsid w:val="00443C38"/>
    <w:rsid w:val="00453EF5"/>
    <w:rsid w:val="00455739"/>
    <w:rsid w:val="00456577"/>
    <w:rsid w:val="00472B26"/>
    <w:rsid w:val="00473194"/>
    <w:rsid w:val="00484B66"/>
    <w:rsid w:val="00490755"/>
    <w:rsid w:val="00490A75"/>
    <w:rsid w:val="004922AC"/>
    <w:rsid w:val="0049277F"/>
    <w:rsid w:val="00494174"/>
    <w:rsid w:val="004C1EE4"/>
    <w:rsid w:val="004C2F7D"/>
    <w:rsid w:val="004D5C09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538F"/>
    <w:rsid w:val="005A0A48"/>
    <w:rsid w:val="005A4EEB"/>
    <w:rsid w:val="005A6BFA"/>
    <w:rsid w:val="005B5E10"/>
    <w:rsid w:val="005B6C90"/>
    <w:rsid w:val="005B774B"/>
    <w:rsid w:val="005C03CE"/>
    <w:rsid w:val="005C1564"/>
    <w:rsid w:val="005E06B3"/>
    <w:rsid w:val="005E2543"/>
    <w:rsid w:val="005E3F0A"/>
    <w:rsid w:val="005F3316"/>
    <w:rsid w:val="0060463A"/>
    <w:rsid w:val="00607FF3"/>
    <w:rsid w:val="0061672C"/>
    <w:rsid w:val="00620542"/>
    <w:rsid w:val="00620A00"/>
    <w:rsid w:val="00621D2B"/>
    <w:rsid w:val="0062603D"/>
    <w:rsid w:val="00634B0E"/>
    <w:rsid w:val="00645006"/>
    <w:rsid w:val="006513F4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A5F72"/>
    <w:rsid w:val="006B088B"/>
    <w:rsid w:val="006E544D"/>
    <w:rsid w:val="006E5941"/>
    <w:rsid w:val="006E71CD"/>
    <w:rsid w:val="006F16A8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5791F"/>
    <w:rsid w:val="00763A99"/>
    <w:rsid w:val="00782930"/>
    <w:rsid w:val="00783105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0C52"/>
    <w:rsid w:val="007F4A3B"/>
    <w:rsid w:val="008073B2"/>
    <w:rsid w:val="00811094"/>
    <w:rsid w:val="008152CF"/>
    <w:rsid w:val="00824B84"/>
    <w:rsid w:val="00830ED8"/>
    <w:rsid w:val="00835AD6"/>
    <w:rsid w:val="00837F98"/>
    <w:rsid w:val="00844CD8"/>
    <w:rsid w:val="00850A44"/>
    <w:rsid w:val="00850F76"/>
    <w:rsid w:val="00870BED"/>
    <w:rsid w:val="00875E13"/>
    <w:rsid w:val="00882C0D"/>
    <w:rsid w:val="00890313"/>
    <w:rsid w:val="0089236E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236A"/>
    <w:rsid w:val="00907FA5"/>
    <w:rsid w:val="00912BAC"/>
    <w:rsid w:val="00923DFB"/>
    <w:rsid w:val="009317A1"/>
    <w:rsid w:val="00940E79"/>
    <w:rsid w:val="009510E8"/>
    <w:rsid w:val="009510FB"/>
    <w:rsid w:val="00960419"/>
    <w:rsid w:val="00963266"/>
    <w:rsid w:val="00972985"/>
    <w:rsid w:val="00976D56"/>
    <w:rsid w:val="00976F42"/>
    <w:rsid w:val="00977D62"/>
    <w:rsid w:val="009816CA"/>
    <w:rsid w:val="00982B4E"/>
    <w:rsid w:val="009854C4"/>
    <w:rsid w:val="009A36B8"/>
    <w:rsid w:val="009A42F6"/>
    <w:rsid w:val="009B1678"/>
    <w:rsid w:val="009C4D2A"/>
    <w:rsid w:val="009D427B"/>
    <w:rsid w:val="009D6C26"/>
    <w:rsid w:val="009E1766"/>
    <w:rsid w:val="009F2011"/>
    <w:rsid w:val="009F24C0"/>
    <w:rsid w:val="009F4F41"/>
    <w:rsid w:val="009F694C"/>
    <w:rsid w:val="009F7274"/>
    <w:rsid w:val="00A021F1"/>
    <w:rsid w:val="00A03E17"/>
    <w:rsid w:val="00A15392"/>
    <w:rsid w:val="00A20986"/>
    <w:rsid w:val="00A268EF"/>
    <w:rsid w:val="00A312B5"/>
    <w:rsid w:val="00A4023B"/>
    <w:rsid w:val="00A61DAA"/>
    <w:rsid w:val="00A71E39"/>
    <w:rsid w:val="00A7204A"/>
    <w:rsid w:val="00A967F8"/>
    <w:rsid w:val="00AA009D"/>
    <w:rsid w:val="00AC3EDD"/>
    <w:rsid w:val="00AC5141"/>
    <w:rsid w:val="00AC6972"/>
    <w:rsid w:val="00AD38D4"/>
    <w:rsid w:val="00AD71CA"/>
    <w:rsid w:val="00AE1154"/>
    <w:rsid w:val="00AE5CD0"/>
    <w:rsid w:val="00AF3E4D"/>
    <w:rsid w:val="00AF5617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0211"/>
    <w:rsid w:val="00B637AA"/>
    <w:rsid w:val="00B65588"/>
    <w:rsid w:val="00B659D3"/>
    <w:rsid w:val="00B70CD3"/>
    <w:rsid w:val="00B76A55"/>
    <w:rsid w:val="00B91CC2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570C"/>
    <w:rsid w:val="00CC7D46"/>
    <w:rsid w:val="00CE3549"/>
    <w:rsid w:val="00CE482D"/>
    <w:rsid w:val="00CF6EF5"/>
    <w:rsid w:val="00D01C38"/>
    <w:rsid w:val="00D07014"/>
    <w:rsid w:val="00D20377"/>
    <w:rsid w:val="00D32957"/>
    <w:rsid w:val="00D33F63"/>
    <w:rsid w:val="00D37878"/>
    <w:rsid w:val="00D4493C"/>
    <w:rsid w:val="00D55ABF"/>
    <w:rsid w:val="00D568A1"/>
    <w:rsid w:val="00D65180"/>
    <w:rsid w:val="00D7006F"/>
    <w:rsid w:val="00D7233F"/>
    <w:rsid w:val="00D7490B"/>
    <w:rsid w:val="00D82C4F"/>
    <w:rsid w:val="00D85D37"/>
    <w:rsid w:val="00D87B51"/>
    <w:rsid w:val="00D94EE8"/>
    <w:rsid w:val="00DE0C18"/>
    <w:rsid w:val="00DF0AE6"/>
    <w:rsid w:val="00DF464B"/>
    <w:rsid w:val="00E009DD"/>
    <w:rsid w:val="00E07338"/>
    <w:rsid w:val="00E34F37"/>
    <w:rsid w:val="00E52284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09B7"/>
    <w:rsid w:val="00EA3062"/>
    <w:rsid w:val="00EC2722"/>
    <w:rsid w:val="00EC519B"/>
    <w:rsid w:val="00EE49D0"/>
    <w:rsid w:val="00EF2864"/>
    <w:rsid w:val="00EF573E"/>
    <w:rsid w:val="00F166D4"/>
    <w:rsid w:val="00F16CA1"/>
    <w:rsid w:val="00F25161"/>
    <w:rsid w:val="00F2670E"/>
    <w:rsid w:val="00F45027"/>
    <w:rsid w:val="00F45D0D"/>
    <w:rsid w:val="00F611A8"/>
    <w:rsid w:val="00F63A53"/>
    <w:rsid w:val="00F704CA"/>
    <w:rsid w:val="00F71E06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03788E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9236E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D568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8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176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25231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339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58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33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8" TargetMode="External"/><Relationship Id="rId20" Type="http://schemas.openxmlformats.org/officeDocument/2006/relationships/hyperlink" Target="http://policy.osba.org/orsredir.asp?ors=oar-5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6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33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2" TargetMode="External"/><Relationship Id="rId22" Type="http://schemas.openxmlformats.org/officeDocument/2006/relationships/hyperlink" Target="http://policy.osba.org/orsredir.asp?ors=oar-5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E54CC-C992-43EC-9FEC-1263DAED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JGE - Expulsion**</vt:lpstr>
    </vt:vector>
  </TitlesOfParts>
  <Company>OSBA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JGE - Expulsion**</dc:title>
  <dc:subject>Lourdes Board Policy</dc:subject>
  <dc:creator>Oregon School Boards Association</dc:creator>
  <cp:keywords/>
  <dc:description/>
  <cp:lastModifiedBy>Colleen Allen</cp:lastModifiedBy>
  <cp:revision>55</cp:revision>
  <dcterms:created xsi:type="dcterms:W3CDTF">2018-03-09T23:23:00Z</dcterms:created>
  <dcterms:modified xsi:type="dcterms:W3CDTF">2025-05-22T15:54:00Z</dcterms:modified>
</cp:coreProperties>
</file>