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D56C3" w14:textId="77777777" w:rsidR="009966C2" w:rsidRPr="00976D56" w:rsidRDefault="009966C2" w:rsidP="001E1260">
      <w:pPr>
        <w:pStyle w:val="PolicyTitleBox"/>
      </w:pPr>
      <w:r>
        <w:t>Lourdes Public Charter School</w:t>
      </w:r>
    </w:p>
    <w:p w14:paraId="312E7FB7" w14:textId="77777777" w:rsidR="00CC7D46" w:rsidRDefault="00CC7D46" w:rsidP="00CC7D46"/>
    <w:p w14:paraId="5FE67036" w14:textId="77777777" w:rsidR="001E1260" w:rsidRDefault="001E1260" w:rsidP="001E1260">
      <w:pPr>
        <w:pStyle w:val="PolicyCode"/>
      </w:pPr>
      <w:r>
        <w:t>Code:</w:t>
      </w:r>
      <w:r>
        <w:tab/>
      </w:r>
      <w:r w:rsidR="005721D1">
        <w:t>JFCG/JFCH/JFCI</w:t>
      </w:r>
    </w:p>
    <w:p w14:paraId="266BB491" w14:textId="66CB59F5" w:rsidR="001E1260" w:rsidRDefault="001E1260" w:rsidP="001E1260">
      <w:pPr>
        <w:pStyle w:val="PolicyCode"/>
      </w:pPr>
      <w:r>
        <w:t>Adopted:</w:t>
      </w:r>
      <w:r>
        <w:tab/>
      </w:r>
      <w:r w:rsidR="00DB1D1B">
        <w:t>4/28/25</w:t>
      </w:r>
    </w:p>
    <w:p w14:paraId="0CFAD633" w14:textId="77777777" w:rsidR="001E1260" w:rsidRPr="001E1260" w:rsidRDefault="001E1260" w:rsidP="00CC7D46"/>
    <w:p w14:paraId="0DF82CDC" w14:textId="77777777" w:rsidR="005721D1" w:rsidRDefault="005721D1" w:rsidP="00EF573E">
      <w:pPr>
        <w:pStyle w:val="PolicyTitle"/>
      </w:pPr>
      <w:r>
        <w:t>Use of Tobacco Products, Alcohol, Drugs or Inhalant Delivery Systems**</w:t>
      </w:r>
    </w:p>
    <w:p w14:paraId="04DDAE98" w14:textId="77777777" w:rsidR="00EF573E" w:rsidRDefault="00EF573E" w:rsidP="00EF573E"/>
    <w:p w14:paraId="477FB950" w14:textId="143311E9" w:rsidR="005721D1" w:rsidRDefault="005721D1" w:rsidP="005721D1">
      <w:pPr>
        <w:pStyle w:val="PolicyBodyText"/>
      </w:pPr>
      <w:r>
        <w:t>Student possession, use, distribution or sale of tobacco products, inhalant delivery systems, alcohol or unlawful drugs, including drug paraphernalia or any substance purported to be an unlawful drug, on or near any public charter school grounds, including parking lots, or while participating in public charter school-sponsored activities is prohibited and will result in disciplinary action. If possession, use, distribution or sale occurred near public charter school grounds, disciplinary action may include removal from any or all extracurricular activities and/or denial or forfeiture of any school honors or privileges. If possession, use, distribution or sale occurred on public charter school grounds, at public charter school-sponsored activities or otherwise while the student was under the jurisdiction of the public charter school, students will be subject to discipline up to and including expulsion. Denial and/or removal from any or all extracurricular activities and/or forfeiture of any school honors or privileges may also be imposed. A student may be referred to law enforcement officials. Parents will be notified of all violations involving their student and subsequent action taken by the school.</w:t>
      </w:r>
    </w:p>
    <w:p w14:paraId="09F4FF78" w14:textId="7F661A93" w:rsidR="005721D1" w:rsidRDefault="005721D1" w:rsidP="005721D1">
      <w:pPr>
        <w:pStyle w:val="PolicyBodyText"/>
      </w:pPr>
    </w:p>
    <w:p w14:paraId="79A9DB9D" w14:textId="328D0344" w:rsidR="006F4B1A" w:rsidRDefault="006F4B1A" w:rsidP="006F4B1A">
      <w:pPr>
        <w:pStyle w:val="PolicyBodyText"/>
      </w:pPr>
      <w:bookmarkStart w:id="0" w:name="_Hlk517247706"/>
      <w:r>
        <w:t xml:space="preserve">For the purpose of this policy, </w:t>
      </w:r>
      <w:r w:rsidR="00BE42BF">
        <w:t>“</w:t>
      </w:r>
      <w:r>
        <w:t>tobacco products</w:t>
      </w:r>
      <w:r w:rsidR="00BE42BF">
        <w:t>”</w:t>
      </w:r>
      <w:r>
        <w:t xml:space="preserve"> is defined to include, but not limited to, any lighted or unlighted cigarette, cigar, pipe, bidi, clove cigarette, and any other smoking product, spit tobacco, also known as smokeless, dip, chew or snuff in any form.</w:t>
      </w:r>
      <w:r w:rsidR="00BE42BF">
        <w:t xml:space="preserve"> </w:t>
      </w:r>
      <w:r>
        <w:t>This does not include products that are USFDA-approved for sale as a tobacco cessation product or for any other therapeutic purpose, if marketed and sold solely for the approved purpose.</w:t>
      </w:r>
    </w:p>
    <w:p w14:paraId="045B1C9C" w14:textId="77777777" w:rsidR="006F4B1A" w:rsidRDefault="006F4B1A" w:rsidP="006F4B1A">
      <w:pPr>
        <w:pStyle w:val="PolicyBodyText"/>
      </w:pPr>
    </w:p>
    <w:p w14:paraId="0B1683CC" w14:textId="6604AD83" w:rsidR="006F4B1A" w:rsidRDefault="006F4B1A" w:rsidP="006F4B1A">
      <w:pPr>
        <w:pStyle w:val="PolicyBodyText"/>
      </w:pPr>
      <w:r>
        <w:t xml:space="preserve">For the purpose of this policy, </w:t>
      </w:r>
      <w:r w:rsidR="00BE42BF">
        <w:t>“</w:t>
      </w:r>
      <w:r>
        <w:t>inhalant delivery system</w:t>
      </w:r>
      <w:r w:rsidR="00BE42BF">
        <w:t>”</w:t>
      </w:r>
      <w:r>
        <w:t xml:space="preserve"> means a device that can be used to deliver nicotine or cannabinoids in the form of a vapor or aerosol to a person inhaling from the device; or a component of a device or a substance in any form sold for the purpose of being vaporized or aerosolized by a device, whether the component or substance is sold or not sold separately.</w:t>
      </w:r>
      <w:r w:rsidR="00BE42BF">
        <w:t xml:space="preserve"> </w:t>
      </w:r>
      <w:r>
        <w:t>This does not include products that are USFDA-approved for sale as a tobacco cessation product or for any other therapeutic purpose, if marketed and sold solely for the approved purpose.</w:t>
      </w:r>
    </w:p>
    <w:bookmarkEnd w:id="0"/>
    <w:p w14:paraId="262B83DD" w14:textId="77777777" w:rsidR="006F4B1A" w:rsidRDefault="006F4B1A" w:rsidP="006F4B1A">
      <w:pPr>
        <w:pStyle w:val="PolicyBodyText"/>
      </w:pPr>
    </w:p>
    <w:p w14:paraId="16F94410" w14:textId="77777777" w:rsidR="005721D1" w:rsidRDefault="005721D1" w:rsidP="005721D1">
      <w:pPr>
        <w:pStyle w:val="PolicyBodyText"/>
      </w:pPr>
      <w:r>
        <w:t>A referral to community resources and/or cessation programs designed to help the student overcome tobacco product, inhalant delivery system, alcohol or unlawful drug use may also be made. The cost of such programs are the individual responsibility of the parent and the private health-care system.</w:t>
      </w:r>
    </w:p>
    <w:p w14:paraId="73B4C664" w14:textId="77777777" w:rsidR="005721D1" w:rsidRDefault="005721D1" w:rsidP="005721D1">
      <w:pPr>
        <w:pStyle w:val="PolicyBodyText"/>
      </w:pPr>
    </w:p>
    <w:p w14:paraId="792BED73" w14:textId="77777777" w:rsidR="005721D1" w:rsidRDefault="005721D1" w:rsidP="005721D1">
      <w:pPr>
        <w:pStyle w:val="PolicyBodyText"/>
      </w:pPr>
      <w:r>
        <w:t>Clothing, bags, hats and other personal items used to display, promote or advertise tobacco products, inhalant delivery systems, alcohol or unlawful drugs are prohibited on all public charter school grounds, including parking lots, at public charter school-sponsored activities and in public charter school vehicles.</w:t>
      </w:r>
    </w:p>
    <w:p w14:paraId="25415030" w14:textId="77777777" w:rsidR="005721D1" w:rsidRDefault="005721D1" w:rsidP="005721D1">
      <w:pPr>
        <w:pStyle w:val="PolicyBodyText"/>
      </w:pPr>
    </w:p>
    <w:p w14:paraId="55ADFB35" w14:textId="7AA2AE5A" w:rsidR="005721D1" w:rsidRDefault="005721D1" w:rsidP="005721D1">
      <w:pPr>
        <w:pStyle w:val="PolicyBodyText"/>
      </w:pPr>
      <w:r>
        <w:t>Any person under age 21 possessing a tobacco product or inhalant delivery system on public charter school property, in a school facility or while attending a school-sponsored activity is in violation of state law and is subject to a court-imposed fine.</w:t>
      </w:r>
    </w:p>
    <w:p w14:paraId="0E8AFBD2" w14:textId="77777777" w:rsidR="005721D1" w:rsidRDefault="005721D1" w:rsidP="005721D1">
      <w:pPr>
        <w:pStyle w:val="PolicyBodyText"/>
      </w:pPr>
    </w:p>
    <w:p w14:paraId="04EB596C" w14:textId="77777777" w:rsidR="005721D1" w:rsidRDefault="005721D1" w:rsidP="005721D1">
      <w:pPr>
        <w:pStyle w:val="PolicyBodyText"/>
      </w:pPr>
      <w:r>
        <w:t xml:space="preserve">Any person who distributes, sells or allows to be sold, tobacco products or any substance sold for the purpose of being smoked, vaporized or aerosolized, in any form, a tobacco-burning or inhalant delivery </w:t>
      </w:r>
      <w:r>
        <w:lastRenderedPageBreak/>
        <w:t>system device, to a person under 21 years of age is in violation of state law and is subject to a court-imposed fine.</w:t>
      </w:r>
    </w:p>
    <w:p w14:paraId="53D22534" w14:textId="77777777" w:rsidR="005721D1" w:rsidRDefault="005721D1" w:rsidP="005721D1">
      <w:pPr>
        <w:pStyle w:val="PolicyBodyText"/>
      </w:pPr>
    </w:p>
    <w:p w14:paraId="3FEA12BC" w14:textId="5DA8EFD7" w:rsidR="005721D1" w:rsidRDefault="005721D1" w:rsidP="005721D1">
      <w:pPr>
        <w:pStyle w:val="PolicyBodyText"/>
      </w:pPr>
      <w:r>
        <w:t xml:space="preserve">An </w:t>
      </w:r>
      <w:r w:rsidR="00BE42BF">
        <w:t>“</w:t>
      </w:r>
      <w:r>
        <w:t>unlawful drug</w:t>
      </w:r>
      <w:r w:rsidR="00BE42BF">
        <w:t>”</w:t>
      </w:r>
      <w:r>
        <w:t xml:space="preserve"> is any drug as defined by the Controlled Substances Act including, but not limited to, marijuana, cocaine, opiates, amphetamines and phencyclidine (PCP). As used in this policy, an </w:t>
      </w:r>
      <w:r w:rsidR="00BE42BF">
        <w:t>“</w:t>
      </w:r>
      <w:r>
        <w:t>unlawful drug</w:t>
      </w:r>
      <w:r w:rsidR="00BE42BF">
        <w:t>”</w:t>
      </w:r>
      <w:r>
        <w:t xml:space="preserve"> also means possession, use, sale or supply of prescription and nonprescription drugs in violation of Board policy and any accompanying administrative regulation.</w:t>
      </w:r>
    </w:p>
    <w:p w14:paraId="11DD7DC8" w14:textId="77777777" w:rsidR="005721D1" w:rsidRDefault="005721D1" w:rsidP="005721D1">
      <w:pPr>
        <w:pStyle w:val="PolicyBodyText"/>
      </w:pPr>
    </w:p>
    <w:p w14:paraId="1FEE3825" w14:textId="77777777" w:rsidR="005721D1" w:rsidRDefault="005721D1" w:rsidP="005721D1">
      <w:pPr>
        <w:pStyle w:val="PolicyBodyText"/>
      </w:pPr>
      <w:r>
        <w:t>Unlawful delivery of a controlled substance to a student or minor within 1,000 feet of school property is a Class A felony, as provided by Oregon Revised Statute (ORS) 475.904.</w:t>
      </w:r>
    </w:p>
    <w:p w14:paraId="10ECA29C" w14:textId="77777777" w:rsidR="005721D1" w:rsidRDefault="005721D1" w:rsidP="005721D1">
      <w:pPr>
        <w:pStyle w:val="PolicyBodyText"/>
      </w:pPr>
    </w:p>
    <w:p w14:paraId="6126F2DE" w14:textId="77777777" w:rsidR="005721D1" w:rsidRDefault="005721D1" w:rsidP="005721D1">
      <w:pPr>
        <w:pStyle w:val="PolicyBodyText"/>
      </w:pPr>
      <w:r>
        <w:t>END OF POLICY</w:t>
      </w:r>
    </w:p>
    <w:p w14:paraId="2E401155" w14:textId="77777777" w:rsidR="005721D1" w:rsidRDefault="005721D1" w:rsidP="005721D1">
      <w:pPr>
        <w:pStyle w:val="PolicyLine"/>
      </w:pPr>
    </w:p>
    <w:p w14:paraId="6AE5A5D2" w14:textId="77777777" w:rsidR="005721D1" w:rsidRPr="002F4F3F" w:rsidRDefault="005721D1" w:rsidP="00036AF2">
      <w:pPr>
        <w:pStyle w:val="PolicyReferencesHeading"/>
      </w:pPr>
      <w:r w:rsidRPr="005721D1">
        <w:t>Legal Reference(s):</w:t>
      </w:r>
    </w:p>
    <w:p w14:paraId="07174F1F" w14:textId="77777777" w:rsidR="005721D1" w:rsidRDefault="005721D1" w:rsidP="005721D1">
      <w:pPr>
        <w:pStyle w:val="PolicyReferences"/>
      </w:pPr>
    </w:p>
    <w:p w14:paraId="2443060C" w14:textId="77777777" w:rsidR="005721D1" w:rsidRDefault="005721D1" w:rsidP="005721D1">
      <w:pPr>
        <w:pStyle w:val="PolicyReferences"/>
        <w:sectPr w:rsidR="005721D1" w:rsidSect="005721D1">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1" w:name="Laws"/>
    <w:bookmarkStart w:id="2" w:name="ORS"/>
    <w:bookmarkEnd w:id="1"/>
    <w:bookmarkEnd w:id="2"/>
    <w:p w14:paraId="3A4BAD29" w14:textId="46134DB1" w:rsidR="005721D1" w:rsidRDefault="00825FAD" w:rsidP="005721D1">
      <w:pPr>
        <w:pStyle w:val="PolicyReferences"/>
      </w:pPr>
      <w:r>
        <w:rPr>
          <w:rStyle w:val="SYSHYPERTEXT"/>
        </w:rPr>
        <w:fldChar w:fldCharType="begin"/>
      </w:r>
      <w:r>
        <w:rPr>
          <w:rStyle w:val="SYSHYPERTEXT"/>
        </w:rPr>
        <w:instrText xml:space="preserve"> HYPERLINK "http://policy.osba.org/orsredir.asp?ors=ors-153" </w:instrText>
      </w:r>
      <w:r>
        <w:rPr>
          <w:rStyle w:val="SYSHYPERTEXT"/>
        </w:rPr>
      </w:r>
      <w:r>
        <w:rPr>
          <w:rStyle w:val="SYSHYPERTEXT"/>
        </w:rPr>
        <w:fldChar w:fldCharType="separate"/>
      </w:r>
      <w:r>
        <w:rPr>
          <w:rStyle w:val="Hyperlink"/>
        </w:rPr>
        <w:t>ORS 153</w:t>
      </w:r>
      <w:r>
        <w:rPr>
          <w:rStyle w:val="SYSHYPERTEXT"/>
        </w:rPr>
        <w:fldChar w:fldCharType="end"/>
      </w:r>
      <w:r w:rsidR="005721D1">
        <w:t>.018</w:t>
      </w:r>
    </w:p>
    <w:p w14:paraId="043EDD95" w14:textId="357CF9DA" w:rsidR="005721D1" w:rsidRDefault="00825FAD" w:rsidP="005721D1">
      <w:pPr>
        <w:pStyle w:val="PolicyReferences"/>
      </w:pPr>
      <w:hyperlink r:id="rId14" w:history="1">
        <w:r>
          <w:rPr>
            <w:rStyle w:val="Hyperlink"/>
          </w:rPr>
          <w:t>ORS 161</w:t>
        </w:r>
      </w:hyperlink>
      <w:r w:rsidR="005721D1">
        <w:t>.605</w:t>
      </w:r>
    </w:p>
    <w:p w14:paraId="7AC74EE1" w14:textId="6A9A97EA" w:rsidR="005721D1" w:rsidRDefault="00825FAD" w:rsidP="005721D1">
      <w:pPr>
        <w:pStyle w:val="PolicyReferences"/>
      </w:pPr>
      <w:hyperlink r:id="rId15" w:history="1">
        <w:r>
          <w:rPr>
            <w:rStyle w:val="Hyperlink"/>
          </w:rPr>
          <w:t>ORS 161</w:t>
        </w:r>
      </w:hyperlink>
      <w:r w:rsidR="005721D1">
        <w:t>.625</w:t>
      </w:r>
    </w:p>
    <w:p w14:paraId="4B29FEF4" w14:textId="19BE346A" w:rsidR="005721D1" w:rsidRDefault="00825FAD" w:rsidP="005721D1">
      <w:pPr>
        <w:pStyle w:val="PolicyReferences"/>
      </w:pPr>
      <w:hyperlink r:id="rId16" w:history="1">
        <w:r>
          <w:rPr>
            <w:rStyle w:val="Hyperlink"/>
          </w:rPr>
          <w:t>ORS 163</w:t>
        </w:r>
      </w:hyperlink>
      <w:r w:rsidR="005721D1">
        <w:t>.575</w:t>
      </w:r>
    </w:p>
    <w:p w14:paraId="2526C22A" w14:textId="3E1F3DE6" w:rsidR="005721D1" w:rsidRDefault="00825FAD" w:rsidP="005721D1">
      <w:pPr>
        <w:pStyle w:val="PolicyReferences"/>
      </w:pPr>
      <w:hyperlink r:id="rId17" w:history="1">
        <w:r>
          <w:rPr>
            <w:rStyle w:val="Hyperlink"/>
          </w:rPr>
          <w:t>ORS 336</w:t>
        </w:r>
      </w:hyperlink>
      <w:r w:rsidR="005721D1">
        <w:t>.067</w:t>
      </w:r>
    </w:p>
    <w:p w14:paraId="5AF391D5" w14:textId="7671FE91" w:rsidR="005721D1" w:rsidRDefault="00825FAD" w:rsidP="005721D1">
      <w:pPr>
        <w:pStyle w:val="PolicyReferences"/>
      </w:pPr>
      <w:hyperlink r:id="rId18" w:history="1">
        <w:r>
          <w:rPr>
            <w:rStyle w:val="Hyperlink"/>
          </w:rPr>
          <w:t>ORS 336</w:t>
        </w:r>
      </w:hyperlink>
      <w:r w:rsidR="005721D1">
        <w:t>.222</w:t>
      </w:r>
    </w:p>
    <w:p w14:paraId="4D2E8AA5" w14:textId="1F970FA5" w:rsidR="005721D1" w:rsidRDefault="00825FAD" w:rsidP="005721D1">
      <w:pPr>
        <w:pStyle w:val="PolicyReferences"/>
      </w:pPr>
      <w:hyperlink r:id="rId19" w:history="1">
        <w:r>
          <w:rPr>
            <w:rStyle w:val="Hyperlink"/>
          </w:rPr>
          <w:t>ORS 336</w:t>
        </w:r>
      </w:hyperlink>
      <w:r w:rsidR="005721D1">
        <w:t>.227</w:t>
      </w:r>
    </w:p>
    <w:p w14:paraId="0D89B5DC" w14:textId="4EAD4455" w:rsidR="005721D1" w:rsidRDefault="00825FAD" w:rsidP="005721D1">
      <w:pPr>
        <w:pStyle w:val="PolicyReferences"/>
      </w:pPr>
      <w:hyperlink r:id="rId20" w:history="1">
        <w:r>
          <w:rPr>
            <w:rStyle w:val="Hyperlink"/>
          </w:rPr>
          <w:t>ORS 338</w:t>
        </w:r>
      </w:hyperlink>
      <w:r w:rsidR="005721D1">
        <w:t>.115(a)(w)</w:t>
      </w:r>
    </w:p>
    <w:p w14:paraId="77126B32" w14:textId="08939869" w:rsidR="005721D1" w:rsidRDefault="00825FAD" w:rsidP="005721D1">
      <w:pPr>
        <w:pStyle w:val="PolicyReferences"/>
      </w:pPr>
      <w:hyperlink r:id="rId21" w:history="1">
        <w:r>
          <w:rPr>
            <w:rStyle w:val="Hyperlink"/>
          </w:rPr>
          <w:t>ORS 339</w:t>
        </w:r>
      </w:hyperlink>
      <w:r w:rsidR="005721D1">
        <w:t>.240</w:t>
      </w:r>
    </w:p>
    <w:p w14:paraId="18A758CC" w14:textId="4A9D1801" w:rsidR="005721D1" w:rsidRDefault="00825FAD" w:rsidP="005721D1">
      <w:pPr>
        <w:pStyle w:val="PolicyReferences"/>
      </w:pPr>
      <w:hyperlink r:id="rId22" w:history="1">
        <w:r>
          <w:rPr>
            <w:rStyle w:val="Hyperlink"/>
          </w:rPr>
          <w:t>ORS 339</w:t>
        </w:r>
      </w:hyperlink>
      <w:r w:rsidR="005721D1">
        <w:t>.250</w:t>
      </w:r>
    </w:p>
    <w:p w14:paraId="670658DB" w14:textId="4B2C994D" w:rsidR="005721D1" w:rsidRDefault="00825FAD" w:rsidP="005721D1">
      <w:pPr>
        <w:pStyle w:val="PolicyReferences"/>
      </w:pPr>
      <w:hyperlink r:id="rId23" w:history="1">
        <w:r>
          <w:rPr>
            <w:rStyle w:val="Hyperlink"/>
          </w:rPr>
          <w:t>ORS 339</w:t>
        </w:r>
      </w:hyperlink>
      <w:r w:rsidR="005721D1">
        <w:t>.883</w:t>
      </w:r>
    </w:p>
    <w:bookmarkStart w:id="3" w:name="_Hlk29299560"/>
    <w:p w14:paraId="348DA96A" w14:textId="0A85FE55" w:rsidR="005721D1" w:rsidRDefault="00825FAD" w:rsidP="005721D1">
      <w:pPr>
        <w:pStyle w:val="PolicyReferences"/>
      </w:pPr>
      <w:r>
        <w:rPr>
          <w:rStyle w:val="SYSHYPERTEXT"/>
        </w:rPr>
        <w:fldChar w:fldCharType="begin"/>
      </w:r>
      <w:r>
        <w:rPr>
          <w:rStyle w:val="SYSHYPERTEXT"/>
        </w:rPr>
        <w:instrText xml:space="preserve"> HYPERLINK "http://policy.osba.org/orsredir.asp?ors=ors-431a" </w:instrText>
      </w:r>
      <w:r>
        <w:rPr>
          <w:rStyle w:val="SYSHYPERTEXT"/>
        </w:rPr>
      </w:r>
      <w:r>
        <w:rPr>
          <w:rStyle w:val="SYSHYPERTEXT"/>
        </w:rPr>
        <w:fldChar w:fldCharType="separate"/>
      </w:r>
      <w:r>
        <w:rPr>
          <w:rStyle w:val="Hyperlink"/>
        </w:rPr>
        <w:t>ORS 431A</w:t>
      </w:r>
      <w:r>
        <w:rPr>
          <w:rStyle w:val="SYSHYPERTEXT"/>
        </w:rPr>
        <w:fldChar w:fldCharType="end"/>
      </w:r>
      <w:r w:rsidR="005721D1">
        <w:t>.175</w:t>
      </w:r>
    </w:p>
    <w:bookmarkEnd w:id="3"/>
    <w:p w14:paraId="7B2B1388" w14:textId="74CFAE90" w:rsidR="00825FAD" w:rsidRDefault="00825FAD" w:rsidP="00825FAD">
      <w:pPr>
        <w:pStyle w:val="PolicyReferences"/>
      </w:pPr>
      <w:r>
        <w:rPr>
          <w:rStyle w:val="SYSHYPERTEXT"/>
        </w:rPr>
        <w:fldChar w:fldCharType="begin"/>
      </w:r>
      <w:r>
        <w:rPr>
          <w:rStyle w:val="SYSHYPERTEXT"/>
        </w:rPr>
        <w:instrText xml:space="preserve"> HYPERLINK "http://policy.osba.org/orsredir.asp?ors=ors-431a" </w:instrText>
      </w:r>
      <w:r>
        <w:rPr>
          <w:rStyle w:val="SYSHYPERTEXT"/>
        </w:rPr>
      </w:r>
      <w:r>
        <w:rPr>
          <w:rStyle w:val="SYSHYPERTEXT"/>
        </w:rPr>
        <w:fldChar w:fldCharType="separate"/>
      </w:r>
      <w:r>
        <w:rPr>
          <w:rStyle w:val="Hyperlink"/>
        </w:rPr>
        <w:t>ORS 431A</w:t>
      </w:r>
      <w:r>
        <w:rPr>
          <w:rStyle w:val="SYSHYPERTEXT"/>
        </w:rPr>
        <w:fldChar w:fldCharType="end"/>
      </w:r>
      <w:r>
        <w:t>.178</w:t>
      </w:r>
    </w:p>
    <w:p w14:paraId="39A90A59" w14:textId="0DEE13A4" w:rsidR="005721D1" w:rsidRDefault="00825FAD" w:rsidP="005721D1">
      <w:pPr>
        <w:pStyle w:val="PolicyReferences"/>
      </w:pPr>
      <w:hyperlink r:id="rId24" w:history="1">
        <w:r>
          <w:rPr>
            <w:rStyle w:val="Hyperlink"/>
          </w:rPr>
          <w:t>ORS 433</w:t>
        </w:r>
      </w:hyperlink>
      <w:r w:rsidR="005721D1">
        <w:t>.835 to -433.990</w:t>
      </w:r>
    </w:p>
    <w:p w14:paraId="24FEC3B6" w14:textId="4BDE0BD8" w:rsidR="005721D1" w:rsidRDefault="00825FAD" w:rsidP="005721D1">
      <w:pPr>
        <w:pStyle w:val="PolicyReferences"/>
      </w:pPr>
      <w:hyperlink r:id="rId25" w:history="1">
        <w:r>
          <w:rPr>
            <w:rStyle w:val="Hyperlink"/>
          </w:rPr>
          <w:t>ORS Chapter 475</w:t>
        </w:r>
      </w:hyperlink>
    </w:p>
    <w:p w14:paraId="5CA6EC9D" w14:textId="77777777" w:rsidR="005721D1" w:rsidRDefault="005721D1" w:rsidP="005721D1">
      <w:pPr>
        <w:pStyle w:val="PolicyReferences"/>
      </w:pPr>
    </w:p>
    <w:bookmarkStart w:id="4" w:name="OAR"/>
    <w:bookmarkEnd w:id="4"/>
    <w:p w14:paraId="0AD03887" w14:textId="2052F1A8" w:rsidR="005721D1" w:rsidRDefault="00825FAD" w:rsidP="005721D1">
      <w:pPr>
        <w:pStyle w:val="PolicyReferences"/>
      </w:pPr>
      <w:r>
        <w:rPr>
          <w:rStyle w:val="SYSHYPERTEXT"/>
        </w:rPr>
        <w:fldChar w:fldCharType="begin"/>
      </w:r>
      <w:r>
        <w:rPr>
          <w:rStyle w:val="SYSHYPERTEXT"/>
        </w:rPr>
        <w:instrText xml:space="preserve"> HYPERLINK "http://policy.osba.org/orsredir.asp?ors=oar-581-021" </w:instrText>
      </w:r>
      <w:r>
        <w:rPr>
          <w:rStyle w:val="SYSHYPERTEXT"/>
        </w:rPr>
      </w:r>
      <w:r>
        <w:rPr>
          <w:rStyle w:val="SYSHYPERTEXT"/>
        </w:rPr>
        <w:fldChar w:fldCharType="separate"/>
      </w:r>
      <w:r>
        <w:rPr>
          <w:rStyle w:val="Hyperlink"/>
        </w:rPr>
        <w:t>OAR 581-021</w:t>
      </w:r>
      <w:r>
        <w:rPr>
          <w:rStyle w:val="SYSHYPERTEXT"/>
        </w:rPr>
        <w:fldChar w:fldCharType="end"/>
      </w:r>
      <w:r w:rsidR="005721D1">
        <w:t>-0050 to -0075</w:t>
      </w:r>
    </w:p>
    <w:p w14:paraId="71153F53" w14:textId="1C64A8D9" w:rsidR="005721D1" w:rsidRDefault="00825FAD" w:rsidP="005721D1">
      <w:pPr>
        <w:pStyle w:val="PolicyReferences"/>
      </w:pPr>
      <w:hyperlink r:id="rId26" w:history="1">
        <w:r>
          <w:rPr>
            <w:rStyle w:val="Hyperlink"/>
          </w:rPr>
          <w:t>OAR 581-021</w:t>
        </w:r>
      </w:hyperlink>
      <w:r w:rsidR="005721D1">
        <w:t>-0110</w:t>
      </w:r>
    </w:p>
    <w:p w14:paraId="572B3A67" w14:textId="0BD7F993" w:rsidR="005721D1" w:rsidRDefault="00825FAD" w:rsidP="005721D1">
      <w:pPr>
        <w:pStyle w:val="PolicyReferences"/>
      </w:pPr>
      <w:hyperlink r:id="rId27" w:history="1">
        <w:r>
          <w:rPr>
            <w:rStyle w:val="Hyperlink"/>
          </w:rPr>
          <w:t>OAR 581-022</w:t>
        </w:r>
      </w:hyperlink>
      <w:r w:rsidR="005721D1">
        <w:t>-2045</w:t>
      </w:r>
    </w:p>
    <w:p w14:paraId="306C66F2" w14:textId="59454898" w:rsidR="005721D1" w:rsidRDefault="00825FAD" w:rsidP="005721D1">
      <w:pPr>
        <w:pStyle w:val="PolicyReferences"/>
      </w:pPr>
      <w:hyperlink r:id="rId28" w:history="1">
        <w:r>
          <w:rPr>
            <w:rStyle w:val="Hyperlink"/>
          </w:rPr>
          <w:t>OAR 581-053</w:t>
        </w:r>
      </w:hyperlink>
      <w:r w:rsidR="005721D1">
        <w:t>-0230(9)(s)</w:t>
      </w:r>
    </w:p>
    <w:p w14:paraId="49B63079" w14:textId="0B5B5C1A" w:rsidR="005721D1" w:rsidRPr="00C4627E" w:rsidRDefault="00825FAD" w:rsidP="005721D1">
      <w:pPr>
        <w:pStyle w:val="PolicyReferences"/>
        <w:rPr>
          <w:lang w:val="es-MX"/>
        </w:rPr>
      </w:pPr>
      <w:hyperlink r:id="rId29" w:history="1">
        <w:r w:rsidRPr="00C4627E">
          <w:rPr>
            <w:rStyle w:val="Hyperlink"/>
            <w:lang w:val="es-MX"/>
          </w:rPr>
          <w:t>OAR 581-053</w:t>
        </w:r>
      </w:hyperlink>
      <w:r w:rsidR="005721D1" w:rsidRPr="00C4627E">
        <w:rPr>
          <w:lang w:val="es-MX"/>
        </w:rPr>
        <w:t>-0330(1)(m)-(o)</w:t>
      </w:r>
    </w:p>
    <w:p w14:paraId="6D6E74A3" w14:textId="615C3D4B" w:rsidR="005721D1" w:rsidRPr="00C4627E" w:rsidRDefault="00825FAD" w:rsidP="005721D1">
      <w:pPr>
        <w:pStyle w:val="PolicyReferences"/>
        <w:rPr>
          <w:lang w:val="es-MX"/>
        </w:rPr>
      </w:pPr>
      <w:hyperlink r:id="rId30" w:history="1">
        <w:r w:rsidRPr="00C4627E">
          <w:rPr>
            <w:rStyle w:val="Hyperlink"/>
            <w:lang w:val="es-MX"/>
          </w:rPr>
          <w:t>OAR 581-053</w:t>
        </w:r>
      </w:hyperlink>
      <w:r w:rsidR="005721D1" w:rsidRPr="00C4627E">
        <w:rPr>
          <w:lang w:val="es-MX"/>
        </w:rPr>
        <w:t>-0430(12)-(14)</w:t>
      </w:r>
    </w:p>
    <w:p w14:paraId="417D7385" w14:textId="0294D842" w:rsidR="005721D1" w:rsidRPr="00C4627E" w:rsidRDefault="00825FAD" w:rsidP="005721D1">
      <w:pPr>
        <w:pStyle w:val="PolicyReferences"/>
        <w:rPr>
          <w:lang w:val="es-MX"/>
        </w:rPr>
      </w:pPr>
      <w:hyperlink r:id="rId31" w:history="1">
        <w:r w:rsidRPr="00C4627E">
          <w:rPr>
            <w:rStyle w:val="Hyperlink"/>
            <w:lang w:val="es-MX"/>
          </w:rPr>
          <w:t>OAR 581-053</w:t>
        </w:r>
      </w:hyperlink>
      <w:r w:rsidR="005721D1" w:rsidRPr="00C4627E">
        <w:rPr>
          <w:lang w:val="es-MX"/>
        </w:rPr>
        <w:t>-0531(11)-(13)</w:t>
      </w:r>
    </w:p>
    <w:p w14:paraId="04C59B26" w14:textId="487B66AE" w:rsidR="005721D1" w:rsidRDefault="00825FAD" w:rsidP="005721D1">
      <w:pPr>
        <w:pStyle w:val="PolicyReferences"/>
      </w:pPr>
      <w:hyperlink r:id="rId32" w:history="1">
        <w:r>
          <w:rPr>
            <w:rStyle w:val="Hyperlink"/>
          </w:rPr>
          <w:t>OAR 581-053</w:t>
        </w:r>
      </w:hyperlink>
      <w:r w:rsidR="005721D1">
        <w:t>-0630</w:t>
      </w:r>
    </w:p>
    <w:p w14:paraId="2BDDAE83" w14:textId="4EA8D99D" w:rsidR="005721D1" w:rsidRDefault="00825FAD" w:rsidP="005721D1">
      <w:pPr>
        <w:pStyle w:val="PolicyReferences"/>
      </w:pPr>
      <w:hyperlink r:id="rId33" w:history="1">
        <w:r>
          <w:rPr>
            <w:rStyle w:val="Hyperlink"/>
          </w:rPr>
          <w:t>OAR 584-020</w:t>
        </w:r>
      </w:hyperlink>
      <w:r w:rsidR="005721D1">
        <w:t>-0040</w:t>
      </w:r>
    </w:p>
    <w:p w14:paraId="727CA9C9" w14:textId="77777777" w:rsidR="005721D1" w:rsidRDefault="005721D1" w:rsidP="005721D1">
      <w:pPr>
        <w:pStyle w:val="PolicyReferences"/>
      </w:pPr>
    </w:p>
    <w:p w14:paraId="338A67D3" w14:textId="77777777" w:rsidR="005721D1" w:rsidRDefault="005721D1" w:rsidP="005721D1">
      <w:pPr>
        <w:pStyle w:val="PolicyReferences"/>
        <w:sectPr w:rsidR="005721D1" w:rsidSect="005721D1">
          <w:footerReference w:type="default" r:id="rId34"/>
          <w:type w:val="continuous"/>
          <w:pgSz w:w="12240" w:h="15840"/>
          <w:pgMar w:top="936" w:right="720" w:bottom="720" w:left="1224" w:header="432" w:footer="720" w:gutter="0"/>
          <w:cols w:num="3" w:space="720" w:equalWidth="0">
            <w:col w:w="2952" w:space="720"/>
            <w:col w:w="2952" w:space="720"/>
            <w:col w:w="2952"/>
          </w:cols>
          <w:noEndnote/>
          <w:docGrid w:linePitch="326"/>
        </w:sectPr>
      </w:pPr>
      <w:r>
        <w:t>SB 754 (2017)</w:t>
      </w:r>
    </w:p>
    <w:p w14:paraId="5FBDE164" w14:textId="77777777" w:rsidR="005721D1" w:rsidRDefault="005721D1" w:rsidP="005721D1">
      <w:pPr>
        <w:pStyle w:val="PolicyReferences"/>
      </w:pPr>
    </w:p>
    <w:p w14:paraId="127CAE12" w14:textId="1B3A208C" w:rsidR="005721D1" w:rsidRDefault="005721D1" w:rsidP="005721D1">
      <w:pPr>
        <w:pStyle w:val="PolicyReferences"/>
        <w:rPr>
          <w:u w:val="single"/>
        </w:rPr>
      </w:pPr>
      <w:r>
        <w:t>Controlled Substances Act, 21 U.S.C. § 812 (</w:t>
      </w:r>
      <w:r w:rsidR="00470658">
        <w:t>2012</w:t>
      </w:r>
      <w:r>
        <w:t>); Schedules of Controlled Substances, 21 C.F.R. §§ 1308.11-1308.15 (2017).</w:t>
      </w:r>
    </w:p>
    <w:p w14:paraId="542E9BDD" w14:textId="215BA02F" w:rsidR="005721D1" w:rsidRDefault="005721D1" w:rsidP="005721D1">
      <w:pPr>
        <w:pStyle w:val="PolicyReferences"/>
      </w:pPr>
      <w:r>
        <w:t>Pro-Children Act of 1994, 20 U.S.C. §§ 6081-6084 (</w:t>
      </w:r>
      <w:r w:rsidR="00470658">
        <w:t>2012</w:t>
      </w:r>
      <w:r>
        <w:t>).</w:t>
      </w:r>
    </w:p>
    <w:p w14:paraId="4A80010E" w14:textId="77777777" w:rsidR="008A522E" w:rsidRDefault="005721D1" w:rsidP="005721D1">
      <w:pPr>
        <w:pStyle w:val="PolicyReferences"/>
      </w:pPr>
      <w:r>
        <w:t>Safe and Drug-Free Schools and Communities Act, 20 U.S.C. §§ 7101-7117 (</w:t>
      </w:r>
      <w:r w:rsidR="00470658">
        <w:t>2012</w:t>
      </w:r>
      <w:r>
        <w:t>).</w:t>
      </w:r>
    </w:p>
    <w:sectPr w:rsidR="008A522E" w:rsidSect="005721D1">
      <w:footerReference w:type="default" r:id="rId35"/>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AD842" w14:textId="77777777" w:rsidR="005721D1" w:rsidRDefault="005721D1" w:rsidP="00FC3907">
      <w:r>
        <w:separator/>
      </w:r>
    </w:p>
  </w:endnote>
  <w:endnote w:type="continuationSeparator" w:id="0">
    <w:p w14:paraId="2576F9DE" w14:textId="77777777" w:rsidR="005721D1" w:rsidRDefault="005721D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5EAB0" w14:textId="77777777" w:rsidR="00DB1D1B" w:rsidRDefault="00DB1D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721D1" w14:paraId="0E63F9DE" w14:textId="77777777" w:rsidTr="004616AD">
      <w:tc>
        <w:tcPr>
          <w:tcW w:w="2340" w:type="dxa"/>
        </w:tcPr>
        <w:p w14:paraId="5075FF2F" w14:textId="33823FE0" w:rsidR="005721D1" w:rsidRDefault="005721D1" w:rsidP="004616AD">
          <w:pPr>
            <w:pStyle w:val="Footer"/>
            <w:rPr>
              <w:noProof/>
              <w:sz w:val="20"/>
            </w:rPr>
          </w:pPr>
        </w:p>
      </w:tc>
      <w:tc>
        <w:tcPr>
          <w:tcW w:w="7956" w:type="dxa"/>
        </w:tcPr>
        <w:p w14:paraId="59CB9C11" w14:textId="77777777" w:rsidR="00601105" w:rsidRDefault="005721D1" w:rsidP="004616AD">
          <w:pPr>
            <w:pStyle w:val="Footer"/>
            <w:jc w:val="right"/>
          </w:pPr>
          <w:r>
            <w:t>Use of Tobacco Products, Alcohol, Drugs or Inhalant</w:t>
          </w:r>
        </w:p>
        <w:p w14:paraId="732F2AE3" w14:textId="77777777" w:rsidR="005721D1" w:rsidRDefault="005721D1" w:rsidP="004616AD">
          <w:pPr>
            <w:pStyle w:val="Footer"/>
            <w:jc w:val="right"/>
          </w:pPr>
          <w:r>
            <w:t>Delivery Systems**  – JFCG/JFCH/JFCI</w:t>
          </w:r>
        </w:p>
        <w:p w14:paraId="738D4A30" w14:textId="77777777" w:rsidR="005721D1" w:rsidRDefault="005721D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C7578D1" w14:textId="77777777" w:rsidR="005721D1" w:rsidRPr="00782930" w:rsidRDefault="005721D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B6B5B" w14:textId="77777777" w:rsidR="00DB1D1B" w:rsidRDefault="00DB1D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721D1" w14:paraId="1E903778" w14:textId="77777777" w:rsidTr="004616AD">
      <w:tc>
        <w:tcPr>
          <w:tcW w:w="2340" w:type="dxa"/>
        </w:tcPr>
        <w:p w14:paraId="1E39C878" w14:textId="77777777" w:rsidR="005721D1" w:rsidRDefault="005721D1" w:rsidP="004616AD">
          <w:pPr>
            <w:pStyle w:val="Footer"/>
            <w:rPr>
              <w:noProof/>
              <w:sz w:val="20"/>
            </w:rPr>
          </w:pPr>
          <w:r>
            <w:rPr>
              <w:noProof/>
              <w:sz w:val="20"/>
            </w:rPr>
            <w:t>R9/28/17│PH</w:t>
          </w:r>
        </w:p>
      </w:tc>
      <w:tc>
        <w:tcPr>
          <w:tcW w:w="7956" w:type="dxa"/>
        </w:tcPr>
        <w:p w14:paraId="29CC6109" w14:textId="77777777" w:rsidR="005721D1" w:rsidRDefault="005721D1" w:rsidP="004616AD">
          <w:pPr>
            <w:pStyle w:val="Footer"/>
            <w:jc w:val="right"/>
          </w:pPr>
          <w:r>
            <w:t>Use of Tobacco Products, Alcohol, Drugs or Inhalant Delivery Systems**  – JFCG/JFCH/JFCI</w:t>
          </w:r>
        </w:p>
        <w:p w14:paraId="20B36E03" w14:textId="77777777" w:rsidR="005721D1" w:rsidRDefault="005721D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DACA9EC" w14:textId="77777777" w:rsidR="005721D1" w:rsidRPr="00782930" w:rsidRDefault="005721D1"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721D1" w14:paraId="3C8FD999" w14:textId="77777777" w:rsidTr="004616AD">
      <w:tc>
        <w:tcPr>
          <w:tcW w:w="2340" w:type="dxa"/>
        </w:tcPr>
        <w:p w14:paraId="7CD68B39" w14:textId="77777777" w:rsidR="005721D1" w:rsidRDefault="005721D1" w:rsidP="004616AD">
          <w:pPr>
            <w:pStyle w:val="Footer"/>
            <w:rPr>
              <w:noProof/>
              <w:sz w:val="20"/>
            </w:rPr>
          </w:pPr>
          <w:r>
            <w:rPr>
              <w:noProof/>
              <w:sz w:val="20"/>
            </w:rPr>
            <w:t>R9/28/17│PH</w:t>
          </w:r>
        </w:p>
      </w:tc>
      <w:tc>
        <w:tcPr>
          <w:tcW w:w="7956" w:type="dxa"/>
        </w:tcPr>
        <w:p w14:paraId="4DA7FD8C" w14:textId="77777777" w:rsidR="005721D1" w:rsidRDefault="005721D1" w:rsidP="004616AD">
          <w:pPr>
            <w:pStyle w:val="Footer"/>
            <w:jc w:val="right"/>
          </w:pPr>
          <w:r>
            <w:t>Use of Tobacco Products, Alcohol, Drugs or Inhalant Delivery Systems**  – JFCG/JFCH/JFCI</w:t>
          </w:r>
        </w:p>
        <w:p w14:paraId="40B6B6CE" w14:textId="77777777" w:rsidR="005721D1" w:rsidRDefault="005721D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59B9779" w14:textId="77777777" w:rsidR="005721D1" w:rsidRPr="00782930" w:rsidRDefault="005721D1"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B2C3B" w14:textId="77777777" w:rsidR="005721D1" w:rsidRDefault="005721D1" w:rsidP="00FC3907">
      <w:r>
        <w:separator/>
      </w:r>
    </w:p>
  </w:footnote>
  <w:footnote w:type="continuationSeparator" w:id="0">
    <w:p w14:paraId="70659B5F" w14:textId="77777777" w:rsidR="005721D1" w:rsidRDefault="005721D1"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EF33F" w14:textId="77777777" w:rsidR="00DB1D1B" w:rsidRPr="00BE42BF" w:rsidRDefault="00DB1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72E8A" w14:textId="77777777" w:rsidR="00DB1D1B" w:rsidRDefault="00DB1D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C87FD" w14:textId="77777777" w:rsidR="00DB1D1B" w:rsidRDefault="00DB1D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2437419">
    <w:abstractNumId w:val="7"/>
  </w:num>
  <w:num w:numId="2" w16cid:durableId="502477931">
    <w:abstractNumId w:val="4"/>
  </w:num>
  <w:num w:numId="3" w16cid:durableId="359210307">
    <w:abstractNumId w:val="4"/>
  </w:num>
  <w:num w:numId="4" w16cid:durableId="2082438143">
    <w:abstractNumId w:val="3"/>
  </w:num>
  <w:num w:numId="5" w16cid:durableId="1151403589">
    <w:abstractNumId w:val="3"/>
  </w:num>
  <w:num w:numId="6" w16cid:durableId="938442044">
    <w:abstractNumId w:val="2"/>
  </w:num>
  <w:num w:numId="7" w16cid:durableId="1497837807">
    <w:abstractNumId w:val="2"/>
  </w:num>
  <w:num w:numId="8" w16cid:durableId="211698587">
    <w:abstractNumId w:val="1"/>
  </w:num>
  <w:num w:numId="9" w16cid:durableId="134570462">
    <w:abstractNumId w:val="1"/>
  </w:num>
  <w:num w:numId="10" w16cid:durableId="382870113">
    <w:abstractNumId w:val="0"/>
  </w:num>
  <w:num w:numId="11" w16cid:durableId="611982945">
    <w:abstractNumId w:val="0"/>
  </w:num>
  <w:num w:numId="12" w16cid:durableId="1734161711">
    <w:abstractNumId w:val="6"/>
  </w:num>
  <w:num w:numId="13" w16cid:durableId="2135517485">
    <w:abstractNumId w:val="9"/>
  </w:num>
  <w:num w:numId="14" w16cid:durableId="315955742">
    <w:abstractNumId w:val="8"/>
  </w:num>
  <w:num w:numId="15" w16cid:durableId="9389524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6AF2"/>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61068"/>
    <w:rsid w:val="0018025F"/>
    <w:rsid w:val="001C1D43"/>
    <w:rsid w:val="001C3978"/>
    <w:rsid w:val="001C5C15"/>
    <w:rsid w:val="001E1260"/>
    <w:rsid w:val="001E7AE7"/>
    <w:rsid w:val="001F4D2D"/>
    <w:rsid w:val="0021369D"/>
    <w:rsid w:val="00217190"/>
    <w:rsid w:val="00224022"/>
    <w:rsid w:val="002345DA"/>
    <w:rsid w:val="00246025"/>
    <w:rsid w:val="002528C2"/>
    <w:rsid w:val="0028031C"/>
    <w:rsid w:val="00280B93"/>
    <w:rsid w:val="002821D2"/>
    <w:rsid w:val="00284A5E"/>
    <w:rsid w:val="00286D2D"/>
    <w:rsid w:val="00290A78"/>
    <w:rsid w:val="002A7657"/>
    <w:rsid w:val="002C77C7"/>
    <w:rsid w:val="002F4D33"/>
    <w:rsid w:val="002F563D"/>
    <w:rsid w:val="002F7C67"/>
    <w:rsid w:val="00305489"/>
    <w:rsid w:val="00306B03"/>
    <w:rsid w:val="00311B2D"/>
    <w:rsid w:val="003233D7"/>
    <w:rsid w:val="003234E0"/>
    <w:rsid w:val="00337AEE"/>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0658"/>
    <w:rsid w:val="00472B26"/>
    <w:rsid w:val="00484B66"/>
    <w:rsid w:val="00490A75"/>
    <w:rsid w:val="0049277F"/>
    <w:rsid w:val="00494174"/>
    <w:rsid w:val="004C1EE4"/>
    <w:rsid w:val="004C2F7D"/>
    <w:rsid w:val="004D316D"/>
    <w:rsid w:val="004E3582"/>
    <w:rsid w:val="004F53EB"/>
    <w:rsid w:val="005130E3"/>
    <w:rsid w:val="0051750D"/>
    <w:rsid w:val="00524F11"/>
    <w:rsid w:val="005342BD"/>
    <w:rsid w:val="00536354"/>
    <w:rsid w:val="00543474"/>
    <w:rsid w:val="00557E6B"/>
    <w:rsid w:val="005721D1"/>
    <w:rsid w:val="00573A5C"/>
    <w:rsid w:val="005A0A48"/>
    <w:rsid w:val="005A4EEB"/>
    <w:rsid w:val="005A6BFA"/>
    <w:rsid w:val="005B5E10"/>
    <w:rsid w:val="005C1564"/>
    <w:rsid w:val="005E06B3"/>
    <w:rsid w:val="005E3F0A"/>
    <w:rsid w:val="005F3316"/>
    <w:rsid w:val="00601105"/>
    <w:rsid w:val="0060463A"/>
    <w:rsid w:val="00606C8A"/>
    <w:rsid w:val="0061672C"/>
    <w:rsid w:val="00620542"/>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6F4B1A"/>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C0E54"/>
    <w:rsid w:val="007D02D3"/>
    <w:rsid w:val="007E3300"/>
    <w:rsid w:val="007E4701"/>
    <w:rsid w:val="007F0455"/>
    <w:rsid w:val="007F064A"/>
    <w:rsid w:val="008073B2"/>
    <w:rsid w:val="008152CF"/>
    <w:rsid w:val="00824B84"/>
    <w:rsid w:val="00825FAD"/>
    <w:rsid w:val="00830ED8"/>
    <w:rsid w:val="00835AD6"/>
    <w:rsid w:val="00844CD8"/>
    <w:rsid w:val="00850A44"/>
    <w:rsid w:val="00870BED"/>
    <w:rsid w:val="00882C0D"/>
    <w:rsid w:val="00890313"/>
    <w:rsid w:val="008A156E"/>
    <w:rsid w:val="008A2D8F"/>
    <w:rsid w:val="008A3BAF"/>
    <w:rsid w:val="008A522E"/>
    <w:rsid w:val="008B0925"/>
    <w:rsid w:val="008B6FAC"/>
    <w:rsid w:val="008B730B"/>
    <w:rsid w:val="008D663E"/>
    <w:rsid w:val="008E1CAE"/>
    <w:rsid w:val="008E7F0A"/>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966C2"/>
    <w:rsid w:val="009A42F6"/>
    <w:rsid w:val="009B1678"/>
    <w:rsid w:val="009C4D2A"/>
    <w:rsid w:val="009D427B"/>
    <w:rsid w:val="009D6C26"/>
    <w:rsid w:val="009F2011"/>
    <w:rsid w:val="009F24C0"/>
    <w:rsid w:val="009F4F41"/>
    <w:rsid w:val="009F694C"/>
    <w:rsid w:val="009F7274"/>
    <w:rsid w:val="00A03C34"/>
    <w:rsid w:val="00A15392"/>
    <w:rsid w:val="00A20986"/>
    <w:rsid w:val="00A268EF"/>
    <w:rsid w:val="00A312B5"/>
    <w:rsid w:val="00A61DAA"/>
    <w:rsid w:val="00A71E39"/>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2BF"/>
    <w:rsid w:val="00BE44C8"/>
    <w:rsid w:val="00BE450C"/>
    <w:rsid w:val="00BE5ECB"/>
    <w:rsid w:val="00BF1386"/>
    <w:rsid w:val="00C04F63"/>
    <w:rsid w:val="00C21664"/>
    <w:rsid w:val="00C25368"/>
    <w:rsid w:val="00C33AB4"/>
    <w:rsid w:val="00C42489"/>
    <w:rsid w:val="00C430FD"/>
    <w:rsid w:val="00C4627E"/>
    <w:rsid w:val="00C71516"/>
    <w:rsid w:val="00C82AB8"/>
    <w:rsid w:val="00CB18D4"/>
    <w:rsid w:val="00CB5D00"/>
    <w:rsid w:val="00CC11B1"/>
    <w:rsid w:val="00CC2690"/>
    <w:rsid w:val="00CC50E1"/>
    <w:rsid w:val="00CC7D46"/>
    <w:rsid w:val="00CD1EA4"/>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B1D1B"/>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57289"/>
    <w:rsid w:val="00F704CA"/>
    <w:rsid w:val="00F774CC"/>
    <w:rsid w:val="00F80E45"/>
    <w:rsid w:val="00F91523"/>
    <w:rsid w:val="00F93322"/>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E59D07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721D1"/>
    <w:rPr>
      <w:color w:val="0000FF"/>
      <w:u w:val="single"/>
    </w:rPr>
  </w:style>
  <w:style w:type="character" w:styleId="Hyperlink">
    <w:name w:val="Hyperlink"/>
    <w:basedOn w:val="DefaultParagraphFont"/>
    <w:uiPriority w:val="99"/>
    <w:unhideWhenUsed/>
    <w:rsid w:val="00825FAD"/>
    <w:rPr>
      <w:color w:val="0563C1" w:themeColor="hyperlink"/>
      <w:u w:val="single"/>
    </w:rPr>
  </w:style>
  <w:style w:type="character" w:styleId="UnresolvedMention">
    <w:name w:val="Unresolved Mention"/>
    <w:basedOn w:val="DefaultParagraphFont"/>
    <w:uiPriority w:val="99"/>
    <w:semiHidden/>
    <w:unhideWhenUsed/>
    <w:rsid w:val="00825FAD"/>
    <w:rPr>
      <w:color w:val="605E5C"/>
      <w:shd w:val="clear" w:color="auto" w:fill="E1DFDD"/>
    </w:rPr>
  </w:style>
  <w:style w:type="paragraph" w:styleId="Revision">
    <w:name w:val="Revision"/>
    <w:hidden/>
    <w:uiPriority w:val="99"/>
    <w:semiHidden/>
    <w:rsid w:val="00C4627E"/>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7F064A"/>
    <w:rPr>
      <w:sz w:val="16"/>
      <w:szCs w:val="16"/>
    </w:rPr>
  </w:style>
  <w:style w:type="paragraph" w:styleId="CommentText">
    <w:name w:val="annotation text"/>
    <w:basedOn w:val="Normal"/>
    <w:link w:val="CommentTextChar"/>
    <w:uiPriority w:val="99"/>
    <w:unhideWhenUsed/>
    <w:rsid w:val="007F064A"/>
    <w:rPr>
      <w:sz w:val="20"/>
      <w:szCs w:val="20"/>
    </w:rPr>
  </w:style>
  <w:style w:type="character" w:customStyle="1" w:styleId="CommentTextChar">
    <w:name w:val="Comment Text Char"/>
    <w:basedOn w:val="DefaultParagraphFont"/>
    <w:link w:val="CommentText"/>
    <w:uiPriority w:val="99"/>
    <w:rsid w:val="007F064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F064A"/>
    <w:rPr>
      <w:b/>
      <w:bCs/>
    </w:rPr>
  </w:style>
  <w:style w:type="character" w:customStyle="1" w:styleId="CommentSubjectChar">
    <w:name w:val="Comment Subject Char"/>
    <w:basedOn w:val="CommentTextChar"/>
    <w:link w:val="CommentSubject"/>
    <w:uiPriority w:val="99"/>
    <w:semiHidden/>
    <w:rsid w:val="007F064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336" TargetMode="External"/><Relationship Id="rId26" Type="http://schemas.openxmlformats.org/officeDocument/2006/relationships/hyperlink" Target="http://policy.osba.org/orsredir.asp?ors=oar-581-021" TargetMode="External"/><Relationship Id="rId21" Type="http://schemas.openxmlformats.org/officeDocument/2006/relationships/hyperlink" Target="http://policy.osba.org/orsredir.asp?ors=ors-339"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6" TargetMode="External"/><Relationship Id="rId25" Type="http://schemas.openxmlformats.org/officeDocument/2006/relationships/hyperlink" Target="http://policy.osba.org/orsredir.asp?ors=ors-chapter-475" TargetMode="External"/><Relationship Id="rId33" Type="http://schemas.openxmlformats.org/officeDocument/2006/relationships/hyperlink" Target="http://policy.osba.org/orsredir.asp?ors=oar-584-020" TargetMode="External"/><Relationship Id="rId2" Type="http://schemas.openxmlformats.org/officeDocument/2006/relationships/numbering" Target="numbering.xml"/><Relationship Id="rId16" Type="http://schemas.openxmlformats.org/officeDocument/2006/relationships/hyperlink" Target="http://policy.osba.org/orsredir.asp?ors=ors-163" TargetMode="External"/><Relationship Id="rId20" Type="http://schemas.openxmlformats.org/officeDocument/2006/relationships/hyperlink" Target="http://policy.osba.org/orsredir.asp?ors=ors-338" TargetMode="External"/><Relationship Id="rId29" Type="http://schemas.openxmlformats.org/officeDocument/2006/relationships/hyperlink" Target="http://policy.osba.org/orsredir.asp?ors=oar-581-05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433" TargetMode="External"/><Relationship Id="rId32" Type="http://schemas.openxmlformats.org/officeDocument/2006/relationships/hyperlink" Target="http://policy.osba.org/orsredir.asp?ors=oar-581-053"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161" TargetMode="External"/><Relationship Id="rId23" Type="http://schemas.openxmlformats.org/officeDocument/2006/relationships/hyperlink" Target="http://policy.osba.org/orsredir.asp?ors=ors-339" TargetMode="External"/><Relationship Id="rId28" Type="http://schemas.openxmlformats.org/officeDocument/2006/relationships/hyperlink" Target="http://policy.osba.org/orsredir.asp?ors=oar-581-053"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336" TargetMode="External"/><Relationship Id="rId31" Type="http://schemas.openxmlformats.org/officeDocument/2006/relationships/hyperlink" Target="http://policy.osba.org/orsredir.asp?ors=oar-581-05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1" TargetMode="External"/><Relationship Id="rId22" Type="http://schemas.openxmlformats.org/officeDocument/2006/relationships/hyperlink" Target="http://policy.osba.org/orsredir.asp?ors=ors-339" TargetMode="External"/><Relationship Id="rId27" Type="http://schemas.openxmlformats.org/officeDocument/2006/relationships/hyperlink" Target="http://policy.osba.org/orsredir.asp?ors=oar-581-022" TargetMode="External"/><Relationship Id="rId30" Type="http://schemas.openxmlformats.org/officeDocument/2006/relationships/hyperlink" Target="http://policy.osba.org/orsredir.asp?ors=oar-581-053" TargetMode="External"/><Relationship Id="rId35" Type="http://schemas.openxmlformats.org/officeDocument/2006/relationships/footer" Target="footer5.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DD886-825F-4335-9D1F-2026262A6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JFCG/JFCH/JFCI - Use of Tobacco Products, Alcohol, Drugs or Inhalant Delivery Systems**</vt:lpstr>
    </vt:vector>
  </TitlesOfParts>
  <Company>OSBA</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JFCG/JFCH/JFCI - Use of Tobacco Products, Alcohol, Drugs or Inhalant Delivery Systems**</dc:title>
  <dc:subject>Lourdes Board Policy</dc:subject>
  <dc:creator>Oregon School Boards Association</dc:creator>
  <cp:keywords/>
  <dc:description/>
  <cp:lastModifiedBy>Colleen Allen</cp:lastModifiedBy>
  <cp:revision>19</cp:revision>
  <cp:lastPrinted>2025-03-12T15:38:00Z</cp:lastPrinted>
  <dcterms:created xsi:type="dcterms:W3CDTF">2018-03-09T23:22:00Z</dcterms:created>
  <dcterms:modified xsi:type="dcterms:W3CDTF">2025-05-22T15:55:00Z</dcterms:modified>
</cp:coreProperties>
</file>