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A2E91" w14:textId="77777777" w:rsidR="00F25495" w:rsidRPr="00976D56" w:rsidRDefault="00F25495" w:rsidP="001E1260">
      <w:pPr>
        <w:pStyle w:val="PolicyTitleBox"/>
      </w:pPr>
      <w:r>
        <w:t>Lourdes Public Charter School</w:t>
      </w:r>
    </w:p>
    <w:p w14:paraId="74E21C15" w14:textId="77777777" w:rsidR="00CC7D46" w:rsidRPr="00E9737C" w:rsidRDefault="00CC7D46" w:rsidP="00E9737C"/>
    <w:p w14:paraId="215C435F" w14:textId="77777777" w:rsidR="001E1260" w:rsidRPr="00E9737C" w:rsidRDefault="001E1260" w:rsidP="00E9737C">
      <w:pPr>
        <w:pStyle w:val="PolicyCode"/>
      </w:pPr>
      <w:r w:rsidRPr="00E9737C">
        <w:t>Code:</w:t>
      </w:r>
      <w:r w:rsidRPr="00E9737C">
        <w:tab/>
      </w:r>
      <w:r w:rsidR="00221622" w:rsidRPr="00E9737C">
        <w:t>JB</w:t>
      </w:r>
    </w:p>
    <w:p w14:paraId="6B916328" w14:textId="7F3AFC6A" w:rsidR="001E1260" w:rsidRPr="00E9737C" w:rsidRDefault="001E1260" w:rsidP="00E9737C">
      <w:pPr>
        <w:pStyle w:val="PolicyCode"/>
      </w:pPr>
      <w:r w:rsidRPr="00E9737C">
        <w:t>Adopted:</w:t>
      </w:r>
      <w:r w:rsidRPr="00E9737C">
        <w:tab/>
      </w:r>
      <w:r w:rsidR="00030C38">
        <w:t>4/28/25</w:t>
      </w:r>
    </w:p>
    <w:p w14:paraId="4395F8F5" w14:textId="77777777" w:rsidR="001E1260" w:rsidRPr="00E9737C" w:rsidRDefault="001E1260" w:rsidP="00E9737C"/>
    <w:p w14:paraId="6B7C998E" w14:textId="43959FAF" w:rsidR="00EF573E" w:rsidRPr="00E9737C" w:rsidRDefault="00221622" w:rsidP="00E9737C">
      <w:pPr>
        <w:pStyle w:val="PolicyTitle"/>
      </w:pPr>
      <w:r w:rsidRPr="00E9737C">
        <w:t>Equal Educational Opportunity</w:t>
      </w:r>
    </w:p>
    <w:p w14:paraId="261BD286" w14:textId="77777777" w:rsidR="00EF573E" w:rsidRPr="00E9737C" w:rsidRDefault="00EF573E" w:rsidP="00E9737C"/>
    <w:p w14:paraId="146834ED" w14:textId="458E3DA7" w:rsidR="00221622" w:rsidRPr="00E9737C" w:rsidRDefault="00221622" w:rsidP="00E9737C">
      <w:pPr>
        <w:pStyle w:val="PolicyBodyText"/>
        <w:spacing w:after="240"/>
      </w:pPr>
      <w:r w:rsidRPr="00E9737C">
        <w:t xml:space="preserve">Every student of the public charter school will be given equal educational opportunities regardless of age, sex, sexual orientation, </w:t>
      </w:r>
      <w:r w:rsidR="000B56A2" w:rsidRPr="00E9737C">
        <w:t xml:space="preserve">gender identity, </w:t>
      </w:r>
      <w:r w:rsidRPr="00E9737C">
        <w:t>race</w:t>
      </w:r>
      <w:r w:rsidR="002A5038" w:rsidRPr="00E9737C">
        <w:rPr>
          <w:rStyle w:val="FootnoteReference"/>
        </w:rPr>
        <w:footnoteReference w:id="1"/>
      </w:r>
      <w:r w:rsidRPr="00E9737C">
        <w:t>, religion, color, national origin, disability, parental status, familial status</w:t>
      </w:r>
      <w:r w:rsidR="00FF2A38" w:rsidRPr="00E9737C">
        <w:t>,</w:t>
      </w:r>
      <w:r w:rsidRPr="00E9737C">
        <w:t xml:space="preserve"> marital status</w:t>
      </w:r>
      <w:r w:rsidR="00FF2A38" w:rsidRPr="00E9737C">
        <w:t>, linguistic background, culture, socioeconomic status</w:t>
      </w:r>
      <w:r w:rsidR="00946186" w:rsidRPr="00E9737C">
        <w:t>,</w:t>
      </w:r>
      <w:r w:rsidR="00A624B4" w:rsidRPr="00E9737C">
        <w:t xml:space="preserve"> </w:t>
      </w:r>
      <w:r w:rsidR="00FF2A38" w:rsidRPr="00E9737C">
        <w:t>capability</w:t>
      </w:r>
      <w:r w:rsidR="00946186" w:rsidRPr="00E9737C">
        <w:t xml:space="preserve"> or geographic location</w:t>
      </w:r>
      <w:r w:rsidRPr="00E9737C">
        <w:t>.</w:t>
      </w:r>
    </w:p>
    <w:p w14:paraId="646A438C" w14:textId="04530FF7" w:rsidR="00221622" w:rsidRPr="00E9737C" w:rsidRDefault="002304DC" w:rsidP="00E9737C">
      <w:pPr>
        <w:pStyle w:val="PolicyBodyText"/>
        <w:spacing w:after="240"/>
      </w:pPr>
      <w:r w:rsidRPr="00E9737C">
        <w:t>The</w:t>
      </w:r>
      <w:r w:rsidR="00221622" w:rsidRPr="00E9737C">
        <w:t xml:space="preserve"> public charter school may not limit student </w:t>
      </w:r>
      <w:r w:rsidR="000B56A2" w:rsidRPr="00E9737C">
        <w:t xml:space="preserve">enrollment </w:t>
      </w:r>
      <w:r w:rsidR="00221622" w:rsidRPr="00E9737C">
        <w:t xml:space="preserve">based on ethnicity, national origin, race, religion, </w:t>
      </w:r>
      <w:r w:rsidR="000B56A2" w:rsidRPr="00E9737C">
        <w:t xml:space="preserve">sex, sexual orientation, gender identity, </w:t>
      </w:r>
      <w:r w:rsidR="00221622" w:rsidRPr="00E9737C">
        <w:t>disability, income level, proficiency in English language</w:t>
      </w:r>
      <w:r w:rsidR="00602838" w:rsidRPr="00E9737C">
        <w:t xml:space="preserve">, the terms of </w:t>
      </w:r>
      <w:r w:rsidR="00C4439C" w:rsidRPr="00E9737C">
        <w:t>an</w:t>
      </w:r>
      <w:r w:rsidR="00602838" w:rsidRPr="00E9737C">
        <w:t xml:space="preserve"> </w:t>
      </w:r>
      <w:r w:rsidR="00E51F0D" w:rsidRPr="00E9737C">
        <w:t>individualized education program (</w:t>
      </w:r>
      <w:r w:rsidR="00602838" w:rsidRPr="00E9737C">
        <w:t>IEP</w:t>
      </w:r>
      <w:r w:rsidR="00E51F0D" w:rsidRPr="00E9737C">
        <w:t>)</w:t>
      </w:r>
      <w:r w:rsidR="00221622" w:rsidRPr="00E9737C">
        <w:t xml:space="preserve"> or athletic ability,</w:t>
      </w:r>
      <w:r w:rsidR="006F57DA" w:rsidRPr="00E9737C">
        <w:t xml:space="preserve"> </w:t>
      </w:r>
      <w:r w:rsidR="00E81D32" w:rsidRPr="00E9737C">
        <w:t>except as authorized under Oregon law.</w:t>
      </w:r>
      <w:r w:rsidR="00221622" w:rsidRPr="00E9737C">
        <w:t xml:space="preserve"> </w:t>
      </w:r>
      <w:r w:rsidRPr="00E9737C">
        <w:t>The</w:t>
      </w:r>
      <w:r w:rsidR="00E81D32" w:rsidRPr="00E9737C">
        <w:t xml:space="preserve"> public charter school </w:t>
      </w:r>
      <w:r w:rsidR="00221622" w:rsidRPr="00E9737C">
        <w:t>may limit admission to students within a given grade level.</w:t>
      </w:r>
      <w:r w:rsidR="00E81D32" w:rsidRPr="00E9737C">
        <w:t xml:space="preserve"> </w:t>
      </w:r>
      <w:bookmarkStart w:id="1" w:name="_Hlk76557043"/>
      <w:bookmarkStart w:id="2" w:name="_Hlk76565874"/>
      <w:r w:rsidRPr="00E9737C">
        <w:t>The</w:t>
      </w:r>
      <w:r w:rsidR="00B55FDF" w:rsidRPr="00E9737C">
        <w:t xml:space="preserve"> public charter school </w:t>
      </w:r>
      <w:r w:rsidRPr="00E9737C">
        <w:t>must</w:t>
      </w:r>
      <w:r w:rsidR="00B55FDF" w:rsidRPr="00E9737C">
        <w:t xml:space="preserve"> select students through an equitable lottery selection process if the number of student applicants exceeds the capacity of a program, class, grade level or building. </w:t>
      </w:r>
      <w:bookmarkEnd w:id="1"/>
      <w:r w:rsidRPr="00E9737C">
        <w:t>The</w:t>
      </w:r>
      <w:r w:rsidR="00E64F1D" w:rsidRPr="00E9737C">
        <w:t xml:space="preserve"> public charter school may implement a weighted lottery that favors historically underserved students</w:t>
      </w:r>
      <w:r w:rsidR="009B72EE" w:rsidRPr="00E9737C">
        <w:t xml:space="preserve"> </w:t>
      </w:r>
      <w:r w:rsidR="00E64F1D" w:rsidRPr="00E9737C">
        <w:t>in accordance with ORS 338.125</w:t>
      </w:r>
      <w:bookmarkEnd w:id="2"/>
      <w:r w:rsidR="00E64F1D" w:rsidRPr="00E9737C">
        <w:t>.</w:t>
      </w:r>
      <w:r w:rsidR="00A57850" w:rsidRPr="00E9737C">
        <w:t xml:space="preserve"> The school may give priority for admission to students in accordance with ORS 338.125.</w:t>
      </w:r>
    </w:p>
    <w:p w14:paraId="55D9D284" w14:textId="68740CE2" w:rsidR="00221622" w:rsidRPr="00E9737C" w:rsidRDefault="00FF2A38" w:rsidP="00E9737C">
      <w:pPr>
        <w:pStyle w:val="PolicyBodyText"/>
        <w:spacing w:after="240"/>
      </w:pPr>
      <w:r w:rsidRPr="00E9737C">
        <w:t>N</w:t>
      </w:r>
      <w:r w:rsidR="00221622" w:rsidRPr="00E9737C">
        <w:t>o student will be excluded from participating in, denied the benefits of, or subjected to discrimination under any educational program or activity conducted by the public charter school</w:t>
      </w:r>
      <w:r w:rsidR="005B50F7" w:rsidRPr="00E9737C">
        <w:t xml:space="preserve"> or denied access to facilities in the </w:t>
      </w:r>
      <w:r w:rsidR="00F65D99" w:rsidRPr="00E9737C">
        <w:t>school</w:t>
      </w:r>
      <w:r w:rsidR="00221622" w:rsidRPr="00E9737C">
        <w:t>.</w:t>
      </w:r>
    </w:p>
    <w:p w14:paraId="71DF7C8F" w14:textId="77777777" w:rsidR="00FF2A38" w:rsidRPr="00E9737C" w:rsidRDefault="00FF2A38" w:rsidP="00E9737C">
      <w:pPr>
        <w:spacing w:after="240"/>
        <w:rPr>
          <w:szCs w:val="24"/>
        </w:rPr>
      </w:pPr>
      <w:r w:rsidRPr="00E9737C">
        <w:rPr>
          <w:szCs w:val="24"/>
        </w:rPr>
        <w:t>All reports, complaints or information will be investigated.</w:t>
      </w:r>
    </w:p>
    <w:p w14:paraId="36E64EF4" w14:textId="190D7C5D" w:rsidR="00221622" w:rsidRPr="00E9737C" w:rsidRDefault="00FF2A38" w:rsidP="00E9737C">
      <w:pPr>
        <w:pStyle w:val="PolicyBodyText"/>
        <w:spacing w:after="240"/>
      </w:pPr>
      <w:r w:rsidRPr="00E9737C">
        <w:t>A student of the public charter school may not be subjected to retaliation by the public charter school for the reason that the student has in good faith reported information that the student believes is evidence of a violation of a state or federal law, rule or regulation.</w:t>
      </w:r>
    </w:p>
    <w:p w14:paraId="3C6FB504" w14:textId="77777777" w:rsidR="00221622" w:rsidRPr="00E9737C" w:rsidRDefault="00221622" w:rsidP="00E9737C">
      <w:pPr>
        <w:pStyle w:val="PolicyBodyText"/>
      </w:pPr>
      <w:r w:rsidRPr="00E9737C">
        <w:t>END OF POLICY</w:t>
      </w:r>
    </w:p>
    <w:p w14:paraId="24803425" w14:textId="77777777" w:rsidR="00221622" w:rsidRPr="00E9737C" w:rsidRDefault="00221622" w:rsidP="00E9737C">
      <w:pPr>
        <w:pStyle w:val="PolicyLine"/>
      </w:pPr>
    </w:p>
    <w:p w14:paraId="46F3D547" w14:textId="77777777" w:rsidR="00312F1C" w:rsidRDefault="00312F1C">
      <w:pPr>
        <w:suppressAutoHyphens w:val="0"/>
        <w:spacing w:after="160" w:line="259" w:lineRule="auto"/>
        <w:rPr>
          <w:rFonts w:ascii="Times New Roman Bold" w:hAnsi="Times New Roman Bold"/>
          <w:b/>
          <w:sz w:val="20"/>
        </w:rPr>
      </w:pPr>
      <w:r>
        <w:br w:type="page"/>
      </w:r>
    </w:p>
    <w:p w14:paraId="655D332D" w14:textId="01983347" w:rsidR="00221622" w:rsidRPr="00B47E37" w:rsidRDefault="00221622" w:rsidP="00E9737C">
      <w:pPr>
        <w:pStyle w:val="PolicyReferencesHeading"/>
        <w:spacing w:after="0"/>
      </w:pPr>
      <w:r w:rsidRPr="00B47E37">
        <w:t>Legal Reference(s):</w:t>
      </w:r>
    </w:p>
    <w:p w14:paraId="438126FB" w14:textId="77777777" w:rsidR="00221622" w:rsidRPr="00B47E37" w:rsidRDefault="00221622" w:rsidP="00E9737C">
      <w:pPr>
        <w:pStyle w:val="PolicyReferences"/>
      </w:pPr>
    </w:p>
    <w:p w14:paraId="4CC138A9" w14:textId="77777777" w:rsidR="00221622" w:rsidRPr="00B47E37" w:rsidRDefault="00221622" w:rsidP="00E9737C">
      <w:pPr>
        <w:pStyle w:val="PolicyReferences"/>
        <w:sectPr w:rsidR="00221622" w:rsidRPr="00B47E37" w:rsidSect="00221622">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p w14:paraId="600962CA" w14:textId="7BB018ED" w:rsidR="00E939CE" w:rsidRPr="00B47E37" w:rsidRDefault="00C35191" w:rsidP="00E9737C">
      <w:pPr>
        <w:pStyle w:val="PolicyReferences"/>
      </w:pPr>
      <w:hyperlink r:id="rId14" w:history="1">
        <w:r w:rsidRPr="00B47E37">
          <w:rPr>
            <w:rStyle w:val="Hyperlink"/>
          </w:rPr>
          <w:t>ORS 174</w:t>
        </w:r>
      </w:hyperlink>
      <w:r w:rsidR="00E939CE" w:rsidRPr="00B47E37">
        <w:t>.100</w:t>
      </w:r>
    </w:p>
    <w:p w14:paraId="02AE1A5B" w14:textId="0746D329" w:rsidR="00E939CE" w:rsidRPr="00B47E37" w:rsidRDefault="00C35191" w:rsidP="00E9737C">
      <w:pPr>
        <w:pStyle w:val="PolicyReferences"/>
      </w:pPr>
      <w:hyperlink r:id="rId15" w:history="1">
        <w:r w:rsidRPr="00B47E37">
          <w:rPr>
            <w:rStyle w:val="Hyperlink"/>
          </w:rPr>
          <w:t>ORS 192</w:t>
        </w:r>
      </w:hyperlink>
      <w:r w:rsidR="00E939CE" w:rsidRPr="00B47E37">
        <w:t>.630</w:t>
      </w:r>
    </w:p>
    <w:p w14:paraId="2BA77E31" w14:textId="49F53AB9" w:rsidR="00221622" w:rsidRPr="00B47E37" w:rsidRDefault="00C35191" w:rsidP="00E9737C">
      <w:pPr>
        <w:pStyle w:val="PolicyReferences"/>
      </w:pPr>
      <w:hyperlink r:id="rId16" w:history="1">
        <w:r w:rsidRPr="00B47E37">
          <w:rPr>
            <w:rStyle w:val="Hyperlink"/>
          </w:rPr>
          <w:t>ORS 326</w:t>
        </w:r>
      </w:hyperlink>
      <w:r w:rsidR="00221622" w:rsidRPr="00B47E37">
        <w:t>.051</w:t>
      </w:r>
    </w:p>
    <w:p w14:paraId="53A0ECA0" w14:textId="0998546C" w:rsidR="00221622" w:rsidRPr="00B47E37" w:rsidRDefault="00C35191" w:rsidP="00E9737C">
      <w:pPr>
        <w:pStyle w:val="PolicyReferences"/>
      </w:pPr>
      <w:hyperlink r:id="rId17" w:history="1">
        <w:r w:rsidRPr="00B47E37">
          <w:rPr>
            <w:rStyle w:val="Hyperlink"/>
          </w:rPr>
          <w:t>ORS 329</w:t>
        </w:r>
      </w:hyperlink>
      <w:r w:rsidR="00221622" w:rsidRPr="00B47E37">
        <w:t>.025</w:t>
      </w:r>
    </w:p>
    <w:p w14:paraId="0285CC6D" w14:textId="51B92A7E" w:rsidR="00221622" w:rsidRPr="00B47E37" w:rsidRDefault="00C35191" w:rsidP="00E9737C">
      <w:pPr>
        <w:pStyle w:val="PolicyReferences"/>
      </w:pPr>
      <w:hyperlink r:id="rId18" w:history="1">
        <w:r w:rsidRPr="00B47E37">
          <w:rPr>
            <w:rStyle w:val="Hyperlink"/>
          </w:rPr>
          <w:t>ORS 336</w:t>
        </w:r>
      </w:hyperlink>
      <w:r w:rsidR="00221622" w:rsidRPr="00B47E37">
        <w:t>.086</w:t>
      </w:r>
    </w:p>
    <w:p w14:paraId="62001C74" w14:textId="103E07B1" w:rsidR="00221622" w:rsidRPr="00B47E37" w:rsidRDefault="00C35191" w:rsidP="00E9737C">
      <w:pPr>
        <w:pStyle w:val="PolicyReferences"/>
      </w:pPr>
      <w:hyperlink r:id="rId19" w:history="1">
        <w:r w:rsidRPr="00B47E37">
          <w:rPr>
            <w:rStyle w:val="Hyperlink"/>
          </w:rPr>
          <w:t>ORS 338</w:t>
        </w:r>
      </w:hyperlink>
      <w:r w:rsidR="00221622" w:rsidRPr="00B47E37">
        <w:t>.125</w:t>
      </w:r>
    </w:p>
    <w:p w14:paraId="61DC355E" w14:textId="7CA6CD65" w:rsidR="00221622" w:rsidRPr="00B47E37" w:rsidRDefault="00C35191" w:rsidP="00E9737C">
      <w:pPr>
        <w:pStyle w:val="PolicyReferences"/>
      </w:pPr>
      <w:hyperlink r:id="rId20" w:history="1">
        <w:r w:rsidRPr="00B47E37">
          <w:rPr>
            <w:rStyle w:val="Hyperlink"/>
          </w:rPr>
          <w:t>ORS 659</w:t>
        </w:r>
      </w:hyperlink>
      <w:r w:rsidR="00221622" w:rsidRPr="00B47E37">
        <w:t>.850</w:t>
      </w:r>
    </w:p>
    <w:p w14:paraId="31F15988" w14:textId="1BD3A2D1" w:rsidR="00E939CE" w:rsidRPr="00B47E37" w:rsidRDefault="00C35191" w:rsidP="00E9737C">
      <w:pPr>
        <w:pStyle w:val="PolicyReferences"/>
      </w:pPr>
      <w:hyperlink r:id="rId21" w:history="1">
        <w:r w:rsidRPr="00B47E37">
          <w:rPr>
            <w:rStyle w:val="Hyperlink"/>
          </w:rPr>
          <w:t>ORS 659</w:t>
        </w:r>
      </w:hyperlink>
      <w:r w:rsidR="00E939CE" w:rsidRPr="00B47E37">
        <w:t>.852</w:t>
      </w:r>
    </w:p>
    <w:p w14:paraId="1778AC38" w14:textId="7055FEC8" w:rsidR="002A5038" w:rsidRPr="00B47E37" w:rsidRDefault="002A5038" w:rsidP="00E9737C">
      <w:pPr>
        <w:pStyle w:val="PolicyReferences"/>
      </w:pPr>
      <w:hyperlink r:id="rId22" w:history="1">
        <w:r w:rsidRPr="00B47E37">
          <w:rPr>
            <w:rStyle w:val="Hyperlink"/>
          </w:rPr>
          <w:t>ORS 659A</w:t>
        </w:r>
      </w:hyperlink>
      <w:r w:rsidRPr="00B47E37">
        <w:t>.001</w:t>
      </w:r>
    </w:p>
    <w:p w14:paraId="2485C321" w14:textId="77777777" w:rsidR="00FD611B" w:rsidRPr="00B47E37" w:rsidRDefault="00FD611B" w:rsidP="00E9737C">
      <w:pPr>
        <w:pStyle w:val="PolicyReferences"/>
      </w:pPr>
      <w:hyperlink r:id="rId23" w:history="1">
        <w:r w:rsidRPr="00B47E37">
          <w:rPr>
            <w:rStyle w:val="Hyperlink"/>
          </w:rPr>
          <w:t>ORS 659A</w:t>
        </w:r>
      </w:hyperlink>
      <w:r w:rsidRPr="00B47E37">
        <w:t>.003</w:t>
      </w:r>
    </w:p>
    <w:p w14:paraId="4D490CCA" w14:textId="0D99DFA7" w:rsidR="004154F2" w:rsidRPr="00B47E37" w:rsidRDefault="00FD611B" w:rsidP="00E9737C">
      <w:pPr>
        <w:pStyle w:val="PolicyReferences"/>
      </w:pPr>
      <w:hyperlink r:id="rId24" w:history="1">
        <w:r w:rsidRPr="00B47E37">
          <w:rPr>
            <w:rStyle w:val="Hyperlink"/>
          </w:rPr>
          <w:t>ORS 659A</w:t>
        </w:r>
      </w:hyperlink>
      <w:r w:rsidRPr="00B47E37">
        <w:t>.006</w:t>
      </w:r>
    </w:p>
    <w:p w14:paraId="230BCD38" w14:textId="0295F0F1" w:rsidR="00E939CE" w:rsidRPr="00B47E37" w:rsidRDefault="00C35191" w:rsidP="00E9737C">
      <w:pPr>
        <w:pStyle w:val="PolicyReferences"/>
      </w:pPr>
      <w:hyperlink r:id="rId25" w:history="1">
        <w:r w:rsidRPr="00B47E37">
          <w:rPr>
            <w:rStyle w:val="Hyperlink"/>
          </w:rPr>
          <w:t>ORS 659A</w:t>
        </w:r>
      </w:hyperlink>
      <w:r w:rsidR="00E939CE" w:rsidRPr="00B47E37">
        <w:t>.103 - 659A.145</w:t>
      </w:r>
    </w:p>
    <w:p w14:paraId="712928E6" w14:textId="7B66E256" w:rsidR="00E939CE" w:rsidRPr="00B47E37" w:rsidRDefault="00C35191" w:rsidP="00E9737C">
      <w:pPr>
        <w:pStyle w:val="PolicyReferences"/>
        <w:rPr>
          <w:i/>
          <w:iCs/>
        </w:rPr>
      </w:pPr>
      <w:hyperlink r:id="rId26" w:history="1">
        <w:r w:rsidRPr="00B47E37">
          <w:rPr>
            <w:rStyle w:val="Hyperlink"/>
          </w:rPr>
          <w:t>ORS 659A</w:t>
        </w:r>
      </w:hyperlink>
      <w:r w:rsidR="00E939CE" w:rsidRPr="00B47E37">
        <w:t>.400</w:t>
      </w:r>
    </w:p>
    <w:p w14:paraId="5312F99D" w14:textId="7B3EC095" w:rsidR="00E939CE" w:rsidRPr="00B47E37" w:rsidRDefault="00C35191" w:rsidP="00E9737C">
      <w:pPr>
        <w:pStyle w:val="PolicyReferences"/>
        <w:rPr>
          <w:i/>
          <w:iCs/>
        </w:rPr>
      </w:pPr>
      <w:hyperlink r:id="rId27" w:history="1">
        <w:r w:rsidRPr="00B47E37">
          <w:rPr>
            <w:rStyle w:val="Hyperlink"/>
          </w:rPr>
          <w:t>ORS 659A</w:t>
        </w:r>
      </w:hyperlink>
      <w:r w:rsidR="00E939CE" w:rsidRPr="00B47E37">
        <w:t>.403</w:t>
      </w:r>
    </w:p>
    <w:p w14:paraId="19FED1D5" w14:textId="6B9A0E32" w:rsidR="00E939CE" w:rsidRPr="00B47E37" w:rsidRDefault="00C35191" w:rsidP="00E9737C">
      <w:pPr>
        <w:pStyle w:val="PolicyReferences"/>
        <w:rPr>
          <w:i/>
          <w:iCs/>
        </w:rPr>
      </w:pPr>
      <w:hyperlink r:id="rId28" w:history="1">
        <w:r w:rsidRPr="00B47E37">
          <w:rPr>
            <w:rStyle w:val="Hyperlink"/>
          </w:rPr>
          <w:t>ORS 659A</w:t>
        </w:r>
      </w:hyperlink>
      <w:r w:rsidR="00E939CE" w:rsidRPr="00B47E37">
        <w:t>.406</w:t>
      </w:r>
    </w:p>
    <w:bookmarkStart w:id="3" w:name="OAR"/>
    <w:bookmarkEnd w:id="3"/>
    <w:p w14:paraId="27365B9B" w14:textId="22E2D64D" w:rsidR="00221622" w:rsidRPr="00B47E37" w:rsidRDefault="002D0395" w:rsidP="00E9737C">
      <w:pPr>
        <w:pStyle w:val="PolicyReferences"/>
      </w:pPr>
      <w:r w:rsidRPr="00B47E37">
        <w:fldChar w:fldCharType="begin"/>
      </w:r>
      <w:r w:rsidRPr="00B47E37">
        <w:instrText xml:space="preserve"> HYPERLINK "http://policy.osba.org/orsredir.asp?ors=oar-581" </w:instrText>
      </w:r>
      <w:r w:rsidRPr="00B47E37">
        <w:fldChar w:fldCharType="separate"/>
      </w:r>
      <w:r w:rsidRPr="00B47E37">
        <w:rPr>
          <w:rStyle w:val="Hyperlink"/>
        </w:rPr>
        <w:t>OAR 581</w:t>
      </w:r>
      <w:r w:rsidRPr="00B47E37">
        <w:fldChar w:fldCharType="end"/>
      </w:r>
      <w:r w:rsidR="00C35191" w:rsidRPr="00B47E37">
        <w:t>-021</w:t>
      </w:r>
      <w:r w:rsidR="00221622" w:rsidRPr="00B47E37">
        <w:t>-0045</w:t>
      </w:r>
    </w:p>
    <w:p w14:paraId="6B650B9E" w14:textId="6213983E" w:rsidR="00221622" w:rsidRPr="00B47E37" w:rsidRDefault="002D0395" w:rsidP="00E9737C">
      <w:pPr>
        <w:pStyle w:val="PolicyReferences"/>
      </w:pPr>
      <w:hyperlink r:id="rId29" w:history="1">
        <w:r w:rsidRPr="00B47E37">
          <w:rPr>
            <w:rStyle w:val="Hyperlink"/>
          </w:rPr>
          <w:t>OAR 581</w:t>
        </w:r>
      </w:hyperlink>
      <w:r w:rsidR="00C35191" w:rsidRPr="00B47E37">
        <w:t>-021</w:t>
      </w:r>
      <w:r w:rsidR="00221622" w:rsidRPr="00B47E37">
        <w:t>-0046</w:t>
      </w:r>
    </w:p>
    <w:p w14:paraId="1E7BA316" w14:textId="6460581C" w:rsidR="00221622" w:rsidRPr="00B47E37" w:rsidRDefault="002D0395" w:rsidP="00E9737C">
      <w:pPr>
        <w:pStyle w:val="PolicyReferences"/>
      </w:pPr>
      <w:hyperlink r:id="rId30" w:history="1">
        <w:r w:rsidRPr="00B47E37">
          <w:rPr>
            <w:rStyle w:val="Hyperlink"/>
          </w:rPr>
          <w:t>OAR 581</w:t>
        </w:r>
      </w:hyperlink>
      <w:r w:rsidR="00C35191" w:rsidRPr="00B47E37">
        <w:t>-022</w:t>
      </w:r>
      <w:r w:rsidR="00221622" w:rsidRPr="00B47E37">
        <w:t>-2310</w:t>
      </w:r>
    </w:p>
    <w:p w14:paraId="082C520C" w14:textId="12889042" w:rsidR="00221622" w:rsidRPr="00B47E37" w:rsidRDefault="002D0395" w:rsidP="00E9737C">
      <w:pPr>
        <w:pStyle w:val="PolicyReferences"/>
        <w:sectPr w:rsidR="00221622" w:rsidRPr="00B47E37" w:rsidSect="00221622">
          <w:type w:val="continuous"/>
          <w:pgSz w:w="12240" w:h="15840"/>
          <w:pgMar w:top="936" w:right="720" w:bottom="720" w:left="1224" w:header="432" w:footer="720" w:gutter="0"/>
          <w:cols w:num="3" w:space="355" w:equalWidth="0">
            <w:col w:w="3190" w:space="355"/>
            <w:col w:w="3195" w:space="360"/>
            <w:col w:w="3190"/>
          </w:cols>
          <w:noEndnote/>
          <w:docGrid w:linePitch="326"/>
        </w:sectPr>
      </w:pPr>
      <w:hyperlink r:id="rId31" w:history="1">
        <w:r w:rsidRPr="00B47E37">
          <w:rPr>
            <w:rStyle w:val="Hyperlink"/>
          </w:rPr>
          <w:t>OAR 839</w:t>
        </w:r>
      </w:hyperlink>
      <w:r w:rsidR="00C35191" w:rsidRPr="00B47E37">
        <w:t>-003</w:t>
      </w:r>
    </w:p>
    <w:p w14:paraId="27543BAD" w14:textId="77777777" w:rsidR="00221622" w:rsidRPr="00B47E37" w:rsidRDefault="00221622" w:rsidP="00E9737C">
      <w:pPr>
        <w:pStyle w:val="PolicyReferences"/>
      </w:pPr>
    </w:p>
    <w:p w14:paraId="658220DB" w14:textId="32DB9A1B" w:rsidR="00221622" w:rsidRPr="00B47E37" w:rsidRDefault="00221622" w:rsidP="00E9737C">
      <w:pPr>
        <w:pStyle w:val="PolicyReferences"/>
      </w:pPr>
      <w:r w:rsidRPr="00B47E37">
        <w:t>Title VI of the Civil Rights Act of 1964, 42 U.S.C. § 2000d (</w:t>
      </w:r>
      <w:r w:rsidR="00E939CE" w:rsidRPr="00B47E37">
        <w:t>2018</w:t>
      </w:r>
      <w:r w:rsidRPr="00B47E37">
        <w:t>)</w:t>
      </w:r>
      <w:r w:rsidR="00E939CE" w:rsidRPr="00B47E37">
        <w:t>; 28 C.F.R. §§ 42.101-42.106 (2019)</w:t>
      </w:r>
      <w:r w:rsidRPr="00B47E37">
        <w:t>.</w:t>
      </w:r>
    </w:p>
    <w:p w14:paraId="76DAAFAA" w14:textId="11C77521" w:rsidR="00221622" w:rsidRPr="00B47E37" w:rsidRDefault="00221622" w:rsidP="00E9737C">
      <w:pPr>
        <w:pStyle w:val="PolicyReferences"/>
      </w:pPr>
      <w:r w:rsidRPr="00B47E37">
        <w:t>Rehabilitation Act of 1973, 29 U.S.C. §§ 791, 793-794 (</w:t>
      </w:r>
      <w:r w:rsidR="00E939CE" w:rsidRPr="00B47E37">
        <w:t>2018</w:t>
      </w:r>
      <w:r w:rsidRPr="00B47E37">
        <w:t>)</w:t>
      </w:r>
      <w:r w:rsidR="00E939CE" w:rsidRPr="00B47E37">
        <w:t>; 34 C.F.R. Part 104 (2019)</w:t>
      </w:r>
      <w:r w:rsidRPr="00B47E37">
        <w:t>.</w:t>
      </w:r>
    </w:p>
    <w:p w14:paraId="3E9212CE" w14:textId="785E6ECA" w:rsidR="00221622" w:rsidRPr="00B47E37" w:rsidRDefault="00221622" w:rsidP="00E9737C">
      <w:pPr>
        <w:pStyle w:val="PolicyReferences"/>
      </w:pPr>
      <w:r w:rsidRPr="00B47E37">
        <w:t>Title IX of the Education Amendments of 1972, 20 U.S.C. §§ 1681-1683, 1701, 1703-1705 (</w:t>
      </w:r>
      <w:r w:rsidR="00E939CE" w:rsidRPr="00B47E37">
        <w:t>2018</w:t>
      </w:r>
      <w:r w:rsidRPr="00B47E37">
        <w:t>); Nondiscrimination on the Basis of Sex in Education Programs or Activities Receiving Federal Financial Assistance, 34 C.F.R. Part 106 (</w:t>
      </w:r>
      <w:r w:rsidR="00E939CE" w:rsidRPr="00B47E37">
        <w:t>2020</w:t>
      </w:r>
      <w:r w:rsidRPr="00B47E37">
        <w:t>).</w:t>
      </w:r>
    </w:p>
    <w:p w14:paraId="04E84108" w14:textId="44C44A7A" w:rsidR="00221622" w:rsidRPr="00B47E37" w:rsidRDefault="00221622" w:rsidP="00E9737C">
      <w:pPr>
        <w:pStyle w:val="PolicyReferences"/>
      </w:pPr>
      <w:r w:rsidRPr="00B47E37">
        <w:lastRenderedPageBreak/>
        <w:t>Americans with Disabilities Act of 1990, 42 U.S.C. §§ 12101-12213</w:t>
      </w:r>
      <w:r w:rsidR="00E939CE" w:rsidRPr="00B47E37">
        <w:t xml:space="preserve"> (2018)</w:t>
      </w:r>
      <w:r w:rsidRPr="00B47E37">
        <w:t>; 29 C.F.R. Part 1630 (</w:t>
      </w:r>
      <w:r w:rsidR="00E939CE" w:rsidRPr="00B47E37">
        <w:t>2019</w:t>
      </w:r>
      <w:r w:rsidRPr="00B47E37">
        <w:t>); 28 C.F.R. Part 35 (</w:t>
      </w:r>
      <w:r w:rsidR="00E939CE" w:rsidRPr="00B47E37">
        <w:t>2019</w:t>
      </w:r>
      <w:r w:rsidRPr="00B47E37">
        <w:t>).</w:t>
      </w:r>
    </w:p>
    <w:p w14:paraId="5D137B5D" w14:textId="0D5D24C2" w:rsidR="00221622" w:rsidRPr="00B47E37" w:rsidRDefault="00221622" w:rsidP="00E9737C">
      <w:pPr>
        <w:pStyle w:val="PolicyReferences"/>
      </w:pPr>
      <w:r w:rsidRPr="00B47E37">
        <w:t>Americans with Disabilities Act Amendments Act of 2008</w:t>
      </w:r>
      <w:r w:rsidR="00E939CE" w:rsidRPr="00B47E37">
        <w:t>, 42 U.S.C. §§ 12101-12333 (2018)</w:t>
      </w:r>
      <w:r w:rsidRPr="00B47E37">
        <w:t>.</w:t>
      </w:r>
    </w:p>
    <w:p w14:paraId="622D3D8F" w14:textId="77777777" w:rsidR="00B83E20" w:rsidRPr="00B47E37" w:rsidRDefault="00B83E20" w:rsidP="00E9737C">
      <w:pPr>
        <w:pStyle w:val="PolicyReferences"/>
      </w:pPr>
    </w:p>
    <w:p w14:paraId="5A61BB13" w14:textId="77777777" w:rsidR="00B47E37" w:rsidRPr="00B47E37" w:rsidRDefault="00B47E37" w:rsidP="00E9737C">
      <w:pPr>
        <w:pStyle w:val="PolicyReferences"/>
      </w:pPr>
    </w:p>
    <w:p w14:paraId="6AE23BDA" w14:textId="4B8FF3C5" w:rsidR="00B47E37" w:rsidRPr="00B47E37" w:rsidRDefault="00B47E37" w:rsidP="00B47E37">
      <w:pPr>
        <w:pStyle w:val="PolicyReferences"/>
        <w:rPr>
          <w:b/>
        </w:rPr>
      </w:pPr>
      <w:bookmarkStart w:id="4" w:name="XREFS"/>
      <w:bookmarkEnd w:id="4"/>
      <w:r w:rsidRPr="00B47E37">
        <w:rPr>
          <w:b/>
        </w:rPr>
        <w:t>Cross Reference(s):</w:t>
      </w:r>
    </w:p>
    <w:p w14:paraId="2BDF4BC1" w14:textId="77777777" w:rsidR="00B47E37" w:rsidRPr="00B47E37" w:rsidRDefault="00B47E37" w:rsidP="00B47E37">
      <w:pPr>
        <w:pStyle w:val="PolicyReferences"/>
      </w:pPr>
    </w:p>
    <w:p w14:paraId="6DEB1AB5" w14:textId="6F6C842B" w:rsidR="00B47E37" w:rsidRPr="00B47E37" w:rsidRDefault="00B47E37" w:rsidP="00B47E37">
      <w:pPr>
        <w:pStyle w:val="PolicyReferences"/>
      </w:pPr>
      <w:r w:rsidRPr="00B47E37">
        <w:t>AC - Nondiscrimination</w:t>
      </w:r>
    </w:p>
    <w:p w14:paraId="6606CB4C" w14:textId="2DB221D7" w:rsidR="00B47E37" w:rsidRPr="00B47E37" w:rsidRDefault="00B47E37" w:rsidP="00B47E37">
      <w:pPr>
        <w:pStyle w:val="PolicyReferences"/>
      </w:pPr>
      <w:r w:rsidRPr="00B47E37">
        <w:t>ACA - Americans with Disabilities Act</w:t>
      </w:r>
    </w:p>
    <w:sectPr w:rsidR="00B47E37" w:rsidRPr="00B47E37" w:rsidSect="00221622">
      <w:footerReference w:type="default" r:id="rId32"/>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97BE" w14:textId="77777777" w:rsidR="00221622" w:rsidRDefault="00221622" w:rsidP="00FC3907">
      <w:r>
        <w:separator/>
      </w:r>
    </w:p>
  </w:endnote>
  <w:endnote w:type="continuationSeparator" w:id="0">
    <w:p w14:paraId="058ACB8C" w14:textId="77777777" w:rsidR="00221622" w:rsidRDefault="0022162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F0BDD" w14:textId="77777777" w:rsidR="00030C38" w:rsidRDefault="00030C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83E20" w14:paraId="3CC53CF6" w14:textId="77777777" w:rsidTr="004616AD">
      <w:tc>
        <w:tcPr>
          <w:tcW w:w="2340" w:type="dxa"/>
        </w:tcPr>
        <w:p w14:paraId="13FB4E79" w14:textId="73DE2C4A" w:rsidR="00B83E20" w:rsidRDefault="00B83E20" w:rsidP="004616AD">
          <w:pPr>
            <w:pStyle w:val="Footer"/>
            <w:rPr>
              <w:noProof/>
              <w:sz w:val="20"/>
            </w:rPr>
          </w:pPr>
        </w:p>
      </w:tc>
      <w:tc>
        <w:tcPr>
          <w:tcW w:w="7956" w:type="dxa"/>
        </w:tcPr>
        <w:p w14:paraId="2AFE23F1" w14:textId="3A8DA2B2" w:rsidR="00B83E20" w:rsidRDefault="00B83E20" w:rsidP="004616AD">
          <w:pPr>
            <w:pStyle w:val="Footer"/>
            <w:jc w:val="right"/>
          </w:pPr>
          <w:r>
            <w:t>Equal Educational Opportunity – JB</w:t>
          </w:r>
        </w:p>
        <w:p w14:paraId="72B59FED" w14:textId="77777777" w:rsidR="00B83E20" w:rsidRDefault="00B83E2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5C07890" w14:textId="77777777" w:rsidR="00B83E20" w:rsidRPr="00782930" w:rsidRDefault="00B83E2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AEA7" w14:textId="77777777" w:rsidR="00030C38" w:rsidRDefault="00030C3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83E20" w14:paraId="7B029947" w14:textId="77777777" w:rsidTr="004616AD">
      <w:tc>
        <w:tcPr>
          <w:tcW w:w="2340" w:type="dxa"/>
        </w:tcPr>
        <w:p w14:paraId="421C9535" w14:textId="77777777" w:rsidR="00B83E20" w:rsidRDefault="00B83E20" w:rsidP="004616AD">
          <w:pPr>
            <w:pStyle w:val="Footer"/>
            <w:rPr>
              <w:noProof/>
              <w:sz w:val="20"/>
            </w:rPr>
          </w:pPr>
          <w:r>
            <w:rPr>
              <w:noProof/>
              <w:sz w:val="20"/>
            </w:rPr>
            <w:t>R10/05/21│LF</w:t>
          </w:r>
        </w:p>
        <w:p w14:paraId="6AF70571" w14:textId="1B706698" w:rsidR="00B83E20" w:rsidRDefault="00B83E20" w:rsidP="004616AD">
          <w:pPr>
            <w:pStyle w:val="Footer"/>
            <w:rPr>
              <w:noProof/>
              <w:sz w:val="20"/>
            </w:rPr>
          </w:pPr>
        </w:p>
      </w:tc>
      <w:tc>
        <w:tcPr>
          <w:tcW w:w="7956" w:type="dxa"/>
        </w:tcPr>
        <w:p w14:paraId="2198C2A7" w14:textId="06CC04A5" w:rsidR="00B83E20" w:rsidRDefault="00B83E20" w:rsidP="004616AD">
          <w:pPr>
            <w:pStyle w:val="Footer"/>
            <w:jc w:val="right"/>
          </w:pPr>
          <w:r>
            <w:t>Equal Educational Opportunity – JB</w:t>
          </w:r>
        </w:p>
        <w:p w14:paraId="7C704B38" w14:textId="77777777" w:rsidR="00B83E20" w:rsidRDefault="00B83E2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DBF3566" w14:textId="77777777" w:rsidR="00B83E20" w:rsidRPr="00782930" w:rsidRDefault="00B83E20"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0861C" w14:textId="77777777" w:rsidR="00221622" w:rsidRDefault="00221622" w:rsidP="00FC3907">
      <w:r>
        <w:separator/>
      </w:r>
    </w:p>
  </w:footnote>
  <w:footnote w:type="continuationSeparator" w:id="0">
    <w:p w14:paraId="6713D6D1" w14:textId="77777777" w:rsidR="00221622" w:rsidRDefault="00221622" w:rsidP="00FC3907">
      <w:r>
        <w:continuationSeparator/>
      </w:r>
    </w:p>
  </w:footnote>
  <w:footnote w:id="1">
    <w:p w14:paraId="5A1FD2F2" w14:textId="109A6ECB" w:rsidR="002A5038" w:rsidRPr="00F05072" w:rsidRDefault="002A5038">
      <w:pPr>
        <w:pStyle w:val="FootnoteText"/>
        <w:rPr>
          <w:highlight w:val="darkGray"/>
        </w:rPr>
      </w:pPr>
      <w:bookmarkStart w:id="0" w:name="_Hlk83710468"/>
      <w:r w:rsidRPr="00E9737C">
        <w:rPr>
          <w:rStyle w:val="FootnoteReference"/>
        </w:rPr>
        <w:footnoteRef/>
      </w:r>
      <w:r w:rsidRPr="00E9737C">
        <w:t xml:space="preserve"> Race also includes physical characteristics that are historically associated with race, including but not limited to natural hair, hair texture, hair type and protective hairstyles as defined by ORS 659A.001.</w:t>
      </w:r>
    </w:p>
    <w:bookmarkEnd w:i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B1350" w14:textId="77777777" w:rsidR="00030C38" w:rsidRPr="00312F1C" w:rsidRDefault="00030C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AE9DD" w14:textId="77777777" w:rsidR="00030C38" w:rsidRDefault="00030C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1D482" w14:textId="77777777" w:rsidR="00030C38" w:rsidRDefault="00030C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8336471">
    <w:abstractNumId w:val="7"/>
  </w:num>
  <w:num w:numId="2" w16cid:durableId="563492046">
    <w:abstractNumId w:val="4"/>
  </w:num>
  <w:num w:numId="3" w16cid:durableId="1769428619">
    <w:abstractNumId w:val="4"/>
  </w:num>
  <w:num w:numId="4" w16cid:durableId="1335689764">
    <w:abstractNumId w:val="3"/>
  </w:num>
  <w:num w:numId="5" w16cid:durableId="607588153">
    <w:abstractNumId w:val="3"/>
  </w:num>
  <w:num w:numId="6" w16cid:durableId="1585190701">
    <w:abstractNumId w:val="2"/>
  </w:num>
  <w:num w:numId="7" w16cid:durableId="1437097018">
    <w:abstractNumId w:val="2"/>
  </w:num>
  <w:num w:numId="8" w16cid:durableId="696732126">
    <w:abstractNumId w:val="1"/>
  </w:num>
  <w:num w:numId="9" w16cid:durableId="288703870">
    <w:abstractNumId w:val="1"/>
  </w:num>
  <w:num w:numId="10" w16cid:durableId="109401161">
    <w:abstractNumId w:val="0"/>
  </w:num>
  <w:num w:numId="11" w16cid:durableId="252519702">
    <w:abstractNumId w:val="0"/>
  </w:num>
  <w:num w:numId="12" w16cid:durableId="1271664575">
    <w:abstractNumId w:val="6"/>
  </w:num>
  <w:num w:numId="13" w16cid:durableId="186138855">
    <w:abstractNumId w:val="9"/>
  </w:num>
  <w:num w:numId="14" w16cid:durableId="1021277398">
    <w:abstractNumId w:val="8"/>
  </w:num>
  <w:num w:numId="15" w16cid:durableId="20145244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716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6A49"/>
    <w:rsid w:val="00017254"/>
    <w:rsid w:val="00026726"/>
    <w:rsid w:val="00030C38"/>
    <w:rsid w:val="000376CE"/>
    <w:rsid w:val="000511CD"/>
    <w:rsid w:val="00052BE8"/>
    <w:rsid w:val="00053D70"/>
    <w:rsid w:val="000577C7"/>
    <w:rsid w:val="000617BB"/>
    <w:rsid w:val="0007087A"/>
    <w:rsid w:val="00074380"/>
    <w:rsid w:val="00081FEB"/>
    <w:rsid w:val="00083481"/>
    <w:rsid w:val="00084A96"/>
    <w:rsid w:val="00086423"/>
    <w:rsid w:val="00093AF4"/>
    <w:rsid w:val="00093EC6"/>
    <w:rsid w:val="00095F9B"/>
    <w:rsid w:val="00096B9C"/>
    <w:rsid w:val="000A132A"/>
    <w:rsid w:val="000A2FE8"/>
    <w:rsid w:val="000A6A9E"/>
    <w:rsid w:val="000B092A"/>
    <w:rsid w:val="000B56A2"/>
    <w:rsid w:val="000B75D8"/>
    <w:rsid w:val="000C445D"/>
    <w:rsid w:val="000D522B"/>
    <w:rsid w:val="000F261A"/>
    <w:rsid w:val="000F30CA"/>
    <w:rsid w:val="000F710F"/>
    <w:rsid w:val="000F7910"/>
    <w:rsid w:val="00123136"/>
    <w:rsid w:val="00125E1F"/>
    <w:rsid w:val="00137065"/>
    <w:rsid w:val="001479B1"/>
    <w:rsid w:val="00151EC6"/>
    <w:rsid w:val="00156EA7"/>
    <w:rsid w:val="00176981"/>
    <w:rsid w:val="0018025F"/>
    <w:rsid w:val="001A2667"/>
    <w:rsid w:val="001C1D43"/>
    <w:rsid w:val="001C3978"/>
    <w:rsid w:val="001C5C15"/>
    <w:rsid w:val="001E1260"/>
    <w:rsid w:val="001E7AE7"/>
    <w:rsid w:val="001F4D2D"/>
    <w:rsid w:val="00200C91"/>
    <w:rsid w:val="0021369D"/>
    <w:rsid w:val="00217190"/>
    <w:rsid w:val="00221622"/>
    <w:rsid w:val="00224022"/>
    <w:rsid w:val="002304DC"/>
    <w:rsid w:val="00231AB3"/>
    <w:rsid w:val="002345DA"/>
    <w:rsid w:val="00246025"/>
    <w:rsid w:val="00247A20"/>
    <w:rsid w:val="00262866"/>
    <w:rsid w:val="0028031C"/>
    <w:rsid w:val="00280B93"/>
    <w:rsid w:val="002821D2"/>
    <w:rsid w:val="00284A5E"/>
    <w:rsid w:val="00286D2D"/>
    <w:rsid w:val="002A5038"/>
    <w:rsid w:val="002A7657"/>
    <w:rsid w:val="002C65A9"/>
    <w:rsid w:val="002C77C7"/>
    <w:rsid w:val="002D0395"/>
    <w:rsid w:val="002F2290"/>
    <w:rsid w:val="002F4D33"/>
    <w:rsid w:val="002F7C67"/>
    <w:rsid w:val="00305489"/>
    <w:rsid w:val="00306B03"/>
    <w:rsid w:val="00311B2D"/>
    <w:rsid w:val="00312F1C"/>
    <w:rsid w:val="003233D7"/>
    <w:rsid w:val="003234E0"/>
    <w:rsid w:val="00346329"/>
    <w:rsid w:val="00354BAF"/>
    <w:rsid w:val="00355C5E"/>
    <w:rsid w:val="00363573"/>
    <w:rsid w:val="00363AE7"/>
    <w:rsid w:val="00365EDA"/>
    <w:rsid w:val="00367B06"/>
    <w:rsid w:val="003804C0"/>
    <w:rsid w:val="00385E10"/>
    <w:rsid w:val="003915B0"/>
    <w:rsid w:val="003B3329"/>
    <w:rsid w:val="003E6E0C"/>
    <w:rsid w:val="003F7B66"/>
    <w:rsid w:val="004154F2"/>
    <w:rsid w:val="00415660"/>
    <w:rsid w:val="004159D7"/>
    <w:rsid w:val="00415A69"/>
    <w:rsid w:val="00422A12"/>
    <w:rsid w:val="004347FA"/>
    <w:rsid w:val="00440997"/>
    <w:rsid w:val="00443C38"/>
    <w:rsid w:val="00453EF5"/>
    <w:rsid w:val="00455739"/>
    <w:rsid w:val="00456577"/>
    <w:rsid w:val="00472B26"/>
    <w:rsid w:val="00484B66"/>
    <w:rsid w:val="00490A75"/>
    <w:rsid w:val="0049277F"/>
    <w:rsid w:val="00494174"/>
    <w:rsid w:val="004A72C7"/>
    <w:rsid w:val="004C1EE4"/>
    <w:rsid w:val="004C2F7D"/>
    <w:rsid w:val="004E3582"/>
    <w:rsid w:val="004F53EB"/>
    <w:rsid w:val="0051006A"/>
    <w:rsid w:val="005130E3"/>
    <w:rsid w:val="0051750D"/>
    <w:rsid w:val="00524F11"/>
    <w:rsid w:val="005342BD"/>
    <w:rsid w:val="00535611"/>
    <w:rsid w:val="00536354"/>
    <w:rsid w:val="00543474"/>
    <w:rsid w:val="00552301"/>
    <w:rsid w:val="00557E6B"/>
    <w:rsid w:val="00573A5C"/>
    <w:rsid w:val="00594DF4"/>
    <w:rsid w:val="005A0A48"/>
    <w:rsid w:val="005A4EEB"/>
    <w:rsid w:val="005A6BFA"/>
    <w:rsid w:val="005B50F7"/>
    <w:rsid w:val="005B5E10"/>
    <w:rsid w:val="005C1564"/>
    <w:rsid w:val="005E06B3"/>
    <w:rsid w:val="005E3F0A"/>
    <w:rsid w:val="005F3316"/>
    <w:rsid w:val="005F4DF8"/>
    <w:rsid w:val="00602838"/>
    <w:rsid w:val="0060463A"/>
    <w:rsid w:val="0061672C"/>
    <w:rsid w:val="00620A00"/>
    <w:rsid w:val="00621D2B"/>
    <w:rsid w:val="0062603D"/>
    <w:rsid w:val="00634B0E"/>
    <w:rsid w:val="00645006"/>
    <w:rsid w:val="00660AC5"/>
    <w:rsid w:val="00662E7C"/>
    <w:rsid w:val="0067013C"/>
    <w:rsid w:val="006705C2"/>
    <w:rsid w:val="006728D3"/>
    <w:rsid w:val="00684386"/>
    <w:rsid w:val="00685AAF"/>
    <w:rsid w:val="00695030"/>
    <w:rsid w:val="00695431"/>
    <w:rsid w:val="0069687A"/>
    <w:rsid w:val="006A0245"/>
    <w:rsid w:val="006B088B"/>
    <w:rsid w:val="006B177E"/>
    <w:rsid w:val="006D6BED"/>
    <w:rsid w:val="006E544D"/>
    <w:rsid w:val="006E5941"/>
    <w:rsid w:val="006E71CD"/>
    <w:rsid w:val="006F57DA"/>
    <w:rsid w:val="00700E92"/>
    <w:rsid w:val="00722523"/>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15863"/>
    <w:rsid w:val="00824B84"/>
    <w:rsid w:val="00830ED8"/>
    <w:rsid w:val="00835AD6"/>
    <w:rsid w:val="00844CD8"/>
    <w:rsid w:val="00850A44"/>
    <w:rsid w:val="00854A83"/>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24112"/>
    <w:rsid w:val="009317A1"/>
    <w:rsid w:val="00937B31"/>
    <w:rsid w:val="00940E79"/>
    <w:rsid w:val="00946186"/>
    <w:rsid w:val="009510E8"/>
    <w:rsid w:val="009510FB"/>
    <w:rsid w:val="00963266"/>
    <w:rsid w:val="00972985"/>
    <w:rsid w:val="00976D56"/>
    <w:rsid w:val="00976F42"/>
    <w:rsid w:val="00977D62"/>
    <w:rsid w:val="009816CA"/>
    <w:rsid w:val="00982B4E"/>
    <w:rsid w:val="009854C4"/>
    <w:rsid w:val="009A42F6"/>
    <w:rsid w:val="009B1678"/>
    <w:rsid w:val="009B72EE"/>
    <w:rsid w:val="009C4C53"/>
    <w:rsid w:val="009C4D2A"/>
    <w:rsid w:val="009D427B"/>
    <w:rsid w:val="009D6C26"/>
    <w:rsid w:val="009D7E44"/>
    <w:rsid w:val="009F2011"/>
    <w:rsid w:val="009F24C0"/>
    <w:rsid w:val="009F4F41"/>
    <w:rsid w:val="009F694C"/>
    <w:rsid w:val="009F7274"/>
    <w:rsid w:val="00A01322"/>
    <w:rsid w:val="00A05683"/>
    <w:rsid w:val="00A15392"/>
    <w:rsid w:val="00A1651B"/>
    <w:rsid w:val="00A20986"/>
    <w:rsid w:val="00A268EF"/>
    <w:rsid w:val="00A312B5"/>
    <w:rsid w:val="00A35B8B"/>
    <w:rsid w:val="00A57850"/>
    <w:rsid w:val="00A61DAA"/>
    <w:rsid w:val="00A624B4"/>
    <w:rsid w:val="00A7204A"/>
    <w:rsid w:val="00A86CE7"/>
    <w:rsid w:val="00A967F8"/>
    <w:rsid w:val="00AC3EDD"/>
    <w:rsid w:val="00AC5141"/>
    <w:rsid w:val="00AC6972"/>
    <w:rsid w:val="00AE1154"/>
    <w:rsid w:val="00AF3E4D"/>
    <w:rsid w:val="00AF6F27"/>
    <w:rsid w:val="00B01ACE"/>
    <w:rsid w:val="00B04433"/>
    <w:rsid w:val="00B239E5"/>
    <w:rsid w:val="00B24778"/>
    <w:rsid w:val="00B3442C"/>
    <w:rsid w:val="00B35ED5"/>
    <w:rsid w:val="00B36427"/>
    <w:rsid w:val="00B4113F"/>
    <w:rsid w:val="00B44352"/>
    <w:rsid w:val="00B47E37"/>
    <w:rsid w:val="00B55FDF"/>
    <w:rsid w:val="00B61AE5"/>
    <w:rsid w:val="00B637AA"/>
    <w:rsid w:val="00B659D3"/>
    <w:rsid w:val="00B70CD3"/>
    <w:rsid w:val="00B76A55"/>
    <w:rsid w:val="00B83E20"/>
    <w:rsid w:val="00B916F7"/>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35191"/>
    <w:rsid w:val="00C42489"/>
    <w:rsid w:val="00C430FD"/>
    <w:rsid w:val="00C4439C"/>
    <w:rsid w:val="00C66525"/>
    <w:rsid w:val="00C70950"/>
    <w:rsid w:val="00C71516"/>
    <w:rsid w:val="00C82AB8"/>
    <w:rsid w:val="00CA0919"/>
    <w:rsid w:val="00CB18D4"/>
    <w:rsid w:val="00CB5D00"/>
    <w:rsid w:val="00CC11B1"/>
    <w:rsid w:val="00CC2690"/>
    <w:rsid w:val="00CC7D46"/>
    <w:rsid w:val="00CE3549"/>
    <w:rsid w:val="00CE482D"/>
    <w:rsid w:val="00CF6EF5"/>
    <w:rsid w:val="00D01C38"/>
    <w:rsid w:val="00D04CE7"/>
    <w:rsid w:val="00D07014"/>
    <w:rsid w:val="00D33F63"/>
    <w:rsid w:val="00D37878"/>
    <w:rsid w:val="00D4493C"/>
    <w:rsid w:val="00D54706"/>
    <w:rsid w:val="00D55ABF"/>
    <w:rsid w:val="00D65180"/>
    <w:rsid w:val="00D7233F"/>
    <w:rsid w:val="00D7490B"/>
    <w:rsid w:val="00D82C4F"/>
    <w:rsid w:val="00D85D37"/>
    <w:rsid w:val="00D8634F"/>
    <w:rsid w:val="00D87B51"/>
    <w:rsid w:val="00DE0C18"/>
    <w:rsid w:val="00DF0AE6"/>
    <w:rsid w:val="00DF464B"/>
    <w:rsid w:val="00E009DD"/>
    <w:rsid w:val="00E07338"/>
    <w:rsid w:val="00E34F37"/>
    <w:rsid w:val="00E51F0D"/>
    <w:rsid w:val="00E56759"/>
    <w:rsid w:val="00E60543"/>
    <w:rsid w:val="00E64F1D"/>
    <w:rsid w:val="00E67AB7"/>
    <w:rsid w:val="00E70BB8"/>
    <w:rsid w:val="00E71A63"/>
    <w:rsid w:val="00E727A4"/>
    <w:rsid w:val="00E73AEA"/>
    <w:rsid w:val="00E81D32"/>
    <w:rsid w:val="00E81F69"/>
    <w:rsid w:val="00E908E7"/>
    <w:rsid w:val="00E9130E"/>
    <w:rsid w:val="00E939CE"/>
    <w:rsid w:val="00E9737C"/>
    <w:rsid w:val="00E97DED"/>
    <w:rsid w:val="00EA05AE"/>
    <w:rsid w:val="00EA3062"/>
    <w:rsid w:val="00EB16DB"/>
    <w:rsid w:val="00EC519B"/>
    <w:rsid w:val="00EE49D0"/>
    <w:rsid w:val="00EF3B20"/>
    <w:rsid w:val="00EF573E"/>
    <w:rsid w:val="00F05072"/>
    <w:rsid w:val="00F166D4"/>
    <w:rsid w:val="00F16CA1"/>
    <w:rsid w:val="00F25495"/>
    <w:rsid w:val="00F45027"/>
    <w:rsid w:val="00F45C8C"/>
    <w:rsid w:val="00F45D0D"/>
    <w:rsid w:val="00F65D99"/>
    <w:rsid w:val="00F704CA"/>
    <w:rsid w:val="00F774CC"/>
    <w:rsid w:val="00F80E45"/>
    <w:rsid w:val="00F91523"/>
    <w:rsid w:val="00F94BBC"/>
    <w:rsid w:val="00FA481C"/>
    <w:rsid w:val="00FB3011"/>
    <w:rsid w:val="00FB52F8"/>
    <w:rsid w:val="00FC3907"/>
    <w:rsid w:val="00FD60A2"/>
    <w:rsid w:val="00FD611B"/>
    <w:rsid w:val="00FE3BB4"/>
    <w:rsid w:val="00FF2A38"/>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B98BCD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221622"/>
    <w:rPr>
      <w:color w:val="0000FF"/>
      <w:u w:val="single"/>
    </w:rPr>
  </w:style>
  <w:style w:type="paragraph" w:styleId="BalloonText">
    <w:name w:val="Balloon Text"/>
    <w:basedOn w:val="Normal"/>
    <w:link w:val="BalloonTextChar"/>
    <w:uiPriority w:val="99"/>
    <w:semiHidden/>
    <w:unhideWhenUsed/>
    <w:rsid w:val="00FF2A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A38"/>
    <w:rPr>
      <w:rFonts w:ascii="Segoe UI" w:hAnsi="Segoe UI" w:cs="Segoe UI"/>
      <w:sz w:val="18"/>
      <w:szCs w:val="18"/>
    </w:rPr>
  </w:style>
  <w:style w:type="character" w:styleId="Hyperlink">
    <w:name w:val="Hyperlink"/>
    <w:basedOn w:val="DefaultParagraphFont"/>
    <w:uiPriority w:val="99"/>
    <w:unhideWhenUsed/>
    <w:rsid w:val="002F2290"/>
    <w:rPr>
      <w:color w:val="0563C1" w:themeColor="hyperlink"/>
      <w:u w:val="single"/>
    </w:rPr>
  </w:style>
  <w:style w:type="character" w:styleId="UnresolvedMention">
    <w:name w:val="Unresolved Mention"/>
    <w:basedOn w:val="DefaultParagraphFont"/>
    <w:uiPriority w:val="99"/>
    <w:semiHidden/>
    <w:unhideWhenUsed/>
    <w:rsid w:val="002F2290"/>
    <w:rPr>
      <w:color w:val="605E5C"/>
      <w:shd w:val="clear" w:color="auto" w:fill="E1DFDD"/>
    </w:rPr>
  </w:style>
  <w:style w:type="character" w:styleId="FollowedHyperlink">
    <w:name w:val="FollowedHyperlink"/>
    <w:basedOn w:val="DefaultParagraphFont"/>
    <w:uiPriority w:val="99"/>
    <w:semiHidden/>
    <w:unhideWhenUsed/>
    <w:rsid w:val="00E939CE"/>
    <w:rPr>
      <w:color w:val="954F72" w:themeColor="followedHyperlink"/>
      <w:u w:val="single"/>
    </w:rPr>
  </w:style>
  <w:style w:type="character" w:styleId="CommentReference">
    <w:name w:val="annotation reference"/>
    <w:basedOn w:val="DefaultParagraphFont"/>
    <w:uiPriority w:val="99"/>
    <w:semiHidden/>
    <w:unhideWhenUsed/>
    <w:rsid w:val="00924112"/>
    <w:rPr>
      <w:sz w:val="16"/>
      <w:szCs w:val="16"/>
    </w:rPr>
  </w:style>
  <w:style w:type="paragraph" w:styleId="CommentText">
    <w:name w:val="annotation text"/>
    <w:basedOn w:val="Normal"/>
    <w:link w:val="CommentTextChar"/>
    <w:uiPriority w:val="99"/>
    <w:semiHidden/>
    <w:unhideWhenUsed/>
    <w:rsid w:val="00924112"/>
    <w:rPr>
      <w:sz w:val="20"/>
      <w:szCs w:val="20"/>
    </w:rPr>
  </w:style>
  <w:style w:type="character" w:customStyle="1" w:styleId="CommentTextChar">
    <w:name w:val="Comment Text Char"/>
    <w:basedOn w:val="DefaultParagraphFont"/>
    <w:link w:val="CommentText"/>
    <w:uiPriority w:val="99"/>
    <w:semiHidden/>
    <w:rsid w:val="0092411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24112"/>
    <w:rPr>
      <w:b/>
      <w:bCs/>
    </w:rPr>
  </w:style>
  <w:style w:type="character" w:customStyle="1" w:styleId="CommentSubjectChar">
    <w:name w:val="Comment Subject Char"/>
    <w:basedOn w:val="CommentTextChar"/>
    <w:link w:val="CommentSubject"/>
    <w:uiPriority w:val="99"/>
    <w:semiHidden/>
    <w:rsid w:val="00924112"/>
    <w:rPr>
      <w:rFonts w:ascii="Times New Roman" w:hAnsi="Times New Roman" w:cs="Times New Roman"/>
      <w:b/>
      <w:bCs/>
      <w:sz w:val="20"/>
      <w:szCs w:val="20"/>
    </w:rPr>
  </w:style>
  <w:style w:type="paragraph" w:styleId="Revision">
    <w:name w:val="Revision"/>
    <w:hidden/>
    <w:uiPriority w:val="99"/>
    <w:semiHidden/>
    <w:rsid w:val="00594DF4"/>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36" TargetMode="External"/><Relationship Id="rId26" Type="http://schemas.openxmlformats.org/officeDocument/2006/relationships/hyperlink" Target="http://policy.osba.org/orsredir.asp?ors=ors-659a" TargetMode="External"/><Relationship Id="rId3" Type="http://schemas.openxmlformats.org/officeDocument/2006/relationships/styles" Target="styles.xml"/><Relationship Id="rId21" Type="http://schemas.openxmlformats.org/officeDocument/2006/relationships/hyperlink" Target="http://policy.osba.org/orsredir.asp?ors=ors-65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29" TargetMode="External"/><Relationship Id="rId25" Type="http://schemas.openxmlformats.org/officeDocument/2006/relationships/hyperlink" Target="http://policy.osba.org/orsredir.asp?ors=ors-659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326" TargetMode="External"/><Relationship Id="rId20" Type="http://schemas.openxmlformats.org/officeDocument/2006/relationships/hyperlink" Target="http://policy.osba.org/orsredir.asp?ors=ors-659" TargetMode="External"/><Relationship Id="rId29"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659a"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olicy.osba.org/orsredir.asp?ors=ors-192" TargetMode="External"/><Relationship Id="rId23" Type="http://schemas.openxmlformats.org/officeDocument/2006/relationships/hyperlink" Target="http://policy.osba.org/orsredir.asp?ors=ors-659a" TargetMode="External"/><Relationship Id="rId28" Type="http://schemas.openxmlformats.org/officeDocument/2006/relationships/hyperlink" Target="http://policy.osba.org/orsredir.asp?ors=ors-659a" TargetMode="External"/><Relationship Id="rId10" Type="http://schemas.openxmlformats.org/officeDocument/2006/relationships/footer" Target="footer1.xml"/><Relationship Id="rId19" Type="http://schemas.openxmlformats.org/officeDocument/2006/relationships/hyperlink" Target="http://policy.osba.org/orsredir.asp?ors=ors-338" TargetMode="External"/><Relationship Id="rId31" Type="http://schemas.openxmlformats.org/officeDocument/2006/relationships/hyperlink" Target="http://policy.osba.org/orsredir.asp?ors=oar-8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74" TargetMode="External"/><Relationship Id="rId22" Type="http://schemas.openxmlformats.org/officeDocument/2006/relationships/hyperlink" Target="http://policy.osba.org/orsredir.asp?ors=ors-659a" TargetMode="External"/><Relationship Id="rId27" Type="http://schemas.openxmlformats.org/officeDocument/2006/relationships/hyperlink" Target="http://policy.osba.org/orsredir.asp?ors=ors-659a" TargetMode="External"/><Relationship Id="rId30" Type="http://schemas.openxmlformats.org/officeDocument/2006/relationships/hyperlink" Target="http://policy.osba.org/orsredir.asp?ors=oar-581"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C092F-813E-4708-96C2-BE4E67A3E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JB - Equal Educational Opportunity</vt:lpstr>
    </vt:vector>
  </TitlesOfParts>
  <Company>OSBA</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 - Equal Educational Opportunity</dc:title>
  <dc:subject>Lourdes Board Policy</dc:subject>
  <dc:creator>Oregon School Boards Association</dc:creator>
  <cp:keywords/>
  <dc:description/>
  <cp:lastModifiedBy>Colleen Allen</cp:lastModifiedBy>
  <cp:revision>57</cp:revision>
  <dcterms:created xsi:type="dcterms:W3CDTF">2018-03-09T23:20:00Z</dcterms:created>
  <dcterms:modified xsi:type="dcterms:W3CDTF">2025-05-22T15:56:00Z</dcterms:modified>
</cp:coreProperties>
</file>