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6A7CC" w14:textId="77777777" w:rsidR="009D09C0" w:rsidRPr="00976D56" w:rsidRDefault="009D09C0" w:rsidP="001E1260">
      <w:pPr>
        <w:pStyle w:val="PolicyTitleBox"/>
      </w:pPr>
      <w:r>
        <w:t>Lourdes Public Charter School</w:t>
      </w:r>
    </w:p>
    <w:p w14:paraId="7862846E" w14:textId="77777777" w:rsidR="00CC7D46" w:rsidRDefault="00CC7D46" w:rsidP="00CC7D46"/>
    <w:p w14:paraId="767F7195" w14:textId="77777777" w:rsidR="001E1260" w:rsidRDefault="001E1260" w:rsidP="001E1260">
      <w:pPr>
        <w:pStyle w:val="PolicyCode"/>
      </w:pPr>
      <w:r>
        <w:t>Code:</w:t>
      </w:r>
      <w:r>
        <w:tab/>
      </w:r>
      <w:r w:rsidR="00295915">
        <w:t>JGDA</w:t>
      </w:r>
    </w:p>
    <w:p w14:paraId="12356AA0" w14:textId="34AEA7AD" w:rsidR="001E1260" w:rsidRDefault="001E1260" w:rsidP="001E1260">
      <w:pPr>
        <w:pStyle w:val="PolicyCode"/>
      </w:pPr>
      <w:r>
        <w:t>Adopted:</w:t>
      </w:r>
      <w:r>
        <w:tab/>
      </w:r>
      <w:r w:rsidR="00701303">
        <w:t>4/28/25</w:t>
      </w:r>
    </w:p>
    <w:p w14:paraId="26483B97" w14:textId="77777777" w:rsidR="001E1260" w:rsidRPr="001E1260" w:rsidRDefault="001E1260" w:rsidP="00CC7D46"/>
    <w:p w14:paraId="3C22E3ED" w14:textId="77777777" w:rsidR="00EF573E" w:rsidRDefault="00295915" w:rsidP="00EF573E">
      <w:pPr>
        <w:pStyle w:val="PolicyTitle"/>
      </w:pPr>
      <w:r>
        <w:t>Discipline of Students with Disabilities**</w:t>
      </w:r>
    </w:p>
    <w:p w14:paraId="218ECD4C" w14:textId="77777777" w:rsidR="00EF573E" w:rsidRDefault="00EF573E" w:rsidP="00EF573E"/>
    <w:p w14:paraId="7E669A0C" w14:textId="77777777" w:rsidR="00295915" w:rsidRDefault="00295915" w:rsidP="00295915">
      <w:pPr>
        <w:pStyle w:val="PolicyBodyText"/>
      </w:pPr>
      <w:r>
        <w:t>When considering student disciplinary procedures that may result in removal of the student, the public charter school follows all special education procedures and ensures the parent and the student are afforded the procedural safeguards of the Individuals with Disabilities Education Act (IDEA) if:</w:t>
      </w:r>
    </w:p>
    <w:p w14:paraId="4130BC77" w14:textId="77777777" w:rsidR="00295915" w:rsidRDefault="00295915" w:rsidP="00295915">
      <w:pPr>
        <w:pStyle w:val="PolicyBodyText"/>
      </w:pPr>
    </w:p>
    <w:p w14:paraId="05BAEFAF" w14:textId="77777777" w:rsidR="00295915" w:rsidRDefault="00295915" w:rsidP="00FE2BCF">
      <w:pPr>
        <w:pStyle w:val="Level1"/>
      </w:pPr>
      <w:r>
        <w:t>The student is receiving individualized education program (IEP) services; or</w:t>
      </w:r>
    </w:p>
    <w:p w14:paraId="6F89C6DE" w14:textId="77777777" w:rsidR="00295915" w:rsidRDefault="00295915" w:rsidP="00FE2BCF">
      <w:pPr>
        <w:pStyle w:val="Level1"/>
      </w:pPr>
      <w:r>
        <w:t>The student has not yet been identified as a student with a disability, but the public charter school had knowledge that the student had a disability and needed special education.</w:t>
      </w:r>
    </w:p>
    <w:p w14:paraId="139F18A1" w14:textId="77777777" w:rsidR="00295915" w:rsidRDefault="00295915" w:rsidP="00295915">
      <w:pPr>
        <w:pStyle w:val="PolicyBodyText"/>
      </w:pPr>
      <w:r>
        <w:t>For a violation of a code of conduct, the district</w:t>
      </w:r>
      <w:r>
        <w:rPr>
          <w:rStyle w:val="FootnoteReference"/>
        </w:rPr>
        <w:footnoteReference w:id="1"/>
      </w:r>
      <w:r>
        <w:t xml:space="preserve"> may remove a student with a disability from a current educational placement to an appropriate interim alternative educational setting, another setting, or suspension, for up to 10 school days in a school year to the same extent, and with the same notice, as for students without disabilities, if the removals do not constitute a pattern. The district may remove a student with disabilities for additional periods of up to 10 days if the removals do not constitute a pattern. The determination regarding whether a series of removals constitutes a pattern is subject to review in an expedited due process hearing.</w:t>
      </w:r>
    </w:p>
    <w:p w14:paraId="59809434" w14:textId="77777777" w:rsidR="00295915" w:rsidRDefault="00295915" w:rsidP="00295915">
      <w:pPr>
        <w:pStyle w:val="PolicyBodyText"/>
      </w:pPr>
    </w:p>
    <w:p w14:paraId="34C2862D" w14:textId="0C225DEE" w:rsidR="00295915" w:rsidRDefault="00295915" w:rsidP="00295915">
      <w:pPr>
        <w:pStyle w:val="PolicyBodyText"/>
      </w:pPr>
      <w:r>
        <w:t>Disciplinary removal of a student with a disability constitutes a change in the student</w:t>
      </w:r>
      <w:r w:rsidR="004D21EA">
        <w:t>’</w:t>
      </w:r>
      <w:r>
        <w:t>s educational placement when the removal is for more than 10 consecutive school days, or the removal is for more than 10 cumulative school days and constitutes a pattern of removals. When considering whether to order a disciplinary change of placement the district may consider any unique circumstances on a case-by-case basis. Any decision to initiate a disciplinary change in placement requires a determination of whether the conduct leading to the disciplinary removal was caused by, or was substantially related to, the student</w:t>
      </w:r>
      <w:r w:rsidR="004D21EA">
        <w:t>’</w:t>
      </w:r>
      <w:r>
        <w:t>s disability or was a direct result of the district</w:t>
      </w:r>
      <w:r w:rsidR="004D21EA">
        <w:t>’</w:t>
      </w:r>
      <w:r>
        <w:t>s failure to implement the student</w:t>
      </w:r>
      <w:r w:rsidR="004D21EA">
        <w:t>’</w:t>
      </w:r>
      <w:r>
        <w:t>s IEP.</w:t>
      </w:r>
    </w:p>
    <w:p w14:paraId="25A24CC8" w14:textId="77777777" w:rsidR="00295915" w:rsidRDefault="00295915" w:rsidP="00295915">
      <w:pPr>
        <w:pStyle w:val="PolicyBodyText"/>
      </w:pPr>
    </w:p>
    <w:p w14:paraId="5E6865BA" w14:textId="368F576F" w:rsidR="00295915" w:rsidRDefault="00295915" w:rsidP="00295915">
      <w:pPr>
        <w:pStyle w:val="PolicyBodyText"/>
      </w:pPr>
      <w:r>
        <w:t>For a violation involving drugs, weapons or the infliction of serious bodily injury, the district may remove a student with a disability from the student</w:t>
      </w:r>
      <w:r w:rsidR="004D21EA">
        <w:t>’</w:t>
      </w:r>
      <w:r>
        <w:t>s current educational placement to an appropriate interim alternative educational setting for the same amount of time that a student without a disability would be subject to discipline, but for not more than 45 school days in a school year without regard to whether the behavior is a manifestation of the student</w:t>
      </w:r>
      <w:r w:rsidR="004D21EA">
        <w:t>’</w:t>
      </w:r>
      <w:r>
        <w:t>s disability. This removal is considered a change in placement.</w:t>
      </w:r>
    </w:p>
    <w:p w14:paraId="66137EF0" w14:textId="77777777" w:rsidR="00295915" w:rsidRDefault="00295915" w:rsidP="00295915">
      <w:pPr>
        <w:pStyle w:val="PolicyBodyText"/>
      </w:pPr>
    </w:p>
    <w:p w14:paraId="14F9AC62" w14:textId="77777777" w:rsidR="00295915" w:rsidRDefault="00295915" w:rsidP="00295915">
      <w:pPr>
        <w:pStyle w:val="PolicyBodyText"/>
      </w:pPr>
      <w:r>
        <w:t>The district will provide educational services to a student who is suspended or expelled for more than 10 school days in a school year. These services may be provided in a different location or interim alternative educational setting as determined by the IEP and placement teams.</w:t>
      </w:r>
    </w:p>
    <w:p w14:paraId="4956F45B" w14:textId="77777777" w:rsidR="00295915" w:rsidRDefault="00295915" w:rsidP="00295915">
      <w:pPr>
        <w:pStyle w:val="PolicyBodyText"/>
      </w:pPr>
    </w:p>
    <w:p w14:paraId="27E92F36" w14:textId="77777777" w:rsidR="00295915" w:rsidRDefault="00295915" w:rsidP="00295915">
      <w:pPr>
        <w:pStyle w:val="PolicyBodyText"/>
      </w:pPr>
      <w:r>
        <w:t>END OF POLICY</w:t>
      </w:r>
    </w:p>
    <w:p w14:paraId="37C4F087" w14:textId="77777777" w:rsidR="00295915" w:rsidRDefault="00295915" w:rsidP="00295915">
      <w:pPr>
        <w:pStyle w:val="PolicyLine"/>
      </w:pPr>
    </w:p>
    <w:p w14:paraId="194C3094" w14:textId="77777777" w:rsidR="00FE2BCF" w:rsidRDefault="00FE2BCF">
      <w:pPr>
        <w:suppressAutoHyphens w:val="0"/>
        <w:spacing w:after="160" w:line="259" w:lineRule="auto"/>
        <w:rPr>
          <w:b/>
          <w:bCs/>
          <w:sz w:val="20"/>
        </w:rPr>
      </w:pPr>
      <w:r>
        <w:rPr>
          <w:b/>
          <w:bCs/>
        </w:rPr>
        <w:br w:type="page"/>
      </w:r>
    </w:p>
    <w:p w14:paraId="1AF066D3" w14:textId="77777777" w:rsidR="00295915" w:rsidRPr="00B73D27" w:rsidRDefault="00295915" w:rsidP="00D30A92">
      <w:pPr>
        <w:pStyle w:val="PolicyReferencesHeading"/>
      </w:pPr>
      <w:r w:rsidRPr="00B73D27">
        <w:lastRenderedPageBreak/>
        <w:t>Legal Reference(s):</w:t>
      </w:r>
    </w:p>
    <w:p w14:paraId="13A563F4" w14:textId="77777777" w:rsidR="00295915" w:rsidRPr="00B73D27" w:rsidRDefault="00295915" w:rsidP="00295915">
      <w:pPr>
        <w:pStyle w:val="PolicyReferences"/>
      </w:pPr>
    </w:p>
    <w:p w14:paraId="4AF83D10" w14:textId="77777777" w:rsidR="00295915" w:rsidRPr="00B73D27" w:rsidRDefault="00295915" w:rsidP="00295915">
      <w:pPr>
        <w:pStyle w:val="PolicyReferences"/>
        <w:sectPr w:rsidR="00295915" w:rsidRPr="00B73D27" w:rsidSect="00295915">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304B7C36" w14:textId="77777777" w:rsidR="00295915" w:rsidRPr="00B73D27" w:rsidRDefault="00295915" w:rsidP="00295915">
      <w:pPr>
        <w:pStyle w:val="PolicyReferences"/>
      </w:pPr>
      <w:r w:rsidRPr="00B73D27">
        <w:fldChar w:fldCharType="begin"/>
      </w:r>
      <w:r w:rsidRPr="00B73D27">
        <w:instrText xml:space="preserve">   HYPERLINK "http://policy.osba.org/orsredir.asp?ors=ors-326" </w:instrText>
      </w:r>
      <w:r w:rsidRPr="00B73D27">
        <w:fldChar w:fldCharType="separate"/>
      </w:r>
      <w:r w:rsidRPr="00B73D27">
        <w:rPr>
          <w:rStyle w:val="SYSHYPERTEXT"/>
        </w:rPr>
        <w:t>ORS 326</w:t>
      </w:r>
      <w:r w:rsidRPr="00B73D27">
        <w:fldChar w:fldCharType="end"/>
      </w:r>
      <w:r w:rsidRPr="00B73D27">
        <w:t>.565</w:t>
      </w:r>
    </w:p>
    <w:p w14:paraId="5AE8DE96" w14:textId="77777777" w:rsidR="00295915" w:rsidRPr="00B73D27" w:rsidRDefault="00295915" w:rsidP="00295915">
      <w:pPr>
        <w:pStyle w:val="PolicyReferences"/>
      </w:pPr>
      <w:hyperlink r:id="rId14" w:history="1">
        <w:r w:rsidRPr="00B73D27">
          <w:rPr>
            <w:rStyle w:val="SYSHYPERTEXT"/>
          </w:rPr>
          <w:t>ORS 326</w:t>
        </w:r>
      </w:hyperlink>
      <w:r w:rsidRPr="00B73D27">
        <w:t>.575</w:t>
      </w:r>
    </w:p>
    <w:p w14:paraId="32AFF876" w14:textId="77777777" w:rsidR="00295915" w:rsidRPr="00B73D27" w:rsidRDefault="00295915" w:rsidP="00295915">
      <w:pPr>
        <w:pStyle w:val="PolicyReferences"/>
      </w:pPr>
      <w:hyperlink r:id="rId15" w:history="1">
        <w:r w:rsidRPr="00B73D27">
          <w:rPr>
            <w:rStyle w:val="SYSHYPERTEXT"/>
          </w:rPr>
          <w:t>ORS 336</w:t>
        </w:r>
      </w:hyperlink>
      <w:r w:rsidRPr="00B73D27">
        <w:t>.187</w:t>
      </w:r>
    </w:p>
    <w:p w14:paraId="23DB83C9" w14:textId="77777777" w:rsidR="00295915" w:rsidRPr="00B73D27" w:rsidRDefault="00295915" w:rsidP="00295915">
      <w:pPr>
        <w:pStyle w:val="PolicyReferences"/>
      </w:pPr>
      <w:hyperlink r:id="rId16" w:history="1">
        <w:r w:rsidRPr="00B73D27">
          <w:rPr>
            <w:rStyle w:val="SYSHYPERTEXT"/>
          </w:rPr>
          <w:t>ORS 338</w:t>
        </w:r>
      </w:hyperlink>
      <w:r w:rsidRPr="00B73D27">
        <w:t>.115(a)</w:t>
      </w:r>
    </w:p>
    <w:p w14:paraId="375B8359" w14:textId="77777777" w:rsidR="00295915" w:rsidRPr="00B73D27" w:rsidRDefault="00295915" w:rsidP="00295915">
      <w:pPr>
        <w:pStyle w:val="PolicyReferences"/>
      </w:pPr>
      <w:hyperlink r:id="rId17" w:history="1">
        <w:r w:rsidRPr="00B73D27">
          <w:rPr>
            <w:rStyle w:val="SYSHYPERTEXT"/>
          </w:rPr>
          <w:t>ORS 339</w:t>
        </w:r>
      </w:hyperlink>
      <w:r w:rsidRPr="00B73D27">
        <w:t>.240</w:t>
      </w:r>
    </w:p>
    <w:p w14:paraId="4CCAB231" w14:textId="77777777" w:rsidR="00295915" w:rsidRPr="00B73D27" w:rsidRDefault="00295915" w:rsidP="00295915">
      <w:pPr>
        <w:pStyle w:val="PolicyReferences"/>
      </w:pPr>
      <w:hyperlink r:id="rId18" w:history="1">
        <w:r w:rsidRPr="00B73D27">
          <w:rPr>
            <w:rStyle w:val="SYSHYPERTEXT"/>
          </w:rPr>
          <w:t>ORS 339</w:t>
        </w:r>
      </w:hyperlink>
      <w:r w:rsidRPr="00B73D27">
        <w:t>.250</w:t>
      </w:r>
    </w:p>
    <w:p w14:paraId="1722D8DF" w14:textId="77777777" w:rsidR="00295915" w:rsidRPr="00B73D27" w:rsidRDefault="00295915" w:rsidP="00295915">
      <w:pPr>
        <w:pStyle w:val="PolicyReferences"/>
      </w:pPr>
      <w:hyperlink r:id="rId19" w:history="1">
        <w:r w:rsidRPr="00B73D27">
          <w:rPr>
            <w:rStyle w:val="SYSHYPERTEXT"/>
          </w:rPr>
          <w:t>ORS 339</w:t>
        </w:r>
      </w:hyperlink>
      <w:r w:rsidRPr="00B73D27">
        <w:t>.252</w:t>
      </w:r>
    </w:p>
    <w:p w14:paraId="2EE69909" w14:textId="77777777" w:rsidR="00295915" w:rsidRPr="00B73D27" w:rsidRDefault="00295915" w:rsidP="00295915">
      <w:pPr>
        <w:pStyle w:val="PolicyReferences"/>
      </w:pPr>
      <w:hyperlink r:id="rId20" w:history="1">
        <w:r w:rsidRPr="00B73D27">
          <w:rPr>
            <w:rStyle w:val="SYSHYPERTEXT"/>
          </w:rPr>
          <w:t>ORS 343</w:t>
        </w:r>
      </w:hyperlink>
      <w:r w:rsidRPr="00B73D27">
        <w:t>.177</w:t>
      </w:r>
    </w:p>
    <w:p w14:paraId="5F89C6AF" w14:textId="77777777" w:rsidR="00295915" w:rsidRPr="00B73D27" w:rsidRDefault="00295915" w:rsidP="00295915">
      <w:pPr>
        <w:pStyle w:val="PolicyReferences"/>
      </w:pPr>
    </w:p>
    <w:bookmarkStart w:id="2" w:name="OAR"/>
    <w:bookmarkEnd w:id="2"/>
    <w:p w14:paraId="43980E4D" w14:textId="77777777" w:rsidR="00295915" w:rsidRPr="00B73D27" w:rsidRDefault="00295915" w:rsidP="00295915">
      <w:pPr>
        <w:pStyle w:val="PolicyReferences"/>
      </w:pPr>
      <w:r w:rsidRPr="00B73D27">
        <w:fldChar w:fldCharType="begin"/>
      </w:r>
      <w:r w:rsidRPr="00B73D27">
        <w:instrText xml:space="preserve">   HYPERLINK "http://policy.osba.org/orsredir.asp?ors=oar-581-015" </w:instrText>
      </w:r>
      <w:r w:rsidRPr="00B73D27">
        <w:fldChar w:fldCharType="separate"/>
      </w:r>
      <w:r w:rsidRPr="00B73D27">
        <w:rPr>
          <w:rStyle w:val="SYSHYPERTEXT"/>
        </w:rPr>
        <w:t>OAR 581-015</w:t>
      </w:r>
      <w:r w:rsidRPr="00B73D27">
        <w:fldChar w:fldCharType="end"/>
      </w:r>
      <w:r w:rsidRPr="00B73D27">
        <w:t>-2400</w:t>
      </w:r>
    </w:p>
    <w:p w14:paraId="3B697AF0" w14:textId="77777777" w:rsidR="00295915" w:rsidRPr="00B73D27" w:rsidRDefault="00295915" w:rsidP="00295915">
      <w:pPr>
        <w:pStyle w:val="PolicyReferences"/>
      </w:pPr>
      <w:hyperlink r:id="rId21" w:history="1">
        <w:r w:rsidRPr="00B73D27">
          <w:rPr>
            <w:rStyle w:val="SYSHYPERTEXT"/>
          </w:rPr>
          <w:t>OAR 581-015</w:t>
        </w:r>
      </w:hyperlink>
      <w:r w:rsidRPr="00B73D27">
        <w:t>-2405</w:t>
      </w:r>
    </w:p>
    <w:p w14:paraId="589E104B" w14:textId="77777777" w:rsidR="00295915" w:rsidRPr="00B73D27" w:rsidRDefault="00295915" w:rsidP="00295915">
      <w:pPr>
        <w:pStyle w:val="PolicyReferences"/>
      </w:pPr>
      <w:hyperlink r:id="rId22" w:history="1">
        <w:r w:rsidRPr="00B73D27">
          <w:rPr>
            <w:rStyle w:val="SYSHYPERTEXT"/>
          </w:rPr>
          <w:t>OAR 581-015</w:t>
        </w:r>
      </w:hyperlink>
      <w:r w:rsidRPr="00B73D27">
        <w:t>-2410</w:t>
      </w:r>
    </w:p>
    <w:p w14:paraId="42E3F58C" w14:textId="77777777" w:rsidR="00295915" w:rsidRPr="00B73D27" w:rsidRDefault="00295915" w:rsidP="00295915">
      <w:pPr>
        <w:pStyle w:val="PolicyReferences"/>
      </w:pPr>
      <w:hyperlink r:id="rId23" w:history="1">
        <w:r w:rsidRPr="00B73D27">
          <w:rPr>
            <w:rStyle w:val="SYSHYPERTEXT"/>
          </w:rPr>
          <w:t>OAR 581-015</w:t>
        </w:r>
      </w:hyperlink>
      <w:r w:rsidRPr="00B73D27">
        <w:t>-2415</w:t>
      </w:r>
    </w:p>
    <w:p w14:paraId="3E4FCFB4" w14:textId="77777777" w:rsidR="00295915" w:rsidRPr="00B73D27" w:rsidRDefault="00295915" w:rsidP="00295915">
      <w:pPr>
        <w:pStyle w:val="PolicyReferences"/>
      </w:pPr>
      <w:hyperlink r:id="rId24" w:history="1">
        <w:r w:rsidRPr="00B73D27">
          <w:rPr>
            <w:rStyle w:val="SYSHYPERTEXT"/>
          </w:rPr>
          <w:t>OAR 581-015</w:t>
        </w:r>
      </w:hyperlink>
      <w:r w:rsidRPr="00B73D27">
        <w:t>-2420</w:t>
      </w:r>
    </w:p>
    <w:p w14:paraId="16E0100C" w14:textId="77777777" w:rsidR="00295915" w:rsidRPr="00B73D27" w:rsidRDefault="00295915" w:rsidP="00295915">
      <w:pPr>
        <w:pStyle w:val="PolicyReferences"/>
      </w:pPr>
      <w:hyperlink r:id="rId25" w:history="1">
        <w:r w:rsidRPr="00B73D27">
          <w:rPr>
            <w:rStyle w:val="SYSHYPERTEXT"/>
          </w:rPr>
          <w:t>OAR 581-015</w:t>
        </w:r>
      </w:hyperlink>
      <w:r w:rsidRPr="00B73D27">
        <w:t>-2425</w:t>
      </w:r>
    </w:p>
    <w:p w14:paraId="2CD4662A" w14:textId="77777777" w:rsidR="00295915" w:rsidRPr="00B73D27" w:rsidRDefault="00295915" w:rsidP="00295915">
      <w:pPr>
        <w:pStyle w:val="PolicyReferences"/>
      </w:pPr>
      <w:hyperlink r:id="rId26" w:history="1">
        <w:r w:rsidRPr="00B73D27">
          <w:rPr>
            <w:rStyle w:val="SYSHYPERTEXT"/>
          </w:rPr>
          <w:t>OAR 581-015</w:t>
        </w:r>
      </w:hyperlink>
      <w:r w:rsidRPr="00B73D27">
        <w:t>-2430</w:t>
      </w:r>
    </w:p>
    <w:p w14:paraId="6B602FDF" w14:textId="77777777" w:rsidR="00295915" w:rsidRPr="00B73D27" w:rsidRDefault="00295915" w:rsidP="00295915">
      <w:pPr>
        <w:pStyle w:val="PolicyReferences"/>
      </w:pPr>
      <w:hyperlink r:id="rId27" w:history="1">
        <w:r w:rsidRPr="00B73D27">
          <w:rPr>
            <w:rStyle w:val="SYSHYPERTEXT"/>
          </w:rPr>
          <w:t>OAR 581-015</w:t>
        </w:r>
      </w:hyperlink>
      <w:r w:rsidRPr="00B73D27">
        <w:t>-2435</w:t>
      </w:r>
    </w:p>
    <w:p w14:paraId="64197D50" w14:textId="77777777" w:rsidR="00295915" w:rsidRPr="00B73D27" w:rsidRDefault="00295915" w:rsidP="00295915">
      <w:pPr>
        <w:pStyle w:val="PolicyReferences"/>
        <w:sectPr w:rsidR="00295915" w:rsidRPr="00B73D27" w:rsidSect="00295915">
          <w:footerReference w:type="default" r:id="rId28"/>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29" w:history="1">
        <w:r w:rsidRPr="00B73D27">
          <w:rPr>
            <w:rStyle w:val="SYSHYPERTEXT"/>
          </w:rPr>
          <w:t>OAR 581-015</w:t>
        </w:r>
      </w:hyperlink>
      <w:r w:rsidRPr="00B73D27">
        <w:t>-2440</w:t>
      </w:r>
    </w:p>
    <w:p w14:paraId="40E95748" w14:textId="77777777" w:rsidR="00295915" w:rsidRPr="00B73D27" w:rsidRDefault="00295915" w:rsidP="00295915">
      <w:pPr>
        <w:pStyle w:val="PolicyReferences"/>
      </w:pPr>
    </w:p>
    <w:p w14:paraId="52C62A3D" w14:textId="37C71575" w:rsidR="00295915" w:rsidRPr="00B73D27" w:rsidRDefault="00295915" w:rsidP="00295915">
      <w:pPr>
        <w:pStyle w:val="PolicyReferences"/>
      </w:pPr>
      <w:r w:rsidRPr="00B73D27">
        <w:t>Individuals with Disabilities Education Act (IDEA), 20 U.S.C. § 1415(k) (</w:t>
      </w:r>
      <w:r w:rsidR="00FD4DA4" w:rsidRPr="00B73D27">
        <w:t>2012</w:t>
      </w:r>
      <w:r w:rsidRPr="00B73D27">
        <w:t>).</w:t>
      </w:r>
    </w:p>
    <w:p w14:paraId="0A8153A5" w14:textId="77777777" w:rsidR="00B6669B" w:rsidRPr="00B73D27" w:rsidRDefault="00295915" w:rsidP="00295915">
      <w:pPr>
        <w:pStyle w:val="PolicyReferences"/>
      </w:pPr>
      <w:r w:rsidRPr="00B73D27">
        <w:t>Assistance to States for the Education of Children with Disabilities, 34 C.F.R. § 300.507, § 300.508(a)-(c); §§ 300.510-300.514; §§ 300.530-300.536 (2017).</w:t>
      </w:r>
      <w:bookmarkStart w:id="3" w:name="LawsEnd"/>
      <w:bookmarkEnd w:id="3"/>
    </w:p>
    <w:p w14:paraId="7A93E4FB" w14:textId="77777777" w:rsidR="00B73D27" w:rsidRPr="00B73D27" w:rsidRDefault="00B73D27" w:rsidP="00295915">
      <w:pPr>
        <w:pStyle w:val="PolicyReferences"/>
      </w:pPr>
    </w:p>
    <w:p w14:paraId="06FCEEC9" w14:textId="77777777" w:rsidR="00B73D27" w:rsidRPr="00B73D27" w:rsidRDefault="00B73D27" w:rsidP="00295915">
      <w:pPr>
        <w:pStyle w:val="PolicyReferences"/>
      </w:pPr>
    </w:p>
    <w:p w14:paraId="1ED3A590" w14:textId="6099FE51" w:rsidR="00B73D27" w:rsidRPr="00B73D27" w:rsidRDefault="00B73D27" w:rsidP="00B73D27">
      <w:pPr>
        <w:pStyle w:val="PolicyReferences"/>
        <w:rPr>
          <w:b/>
        </w:rPr>
      </w:pPr>
      <w:bookmarkStart w:id="4" w:name="XREFS"/>
      <w:bookmarkEnd w:id="4"/>
      <w:r w:rsidRPr="00B73D27">
        <w:rPr>
          <w:b/>
        </w:rPr>
        <w:t>Cross Reference(s):</w:t>
      </w:r>
    </w:p>
    <w:p w14:paraId="35BCA724" w14:textId="77777777" w:rsidR="00B73D27" w:rsidRPr="00B73D27" w:rsidRDefault="00B73D27" w:rsidP="00B73D27">
      <w:pPr>
        <w:pStyle w:val="PolicyReferences"/>
      </w:pPr>
    </w:p>
    <w:p w14:paraId="3685D885" w14:textId="464303AF" w:rsidR="00B73D27" w:rsidRPr="00B73D27" w:rsidRDefault="00B73D27" w:rsidP="00B73D27">
      <w:pPr>
        <w:pStyle w:val="PolicyReferences"/>
      </w:pPr>
      <w:r w:rsidRPr="00B73D27">
        <w:t>JFCJ - Weapons in School</w:t>
      </w:r>
    </w:p>
    <w:p w14:paraId="1FD0AFAB" w14:textId="13F12BEA" w:rsidR="00B73D27" w:rsidRPr="00B73D27" w:rsidRDefault="00B73D27" w:rsidP="00B73D27">
      <w:pPr>
        <w:pStyle w:val="PolicyReferences"/>
      </w:pPr>
      <w:r w:rsidRPr="00B73D27">
        <w:t>JGAB - Use of Restraint or Seclusion</w:t>
      </w:r>
    </w:p>
    <w:sectPr w:rsidR="00B73D27" w:rsidRPr="00B73D27" w:rsidSect="00295915">
      <w:footerReference w:type="default" r:id="rId30"/>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5745E" w14:textId="77777777" w:rsidR="00295915" w:rsidRDefault="00295915" w:rsidP="00FC3907">
      <w:r>
        <w:separator/>
      </w:r>
    </w:p>
  </w:endnote>
  <w:endnote w:type="continuationSeparator" w:id="0">
    <w:p w14:paraId="2D01E4CC" w14:textId="77777777" w:rsidR="00295915" w:rsidRDefault="0029591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2EB28" w14:textId="77777777" w:rsidR="00701303" w:rsidRDefault="007013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95915" w14:paraId="05987939" w14:textId="77777777" w:rsidTr="004616AD">
      <w:tc>
        <w:tcPr>
          <w:tcW w:w="2340" w:type="dxa"/>
        </w:tcPr>
        <w:p w14:paraId="5DA77563" w14:textId="271F6A42" w:rsidR="00295915" w:rsidRDefault="00295915" w:rsidP="004616AD">
          <w:pPr>
            <w:pStyle w:val="Footer"/>
            <w:rPr>
              <w:noProof/>
              <w:sz w:val="20"/>
            </w:rPr>
          </w:pPr>
        </w:p>
      </w:tc>
      <w:tc>
        <w:tcPr>
          <w:tcW w:w="7956" w:type="dxa"/>
        </w:tcPr>
        <w:p w14:paraId="7C4F40D6" w14:textId="77777777" w:rsidR="00295915" w:rsidRDefault="00295915" w:rsidP="004616AD">
          <w:pPr>
            <w:pStyle w:val="Footer"/>
            <w:jc w:val="right"/>
          </w:pPr>
          <w:r>
            <w:t>Discipline of Students with Disabilities** – JGDA</w:t>
          </w:r>
        </w:p>
        <w:p w14:paraId="077744D6" w14:textId="77777777" w:rsidR="00295915" w:rsidRDefault="0029591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56F2B04" w14:textId="77777777" w:rsidR="00295915" w:rsidRPr="00782930" w:rsidRDefault="00295915"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2F28A" w14:textId="77777777" w:rsidR="00701303" w:rsidRDefault="007013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95915" w14:paraId="64800AAD" w14:textId="77777777" w:rsidTr="004616AD">
      <w:tc>
        <w:tcPr>
          <w:tcW w:w="2340" w:type="dxa"/>
        </w:tcPr>
        <w:p w14:paraId="70DA66FF" w14:textId="77777777" w:rsidR="00295915" w:rsidRDefault="00295915" w:rsidP="004616AD">
          <w:pPr>
            <w:pStyle w:val="Footer"/>
            <w:rPr>
              <w:noProof/>
              <w:sz w:val="20"/>
            </w:rPr>
          </w:pPr>
          <w:r>
            <w:rPr>
              <w:noProof/>
              <w:sz w:val="20"/>
            </w:rPr>
            <w:t>R4/17/17│RS</w:t>
          </w:r>
        </w:p>
      </w:tc>
      <w:tc>
        <w:tcPr>
          <w:tcW w:w="7956" w:type="dxa"/>
        </w:tcPr>
        <w:p w14:paraId="05AE40A6" w14:textId="77777777" w:rsidR="00295915" w:rsidRDefault="00295915" w:rsidP="004616AD">
          <w:pPr>
            <w:pStyle w:val="Footer"/>
            <w:jc w:val="right"/>
          </w:pPr>
          <w:r>
            <w:t>Discipline of Students with Disabilities** – JGDA</w:t>
          </w:r>
        </w:p>
        <w:p w14:paraId="08F2C519" w14:textId="77777777" w:rsidR="00295915" w:rsidRDefault="0029591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F266A56" w14:textId="77777777" w:rsidR="00295915" w:rsidRPr="00782930" w:rsidRDefault="00295915"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95915" w14:paraId="7935DFE1" w14:textId="77777777" w:rsidTr="004616AD">
      <w:tc>
        <w:tcPr>
          <w:tcW w:w="2340" w:type="dxa"/>
        </w:tcPr>
        <w:p w14:paraId="2BA3C8A8" w14:textId="77777777" w:rsidR="00295915" w:rsidRDefault="00295915" w:rsidP="004616AD">
          <w:pPr>
            <w:pStyle w:val="Footer"/>
            <w:rPr>
              <w:noProof/>
              <w:sz w:val="20"/>
            </w:rPr>
          </w:pPr>
          <w:r>
            <w:rPr>
              <w:noProof/>
              <w:sz w:val="20"/>
            </w:rPr>
            <w:t>R4/17/17│RS</w:t>
          </w:r>
        </w:p>
      </w:tc>
      <w:tc>
        <w:tcPr>
          <w:tcW w:w="7956" w:type="dxa"/>
        </w:tcPr>
        <w:p w14:paraId="4555AB80" w14:textId="77777777" w:rsidR="00295915" w:rsidRDefault="00295915" w:rsidP="004616AD">
          <w:pPr>
            <w:pStyle w:val="Footer"/>
            <w:jc w:val="right"/>
          </w:pPr>
          <w:r>
            <w:t>Discipline of Students with Disabilities** – JGDA</w:t>
          </w:r>
        </w:p>
        <w:p w14:paraId="02A11882" w14:textId="77777777" w:rsidR="00295915" w:rsidRDefault="0029591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2DAC4D6" w14:textId="77777777" w:rsidR="00295915" w:rsidRPr="00782930" w:rsidRDefault="00295915"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EB260" w14:textId="77777777" w:rsidR="00295915" w:rsidRDefault="00295915" w:rsidP="00FC3907">
      <w:r>
        <w:separator/>
      </w:r>
    </w:p>
  </w:footnote>
  <w:footnote w:type="continuationSeparator" w:id="0">
    <w:p w14:paraId="12DD4CAC" w14:textId="77777777" w:rsidR="00295915" w:rsidRDefault="00295915" w:rsidP="00FC3907">
      <w:r>
        <w:continuationSeparator/>
      </w:r>
    </w:p>
  </w:footnote>
  <w:footnote w:id="1">
    <w:p w14:paraId="38EC8182" w14:textId="19D8953B" w:rsidR="00295915" w:rsidRDefault="00295915">
      <w:pPr>
        <w:pStyle w:val="FootnoteText"/>
      </w:pPr>
      <w:r>
        <w:rPr>
          <w:rStyle w:val="FootnoteReference"/>
        </w:rPr>
        <w:footnoteRef/>
      </w:r>
      <w:r>
        <w:t xml:space="preserve"> </w:t>
      </w:r>
      <w:r w:rsidR="004D21EA">
        <w:t>“</w:t>
      </w:r>
      <w:r>
        <w:t>District,</w:t>
      </w:r>
      <w:r w:rsidR="004D21EA">
        <w:t>”</w:t>
      </w:r>
      <w:r>
        <w:t xml:space="preserve"> for the purpose of this policy, means the district in which the public charter school is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10324" w14:textId="77777777" w:rsidR="00701303" w:rsidRPr="004D21EA" w:rsidRDefault="007013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34140" w14:textId="77777777" w:rsidR="00701303" w:rsidRDefault="007013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815E" w14:textId="77777777" w:rsidR="00701303" w:rsidRDefault="007013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032145853">
    <w:abstractNumId w:val="7"/>
  </w:num>
  <w:num w:numId="2" w16cid:durableId="64841770">
    <w:abstractNumId w:val="4"/>
  </w:num>
  <w:num w:numId="3" w16cid:durableId="1169252391">
    <w:abstractNumId w:val="4"/>
  </w:num>
  <w:num w:numId="4" w16cid:durableId="900286853">
    <w:abstractNumId w:val="3"/>
  </w:num>
  <w:num w:numId="5" w16cid:durableId="1236283744">
    <w:abstractNumId w:val="3"/>
  </w:num>
  <w:num w:numId="6" w16cid:durableId="1345404176">
    <w:abstractNumId w:val="2"/>
  </w:num>
  <w:num w:numId="7" w16cid:durableId="28730600">
    <w:abstractNumId w:val="2"/>
  </w:num>
  <w:num w:numId="8" w16cid:durableId="1859465183">
    <w:abstractNumId w:val="1"/>
  </w:num>
  <w:num w:numId="9" w16cid:durableId="1090353339">
    <w:abstractNumId w:val="1"/>
  </w:num>
  <w:num w:numId="10" w16cid:durableId="529727759">
    <w:abstractNumId w:val="0"/>
  </w:num>
  <w:num w:numId="11" w16cid:durableId="1039666511">
    <w:abstractNumId w:val="0"/>
  </w:num>
  <w:num w:numId="12" w16cid:durableId="1902866089">
    <w:abstractNumId w:val="6"/>
  </w:num>
  <w:num w:numId="13" w16cid:durableId="1890528421">
    <w:abstractNumId w:val="9"/>
  </w:num>
  <w:num w:numId="14" w16cid:durableId="1593706353">
    <w:abstractNumId w:val="8"/>
  </w:num>
  <w:num w:numId="15" w16cid:durableId="11394188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07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737"/>
    <w:rsid w:val="00151EC6"/>
    <w:rsid w:val="00156EA7"/>
    <w:rsid w:val="0018025F"/>
    <w:rsid w:val="001C1D43"/>
    <w:rsid w:val="001C3978"/>
    <w:rsid w:val="001C5C15"/>
    <w:rsid w:val="001E1260"/>
    <w:rsid w:val="001E7AE7"/>
    <w:rsid w:val="001F4D2D"/>
    <w:rsid w:val="0021369D"/>
    <w:rsid w:val="00217190"/>
    <w:rsid w:val="00224022"/>
    <w:rsid w:val="002345DA"/>
    <w:rsid w:val="00245C46"/>
    <w:rsid w:val="00246025"/>
    <w:rsid w:val="0028031C"/>
    <w:rsid w:val="00280B93"/>
    <w:rsid w:val="002821D2"/>
    <w:rsid w:val="00284A5E"/>
    <w:rsid w:val="00286D2D"/>
    <w:rsid w:val="00295915"/>
    <w:rsid w:val="002A7657"/>
    <w:rsid w:val="002C77C7"/>
    <w:rsid w:val="002F4D33"/>
    <w:rsid w:val="002F7C67"/>
    <w:rsid w:val="00305489"/>
    <w:rsid w:val="00306B03"/>
    <w:rsid w:val="00311B2D"/>
    <w:rsid w:val="003233D7"/>
    <w:rsid w:val="003234E0"/>
    <w:rsid w:val="00346329"/>
    <w:rsid w:val="00354BAF"/>
    <w:rsid w:val="00355C5E"/>
    <w:rsid w:val="00361BAF"/>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D21EA"/>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542"/>
    <w:rsid w:val="00620A00"/>
    <w:rsid w:val="00621D2B"/>
    <w:rsid w:val="00625A1F"/>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01303"/>
    <w:rsid w:val="0073390E"/>
    <w:rsid w:val="00734CF6"/>
    <w:rsid w:val="00737933"/>
    <w:rsid w:val="007405D2"/>
    <w:rsid w:val="007443E2"/>
    <w:rsid w:val="007519A6"/>
    <w:rsid w:val="00752B2D"/>
    <w:rsid w:val="00754B98"/>
    <w:rsid w:val="00763A99"/>
    <w:rsid w:val="00782930"/>
    <w:rsid w:val="00784DE2"/>
    <w:rsid w:val="00790DBF"/>
    <w:rsid w:val="007A0E9B"/>
    <w:rsid w:val="007A34A7"/>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4DB"/>
    <w:rsid w:val="009C4D2A"/>
    <w:rsid w:val="009D09C0"/>
    <w:rsid w:val="009D427B"/>
    <w:rsid w:val="009D6C26"/>
    <w:rsid w:val="009F2011"/>
    <w:rsid w:val="009F24C0"/>
    <w:rsid w:val="009F4F41"/>
    <w:rsid w:val="009F694C"/>
    <w:rsid w:val="009F7274"/>
    <w:rsid w:val="00A03816"/>
    <w:rsid w:val="00A15392"/>
    <w:rsid w:val="00A20986"/>
    <w:rsid w:val="00A268EF"/>
    <w:rsid w:val="00A312B5"/>
    <w:rsid w:val="00A61DAA"/>
    <w:rsid w:val="00A71E39"/>
    <w:rsid w:val="00A7204A"/>
    <w:rsid w:val="00A967F8"/>
    <w:rsid w:val="00AC3EDD"/>
    <w:rsid w:val="00AC5141"/>
    <w:rsid w:val="00AC6972"/>
    <w:rsid w:val="00AE1154"/>
    <w:rsid w:val="00AF3E4D"/>
    <w:rsid w:val="00AF6F27"/>
    <w:rsid w:val="00B01ACE"/>
    <w:rsid w:val="00B04433"/>
    <w:rsid w:val="00B22BEC"/>
    <w:rsid w:val="00B239E5"/>
    <w:rsid w:val="00B24778"/>
    <w:rsid w:val="00B3442C"/>
    <w:rsid w:val="00B36427"/>
    <w:rsid w:val="00B4113F"/>
    <w:rsid w:val="00B44352"/>
    <w:rsid w:val="00B50005"/>
    <w:rsid w:val="00B637AA"/>
    <w:rsid w:val="00B659D3"/>
    <w:rsid w:val="00B6669B"/>
    <w:rsid w:val="00B70CD3"/>
    <w:rsid w:val="00B73D27"/>
    <w:rsid w:val="00B76A55"/>
    <w:rsid w:val="00B93330"/>
    <w:rsid w:val="00B94A90"/>
    <w:rsid w:val="00BA02CC"/>
    <w:rsid w:val="00BA54B2"/>
    <w:rsid w:val="00BB2371"/>
    <w:rsid w:val="00BC4150"/>
    <w:rsid w:val="00BC6D2F"/>
    <w:rsid w:val="00BD65DF"/>
    <w:rsid w:val="00BE44C8"/>
    <w:rsid w:val="00BE450C"/>
    <w:rsid w:val="00BE5ECB"/>
    <w:rsid w:val="00BF1386"/>
    <w:rsid w:val="00C04F63"/>
    <w:rsid w:val="00C21664"/>
    <w:rsid w:val="00C25368"/>
    <w:rsid w:val="00C33AB4"/>
    <w:rsid w:val="00C42489"/>
    <w:rsid w:val="00C430FD"/>
    <w:rsid w:val="00C628DF"/>
    <w:rsid w:val="00C71516"/>
    <w:rsid w:val="00C82AB8"/>
    <w:rsid w:val="00CB18D4"/>
    <w:rsid w:val="00CB5D00"/>
    <w:rsid w:val="00CC11B1"/>
    <w:rsid w:val="00CC2690"/>
    <w:rsid w:val="00CC7D46"/>
    <w:rsid w:val="00CE3549"/>
    <w:rsid w:val="00CE482D"/>
    <w:rsid w:val="00CF6EF5"/>
    <w:rsid w:val="00D01C38"/>
    <w:rsid w:val="00D07014"/>
    <w:rsid w:val="00D30A92"/>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4DA4"/>
    <w:rsid w:val="00FD60A2"/>
    <w:rsid w:val="00FE2BCF"/>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F9D6A7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2959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hyperlink" Target="http://policy.osba.org/orsredir.asp?ors=oar-581-015" TargetMode="External"/><Relationship Id="rId3" Type="http://schemas.openxmlformats.org/officeDocument/2006/relationships/styles" Target="styles.xml"/><Relationship Id="rId21" Type="http://schemas.openxmlformats.org/officeDocument/2006/relationships/hyperlink" Target="http://policy.osba.org/orsredir.asp?ors=oar-581-015"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5" Type="http://schemas.openxmlformats.org/officeDocument/2006/relationships/hyperlink" Target="http://policy.osba.org/orsredir.asp?ors=oar-581-015" TargetMode="External"/><Relationship Id="rId2" Type="http://schemas.openxmlformats.org/officeDocument/2006/relationships/numbering" Target="numbering.xml"/><Relationship Id="rId16" Type="http://schemas.openxmlformats.org/officeDocument/2006/relationships/hyperlink" Target="http://policy.osba.org/orsredir.asp?ors=ors-338" TargetMode="External"/><Relationship Id="rId20" Type="http://schemas.openxmlformats.org/officeDocument/2006/relationships/hyperlink" Target="http://policy.osba.org/orsredir.asp?ors=ors-343" TargetMode="External"/><Relationship Id="rId29" Type="http://schemas.openxmlformats.org/officeDocument/2006/relationships/hyperlink" Target="http://policy.osba.org/orsredir.asp?ors=oar-581-0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015"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336" TargetMode="External"/><Relationship Id="rId23" Type="http://schemas.openxmlformats.org/officeDocument/2006/relationships/hyperlink" Target="http://policy.osba.org/orsredir.asp?ors=oar-581-015"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26" TargetMode="External"/><Relationship Id="rId22" Type="http://schemas.openxmlformats.org/officeDocument/2006/relationships/hyperlink" Target="http://policy.osba.org/orsredir.asp?ors=oar-581-015" TargetMode="External"/><Relationship Id="rId27" Type="http://schemas.openxmlformats.org/officeDocument/2006/relationships/hyperlink" Target="http://policy.osba.org/orsredir.asp?ors=oar-581-015" TargetMode="External"/><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0BF3C-3CEB-4966-A54D-A60FC827B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684</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JGDA - Discipline of Students with Disabilities**</dc:title>
  <dc:subject>Lourdes Board Policy</dc:subject>
  <dc:creator>Oregon School Boards Association</dc:creator>
  <cp:keywords/>
  <dc:description/>
  <cp:lastModifiedBy>Colleen Allen</cp:lastModifiedBy>
  <cp:revision>16</cp:revision>
  <dcterms:created xsi:type="dcterms:W3CDTF">2018-03-09T23:23:00Z</dcterms:created>
  <dcterms:modified xsi:type="dcterms:W3CDTF">2025-05-22T15:54:00Z</dcterms:modified>
</cp:coreProperties>
</file>