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A7770" w14:textId="77777777" w:rsidR="00B6454B" w:rsidRPr="00976D56" w:rsidRDefault="00B6454B" w:rsidP="001E1260">
      <w:pPr>
        <w:pStyle w:val="PolicyTitleBox"/>
      </w:pPr>
      <w:r>
        <w:t>Lourdes Public Charter School</w:t>
      </w:r>
    </w:p>
    <w:p w14:paraId="399397E6" w14:textId="77777777" w:rsidR="00CC7D46" w:rsidRDefault="00CC7D46" w:rsidP="00CC7D46"/>
    <w:p w14:paraId="6E37184F" w14:textId="77777777" w:rsidR="001E1260" w:rsidRDefault="001E1260" w:rsidP="001E1260">
      <w:pPr>
        <w:pStyle w:val="PolicyCode"/>
      </w:pPr>
      <w:r>
        <w:t>Code:</w:t>
      </w:r>
      <w:r>
        <w:tab/>
      </w:r>
      <w:r w:rsidR="008A0F99">
        <w:t>JE</w:t>
      </w:r>
    </w:p>
    <w:p w14:paraId="52AC9306" w14:textId="60B5C0F2" w:rsidR="001E1260" w:rsidRDefault="001E1260" w:rsidP="001E1260">
      <w:pPr>
        <w:pStyle w:val="PolicyCode"/>
      </w:pPr>
      <w:r>
        <w:t>Adopted:</w:t>
      </w:r>
      <w:r>
        <w:tab/>
      </w:r>
      <w:r w:rsidR="002612E7">
        <w:t>4/28/25</w:t>
      </w:r>
    </w:p>
    <w:p w14:paraId="41911EA1" w14:textId="77777777" w:rsidR="001E1260" w:rsidRPr="001E1260" w:rsidRDefault="001E1260" w:rsidP="00CC7D46"/>
    <w:p w14:paraId="7750CAF8" w14:textId="77777777" w:rsidR="00EF573E" w:rsidRDefault="008A0F99" w:rsidP="00EF573E">
      <w:pPr>
        <w:pStyle w:val="PolicyTitle"/>
      </w:pPr>
      <w:r>
        <w:t>Attendance**</w:t>
      </w:r>
    </w:p>
    <w:p w14:paraId="71878D0B" w14:textId="77777777" w:rsidR="00EF573E" w:rsidRDefault="00EF573E" w:rsidP="00EF573E"/>
    <w:p w14:paraId="783AD00F" w14:textId="77777777" w:rsidR="008A0F99" w:rsidRDefault="008A0F99" w:rsidP="008A0F99">
      <w:pPr>
        <w:pStyle w:val="PolicyBodyText"/>
      </w:pPr>
      <w:r>
        <w:t>Attendance requirements are to:</w:t>
      </w:r>
    </w:p>
    <w:p w14:paraId="034CD367" w14:textId="77777777" w:rsidR="008A0F99" w:rsidRDefault="008A0F99" w:rsidP="008A0F99">
      <w:pPr>
        <w:pStyle w:val="PolicyBodyText"/>
      </w:pPr>
    </w:p>
    <w:p w14:paraId="3556C4F3" w14:textId="77777777" w:rsidR="008A0F99" w:rsidRDefault="008A0F99" w:rsidP="008A0F99">
      <w:pPr>
        <w:pStyle w:val="Level1"/>
      </w:pPr>
      <w:r>
        <w:t>Contribute to the academic success of students;</w:t>
      </w:r>
    </w:p>
    <w:p w14:paraId="5CCE7066" w14:textId="1C459A38" w:rsidR="008A0F99" w:rsidRDefault="008A0F99" w:rsidP="008A0F99">
      <w:pPr>
        <w:pStyle w:val="Level1"/>
      </w:pPr>
      <w:r>
        <w:t>Inform parents about their student</w:t>
      </w:r>
      <w:r w:rsidR="008D74BC">
        <w:t>’</w:t>
      </w:r>
      <w:r>
        <w:t>s class attendance or nonattendance;</w:t>
      </w:r>
    </w:p>
    <w:p w14:paraId="76BAECE4" w14:textId="77777777" w:rsidR="008A0F99" w:rsidRDefault="008A0F99" w:rsidP="008A0F99">
      <w:pPr>
        <w:pStyle w:val="Level1"/>
      </w:pPr>
      <w:r>
        <w:t>Place the responsibility for attendance in the hands of students and their parents;</w:t>
      </w:r>
    </w:p>
    <w:p w14:paraId="7C1EDFFC" w14:textId="77777777" w:rsidR="008A0F99" w:rsidRDefault="008A0F99" w:rsidP="008A0F99">
      <w:pPr>
        <w:pStyle w:val="Level1"/>
      </w:pPr>
      <w:r>
        <w:t>Aid students in making decisions and accepting the responsibilities and consequences resulting from those decisions;</w:t>
      </w:r>
    </w:p>
    <w:p w14:paraId="4783BBCF" w14:textId="77777777" w:rsidR="008A0F99" w:rsidRDefault="008A0F99" w:rsidP="008A0F99">
      <w:pPr>
        <w:pStyle w:val="Level1"/>
      </w:pPr>
      <w:r>
        <w:t>Stress that punctual and regular attendance is a learned function necessary in coping with life;</w:t>
      </w:r>
    </w:p>
    <w:p w14:paraId="23C8D861" w14:textId="39AD4228" w:rsidR="008A0F99" w:rsidRDefault="008A0F99" w:rsidP="008A0F99">
      <w:pPr>
        <w:pStyle w:val="Level1"/>
      </w:pPr>
      <w:r>
        <w:t>Stress attendance may impact grades and credit</w:t>
      </w:r>
      <w:r w:rsidR="00680FA2">
        <w:t>.</w:t>
      </w:r>
    </w:p>
    <w:p w14:paraId="0C06C9A4" w14:textId="77777777" w:rsidR="008A0F99" w:rsidRDefault="008A0F99" w:rsidP="008A0F99">
      <w:pPr>
        <w:pStyle w:val="PolicyBodyText"/>
      </w:pPr>
      <w:r>
        <w:t>Each school shall notify parents or guardians by the end of the school day if their child has an unplanned absence. The notification will be either in person, by telephone or another method identified in writing by the parent or guardian. If the parent or guardian cannot be notified by the above methods, a message shall be left, if possible.</w:t>
      </w:r>
    </w:p>
    <w:p w14:paraId="7B724DD9" w14:textId="77777777" w:rsidR="008A0F99" w:rsidRDefault="008A0F99" w:rsidP="008A0F99">
      <w:pPr>
        <w:pStyle w:val="PolicyBodyText"/>
      </w:pPr>
    </w:p>
    <w:p w14:paraId="6B2183A7" w14:textId="2DB518F6" w:rsidR="008A0F99" w:rsidRDefault="008A0F99" w:rsidP="008A0F99">
      <w:pPr>
        <w:pStyle w:val="PolicyBodyText"/>
      </w:pPr>
      <w:r>
        <w:t xml:space="preserve">The Board directs the public charter school </w:t>
      </w:r>
      <w:r w:rsidR="00680FA2">
        <w:t>administrator</w:t>
      </w:r>
      <w:r>
        <w:t xml:space="preserve"> to develop rules which meet these objectives and to publish those rules annually for students and their parents.</w:t>
      </w:r>
    </w:p>
    <w:p w14:paraId="7FC48763" w14:textId="77777777" w:rsidR="008A0F99" w:rsidRDefault="008A0F99" w:rsidP="008A0F99">
      <w:pPr>
        <w:pStyle w:val="PolicyBodyText"/>
      </w:pPr>
    </w:p>
    <w:p w14:paraId="318AEC8F" w14:textId="77777777" w:rsidR="008A0F99" w:rsidRDefault="008A0F99" w:rsidP="008A0F99">
      <w:pPr>
        <w:pStyle w:val="PolicyBodyText"/>
      </w:pPr>
      <w:r>
        <w:t>END OF POLICY</w:t>
      </w:r>
    </w:p>
    <w:p w14:paraId="39A1ECB6" w14:textId="77777777" w:rsidR="008A0F99" w:rsidRDefault="008A0F99" w:rsidP="008A0F99">
      <w:pPr>
        <w:pStyle w:val="PolicyLine"/>
      </w:pPr>
    </w:p>
    <w:p w14:paraId="1402D5E4" w14:textId="77777777" w:rsidR="008A0F99" w:rsidRPr="0023571D" w:rsidRDefault="008A0F99" w:rsidP="00EC58B1">
      <w:pPr>
        <w:pStyle w:val="PolicyReferencesHeading"/>
      </w:pPr>
      <w:r w:rsidRPr="008A0F99">
        <w:t>Legal Reference(s):</w:t>
      </w:r>
    </w:p>
    <w:p w14:paraId="4BD44227" w14:textId="77777777" w:rsidR="008A0F99" w:rsidRDefault="008A0F99" w:rsidP="008A0F99">
      <w:pPr>
        <w:pStyle w:val="PolicyReferences"/>
      </w:pPr>
    </w:p>
    <w:p w14:paraId="28FAA018" w14:textId="77777777" w:rsidR="008A0F99" w:rsidRDefault="008A0F99" w:rsidP="008A0F99">
      <w:pPr>
        <w:pStyle w:val="PolicyReferences"/>
        <w:sectPr w:rsidR="008A0F99" w:rsidSect="008A0F9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31DC8EF6" w14:textId="77777777" w:rsidR="008A0F99" w:rsidRDefault="008A0F99" w:rsidP="008A0F99">
      <w:pPr>
        <w:pStyle w:val="PolicyReferences"/>
      </w:pPr>
      <w:r>
        <w:fldChar w:fldCharType="begin"/>
      </w:r>
      <w:r>
        <w:instrText xml:space="preserve">   HYPERLINK "http://policy.osba.org/orsredir.asp?ors=ors-336" </w:instrText>
      </w:r>
      <w:r>
        <w:fldChar w:fldCharType="separate"/>
      </w:r>
      <w:r>
        <w:rPr>
          <w:rStyle w:val="SYSHYPERTEXT"/>
        </w:rPr>
        <w:t>ORS 336</w:t>
      </w:r>
      <w:r>
        <w:fldChar w:fldCharType="end"/>
      </w:r>
      <w:r>
        <w:t>.010</w:t>
      </w:r>
    </w:p>
    <w:p w14:paraId="75654FD3" w14:textId="77777777" w:rsidR="008A0F99" w:rsidRDefault="008A0F99" w:rsidP="008A0F99">
      <w:pPr>
        <w:pStyle w:val="PolicyReferences"/>
      </w:pPr>
      <w:hyperlink r:id="rId14" w:history="1">
        <w:r>
          <w:rPr>
            <w:rStyle w:val="SYSHYPERTEXT"/>
          </w:rPr>
          <w:t>ORS 338</w:t>
        </w:r>
      </w:hyperlink>
      <w:r>
        <w:t>.115(2)</w:t>
      </w:r>
    </w:p>
    <w:p w14:paraId="4AB45766" w14:textId="77777777" w:rsidR="008A0F99" w:rsidRDefault="008A0F99" w:rsidP="008A0F99">
      <w:pPr>
        <w:pStyle w:val="PolicyReferences"/>
      </w:pPr>
      <w:hyperlink r:id="rId15" w:history="1">
        <w:r>
          <w:rPr>
            <w:rStyle w:val="SYSHYPERTEXT"/>
          </w:rPr>
          <w:t>ORS 339</w:t>
        </w:r>
      </w:hyperlink>
      <w:r>
        <w:t>.020</w:t>
      </w:r>
    </w:p>
    <w:p w14:paraId="0389C6BD" w14:textId="77777777" w:rsidR="008A0F99" w:rsidRDefault="008A0F99" w:rsidP="008A0F99">
      <w:pPr>
        <w:pStyle w:val="PolicyReferences"/>
      </w:pPr>
      <w:hyperlink r:id="rId16" w:history="1">
        <w:r>
          <w:rPr>
            <w:rStyle w:val="SYSHYPERTEXT"/>
          </w:rPr>
          <w:t>ORS 339</w:t>
        </w:r>
      </w:hyperlink>
      <w:r>
        <w:t>.030</w:t>
      </w:r>
    </w:p>
    <w:p w14:paraId="5799FC9A" w14:textId="77777777" w:rsidR="008A0F99" w:rsidRDefault="008A0F99" w:rsidP="008A0F99">
      <w:pPr>
        <w:pStyle w:val="PolicyReferences"/>
      </w:pPr>
      <w:hyperlink r:id="rId17" w:history="1">
        <w:r>
          <w:rPr>
            <w:rStyle w:val="SYSHYPERTEXT"/>
          </w:rPr>
          <w:t>ORS 339</w:t>
        </w:r>
      </w:hyperlink>
      <w:r>
        <w:t>.055</w:t>
      </w:r>
    </w:p>
    <w:p w14:paraId="497C85C6" w14:textId="77777777" w:rsidR="008A0F99" w:rsidRDefault="008A0F99" w:rsidP="008A0F99">
      <w:pPr>
        <w:pStyle w:val="PolicyReferences"/>
      </w:pPr>
      <w:hyperlink r:id="rId18" w:history="1">
        <w:r>
          <w:rPr>
            <w:rStyle w:val="SYSHYPERTEXT"/>
          </w:rPr>
          <w:t>ORS 339</w:t>
        </w:r>
      </w:hyperlink>
      <w:r>
        <w:t>.065</w:t>
      </w:r>
    </w:p>
    <w:p w14:paraId="4924D100" w14:textId="77777777" w:rsidR="008A0F99" w:rsidRDefault="008A0F99" w:rsidP="008A0F99">
      <w:pPr>
        <w:pStyle w:val="PolicyReferences"/>
      </w:pPr>
      <w:hyperlink r:id="rId19" w:history="1">
        <w:r>
          <w:rPr>
            <w:rStyle w:val="SYSHYPERTEXT"/>
          </w:rPr>
          <w:t>ORS 339</w:t>
        </w:r>
      </w:hyperlink>
      <w:r>
        <w:t>.071</w:t>
      </w:r>
    </w:p>
    <w:bookmarkStart w:id="2" w:name="OAR"/>
    <w:bookmarkEnd w:id="2"/>
    <w:p w14:paraId="2472BF33" w14:textId="77777777" w:rsidR="008A0F99" w:rsidRDefault="008A0F99" w:rsidP="008A0F99">
      <w:pPr>
        <w:pStyle w:val="PolicyReferences"/>
      </w:pPr>
      <w:r>
        <w:fldChar w:fldCharType="begin"/>
      </w:r>
      <w:r>
        <w:instrText xml:space="preserve">   HYPERLINK "http://policy.osba.org/orsredir.asp?ors=oar-581-021" </w:instrText>
      </w:r>
      <w:r>
        <w:fldChar w:fldCharType="separate"/>
      </w:r>
      <w:r>
        <w:rPr>
          <w:rStyle w:val="SYSHYPERTEXT"/>
        </w:rPr>
        <w:t>OAR 581-021</w:t>
      </w:r>
      <w:r>
        <w:fldChar w:fldCharType="end"/>
      </w:r>
      <w:r>
        <w:t>-0050</w:t>
      </w:r>
    </w:p>
    <w:p w14:paraId="611DC4F8" w14:textId="77777777" w:rsidR="008A0F99" w:rsidRDefault="008A0F99" w:rsidP="008A0F99">
      <w:pPr>
        <w:pStyle w:val="PolicyReferences"/>
        <w:sectPr w:rsidR="008A0F99" w:rsidSect="008A0F99">
          <w:footerReference w:type="default" r:id="rId20"/>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21" w:history="1">
        <w:r>
          <w:rPr>
            <w:rStyle w:val="SYSHYPERTEXT"/>
          </w:rPr>
          <w:t>OAR 581-022</w:t>
        </w:r>
      </w:hyperlink>
      <w:r>
        <w:t>-2000</w:t>
      </w:r>
    </w:p>
    <w:p w14:paraId="5919AE3D" w14:textId="77777777" w:rsidR="00AB4EC3" w:rsidRDefault="00AB4EC3" w:rsidP="008A0F99">
      <w:pPr>
        <w:pStyle w:val="PolicyReferences"/>
      </w:pPr>
      <w:bookmarkStart w:id="3" w:name="LawsEnd"/>
      <w:bookmarkEnd w:id="3"/>
    </w:p>
    <w:sectPr w:rsidR="00AB4EC3" w:rsidSect="008A0F99">
      <w:footerReference w:type="default" r:id="rId22"/>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7EFE3" w14:textId="77777777" w:rsidR="008A0F99" w:rsidRDefault="008A0F99" w:rsidP="00FC3907">
      <w:r>
        <w:separator/>
      </w:r>
    </w:p>
  </w:endnote>
  <w:endnote w:type="continuationSeparator" w:id="0">
    <w:p w14:paraId="62229B2A" w14:textId="77777777" w:rsidR="008A0F99" w:rsidRDefault="008A0F9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30066" w14:textId="77777777" w:rsidR="002612E7" w:rsidRDefault="002612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A0F99" w14:paraId="2330F05D" w14:textId="77777777" w:rsidTr="004616AD">
      <w:tc>
        <w:tcPr>
          <w:tcW w:w="2340" w:type="dxa"/>
        </w:tcPr>
        <w:p w14:paraId="3CB22313" w14:textId="0B2CE64A" w:rsidR="008A0F99" w:rsidRDefault="008A0F99" w:rsidP="004616AD">
          <w:pPr>
            <w:pStyle w:val="Footer"/>
            <w:rPr>
              <w:noProof/>
              <w:sz w:val="20"/>
            </w:rPr>
          </w:pPr>
        </w:p>
      </w:tc>
      <w:tc>
        <w:tcPr>
          <w:tcW w:w="7956" w:type="dxa"/>
        </w:tcPr>
        <w:p w14:paraId="18F85F41" w14:textId="77777777" w:rsidR="008A0F99" w:rsidRDefault="008A0F99" w:rsidP="004616AD">
          <w:pPr>
            <w:pStyle w:val="Footer"/>
            <w:jc w:val="right"/>
          </w:pPr>
          <w:r>
            <w:t>Attendance** – JE</w:t>
          </w:r>
        </w:p>
        <w:p w14:paraId="0B6B01CE" w14:textId="77777777" w:rsidR="008A0F99" w:rsidRDefault="008A0F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781DFED" w14:textId="77777777" w:rsidR="008A0F99" w:rsidRPr="00782930" w:rsidRDefault="008A0F9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6F7CB" w14:textId="77777777" w:rsidR="002612E7" w:rsidRDefault="002612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A0F99" w14:paraId="7A345B02" w14:textId="77777777" w:rsidTr="004616AD">
      <w:tc>
        <w:tcPr>
          <w:tcW w:w="2340" w:type="dxa"/>
        </w:tcPr>
        <w:p w14:paraId="57F23DA7" w14:textId="77777777" w:rsidR="008A0F99" w:rsidRDefault="008A0F99" w:rsidP="004616AD">
          <w:pPr>
            <w:pStyle w:val="Footer"/>
            <w:rPr>
              <w:noProof/>
              <w:sz w:val="20"/>
            </w:rPr>
          </w:pPr>
          <w:r>
            <w:rPr>
              <w:noProof/>
              <w:sz w:val="20"/>
            </w:rPr>
            <w:t>7/01/17│PH</w:t>
          </w:r>
        </w:p>
      </w:tc>
      <w:tc>
        <w:tcPr>
          <w:tcW w:w="7956" w:type="dxa"/>
        </w:tcPr>
        <w:p w14:paraId="03341101" w14:textId="77777777" w:rsidR="008A0F99" w:rsidRDefault="008A0F99" w:rsidP="004616AD">
          <w:pPr>
            <w:pStyle w:val="Footer"/>
            <w:jc w:val="right"/>
          </w:pPr>
          <w:r>
            <w:t>Attendance** – JE</w:t>
          </w:r>
        </w:p>
        <w:p w14:paraId="7F7D04F6" w14:textId="77777777" w:rsidR="008A0F99" w:rsidRDefault="008A0F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594666B" w14:textId="77777777" w:rsidR="008A0F99" w:rsidRPr="00782930" w:rsidRDefault="008A0F9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A0F99" w14:paraId="4389469D" w14:textId="77777777" w:rsidTr="004616AD">
      <w:tc>
        <w:tcPr>
          <w:tcW w:w="2340" w:type="dxa"/>
        </w:tcPr>
        <w:p w14:paraId="0A46394F" w14:textId="77777777" w:rsidR="008A0F99" w:rsidRDefault="008A0F99" w:rsidP="004616AD">
          <w:pPr>
            <w:pStyle w:val="Footer"/>
            <w:rPr>
              <w:noProof/>
              <w:sz w:val="20"/>
            </w:rPr>
          </w:pPr>
          <w:r>
            <w:rPr>
              <w:noProof/>
              <w:sz w:val="20"/>
            </w:rPr>
            <w:t>7/01/17│PH</w:t>
          </w:r>
        </w:p>
      </w:tc>
      <w:tc>
        <w:tcPr>
          <w:tcW w:w="7956" w:type="dxa"/>
        </w:tcPr>
        <w:p w14:paraId="43113D87" w14:textId="77777777" w:rsidR="008A0F99" w:rsidRDefault="008A0F99" w:rsidP="004616AD">
          <w:pPr>
            <w:pStyle w:val="Footer"/>
            <w:jc w:val="right"/>
          </w:pPr>
          <w:r>
            <w:t>Attendance** – JE</w:t>
          </w:r>
        </w:p>
        <w:p w14:paraId="077235DE" w14:textId="77777777" w:rsidR="008A0F99" w:rsidRDefault="008A0F9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466BB06" w14:textId="77777777" w:rsidR="008A0F99" w:rsidRPr="00782930" w:rsidRDefault="008A0F9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0211E" w14:textId="77777777" w:rsidR="008A0F99" w:rsidRDefault="008A0F99" w:rsidP="00FC3907">
      <w:r>
        <w:separator/>
      </w:r>
    </w:p>
  </w:footnote>
  <w:footnote w:type="continuationSeparator" w:id="0">
    <w:p w14:paraId="4A074597" w14:textId="77777777" w:rsidR="008A0F99" w:rsidRDefault="008A0F9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4FA30" w14:textId="77777777" w:rsidR="002612E7" w:rsidRPr="008D74BC" w:rsidRDefault="002612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AAF00" w14:textId="77777777" w:rsidR="002612E7" w:rsidRDefault="002612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ADE8C" w14:textId="77777777" w:rsidR="002612E7" w:rsidRDefault="002612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38906478">
    <w:abstractNumId w:val="7"/>
  </w:num>
  <w:num w:numId="2" w16cid:durableId="432438930">
    <w:abstractNumId w:val="4"/>
  </w:num>
  <w:num w:numId="3" w16cid:durableId="1435175348">
    <w:abstractNumId w:val="4"/>
  </w:num>
  <w:num w:numId="4" w16cid:durableId="474370326">
    <w:abstractNumId w:val="3"/>
  </w:num>
  <w:num w:numId="5" w16cid:durableId="1196577285">
    <w:abstractNumId w:val="3"/>
  </w:num>
  <w:num w:numId="6" w16cid:durableId="935944933">
    <w:abstractNumId w:val="2"/>
  </w:num>
  <w:num w:numId="7" w16cid:durableId="387655628">
    <w:abstractNumId w:val="2"/>
  </w:num>
  <w:num w:numId="8" w16cid:durableId="295837581">
    <w:abstractNumId w:val="1"/>
  </w:num>
  <w:num w:numId="9" w16cid:durableId="1988320429">
    <w:abstractNumId w:val="1"/>
  </w:num>
  <w:num w:numId="10" w16cid:durableId="97720776">
    <w:abstractNumId w:val="0"/>
  </w:num>
  <w:num w:numId="11" w16cid:durableId="384525524">
    <w:abstractNumId w:val="0"/>
  </w:num>
  <w:num w:numId="12" w16cid:durableId="1115563089">
    <w:abstractNumId w:val="6"/>
  </w:num>
  <w:num w:numId="13" w16cid:durableId="1038512532">
    <w:abstractNumId w:val="9"/>
  </w:num>
  <w:num w:numId="14" w16cid:durableId="1031801919">
    <w:abstractNumId w:val="8"/>
  </w:num>
  <w:num w:numId="15" w16cid:durableId="970280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577"/>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82A67"/>
    <w:rsid w:val="001B09BA"/>
    <w:rsid w:val="001C1D43"/>
    <w:rsid w:val="001C3978"/>
    <w:rsid w:val="001C5C15"/>
    <w:rsid w:val="001E1260"/>
    <w:rsid w:val="001E7AE7"/>
    <w:rsid w:val="001F4D2D"/>
    <w:rsid w:val="0021369D"/>
    <w:rsid w:val="00217190"/>
    <w:rsid w:val="00224022"/>
    <w:rsid w:val="002345DA"/>
    <w:rsid w:val="00246025"/>
    <w:rsid w:val="002612E7"/>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23FD"/>
    <w:rsid w:val="003F7B66"/>
    <w:rsid w:val="00403955"/>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5611"/>
    <w:rsid w:val="00536354"/>
    <w:rsid w:val="00543474"/>
    <w:rsid w:val="00557E6B"/>
    <w:rsid w:val="00571976"/>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0FA2"/>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1B87"/>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4A83"/>
    <w:rsid w:val="00870BED"/>
    <w:rsid w:val="00882C0D"/>
    <w:rsid w:val="00890313"/>
    <w:rsid w:val="008A0F99"/>
    <w:rsid w:val="008A156E"/>
    <w:rsid w:val="008A2D8F"/>
    <w:rsid w:val="008A3BAF"/>
    <w:rsid w:val="008B0925"/>
    <w:rsid w:val="008B6FAC"/>
    <w:rsid w:val="008B730B"/>
    <w:rsid w:val="008D663E"/>
    <w:rsid w:val="008D74BC"/>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82FC1"/>
    <w:rsid w:val="00A967F8"/>
    <w:rsid w:val="00AB4EC3"/>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454B"/>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0FC0"/>
    <w:rsid w:val="00C31E84"/>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B31AD"/>
    <w:rsid w:val="00DE0C18"/>
    <w:rsid w:val="00DF0AE6"/>
    <w:rsid w:val="00DF464B"/>
    <w:rsid w:val="00E009DD"/>
    <w:rsid w:val="00E07338"/>
    <w:rsid w:val="00E34F37"/>
    <w:rsid w:val="00E56759"/>
    <w:rsid w:val="00E60543"/>
    <w:rsid w:val="00E67AB7"/>
    <w:rsid w:val="00E70BB8"/>
    <w:rsid w:val="00E71A63"/>
    <w:rsid w:val="00E727A4"/>
    <w:rsid w:val="00E81F69"/>
    <w:rsid w:val="00E83237"/>
    <w:rsid w:val="00E838B5"/>
    <w:rsid w:val="00E908E7"/>
    <w:rsid w:val="00E9130E"/>
    <w:rsid w:val="00EA05AE"/>
    <w:rsid w:val="00EA3062"/>
    <w:rsid w:val="00EC344D"/>
    <w:rsid w:val="00EC519B"/>
    <w:rsid w:val="00EC58B1"/>
    <w:rsid w:val="00ED6659"/>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 w:val="00FF6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50062C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A0F99"/>
    <w:rPr>
      <w:color w:val="0000FF"/>
      <w:u w:val="single"/>
    </w:rPr>
  </w:style>
  <w:style w:type="paragraph" w:styleId="Revision">
    <w:name w:val="Revision"/>
    <w:hidden/>
    <w:uiPriority w:val="99"/>
    <w:semiHidden/>
    <w:rsid w:val="00680FA2"/>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hyperlink" Target="http://policy.osba.org/orsredir.asp?ors=oar-581-02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17FBA-BC89-40B0-B637-A48E1C8B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 - Attendance**</dc:title>
  <dc:subject>Lourdes Board Policy</dc:subject>
  <dc:creator>Oregon School Boards Association</dc:creator>
  <cp:keywords/>
  <dc:description/>
  <cp:lastModifiedBy>Colleen Allen</cp:lastModifiedBy>
  <cp:revision>17</cp:revision>
  <dcterms:created xsi:type="dcterms:W3CDTF">2018-03-09T23:21:00Z</dcterms:created>
  <dcterms:modified xsi:type="dcterms:W3CDTF">2025-05-22T15:45:00Z</dcterms:modified>
</cp:coreProperties>
</file>