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9BCA05" w14:textId="77777777" w:rsidR="00232E1A" w:rsidRPr="00976D56" w:rsidRDefault="00232E1A" w:rsidP="001E1260">
      <w:pPr>
        <w:pStyle w:val="PolicyTitleBox"/>
      </w:pPr>
      <w:r>
        <w:t>Lourdes Public Charter School</w:t>
      </w:r>
    </w:p>
    <w:p w14:paraId="6D7F80F9" w14:textId="77777777" w:rsidR="00CC7D46" w:rsidRPr="00166E3C" w:rsidRDefault="00CC7D46" w:rsidP="004231D7"/>
    <w:p w14:paraId="4F83C652" w14:textId="77777777" w:rsidR="001E1260" w:rsidRPr="00166E3C" w:rsidRDefault="001E1260" w:rsidP="004231D7">
      <w:pPr>
        <w:pStyle w:val="PolicyCode"/>
      </w:pPr>
      <w:r w:rsidRPr="00166E3C">
        <w:t>Code:</w:t>
      </w:r>
      <w:r w:rsidRPr="00166E3C">
        <w:tab/>
      </w:r>
      <w:r w:rsidR="00EA727B" w:rsidRPr="00166E3C">
        <w:t>JGAB</w:t>
      </w:r>
    </w:p>
    <w:p w14:paraId="0D5C06FE" w14:textId="0E0BD47B" w:rsidR="001E1260" w:rsidRPr="00166E3C" w:rsidRDefault="001E1260" w:rsidP="004231D7">
      <w:pPr>
        <w:pStyle w:val="PolicyCode"/>
      </w:pPr>
      <w:r w:rsidRPr="00166E3C">
        <w:t>Adopted:</w:t>
      </w:r>
      <w:r w:rsidRPr="00166E3C">
        <w:tab/>
      </w:r>
      <w:r w:rsidR="005A6241">
        <w:t>4/28/25</w:t>
      </w:r>
    </w:p>
    <w:p w14:paraId="1E84F187" w14:textId="77777777" w:rsidR="001E1260" w:rsidRPr="00166E3C" w:rsidRDefault="001E1260" w:rsidP="004231D7"/>
    <w:p w14:paraId="6D3284CF" w14:textId="5FC1112A" w:rsidR="00EF573E" w:rsidRPr="00166E3C" w:rsidRDefault="00EA727B" w:rsidP="004231D7">
      <w:pPr>
        <w:pStyle w:val="PolicyTitle"/>
      </w:pPr>
      <w:r w:rsidRPr="00166E3C">
        <w:t xml:space="preserve">Use of Restraint </w:t>
      </w:r>
      <w:r w:rsidR="006573BA" w:rsidRPr="00166E3C">
        <w:t xml:space="preserve">or </w:t>
      </w:r>
      <w:r w:rsidRPr="00166E3C">
        <w:t>Seclusion</w:t>
      </w:r>
      <w:r w:rsidR="006573BA" w:rsidRPr="00166E3C">
        <w:t>**</w:t>
      </w:r>
    </w:p>
    <w:p w14:paraId="4867CC71" w14:textId="77777777" w:rsidR="00641BB6" w:rsidRPr="00166E3C" w:rsidRDefault="00641BB6" w:rsidP="004231D7"/>
    <w:p w14:paraId="02FF03E5" w14:textId="3B0ADEDA" w:rsidR="00EA727B" w:rsidRPr="00166E3C" w:rsidRDefault="00EA727B" w:rsidP="004231D7">
      <w:pPr>
        <w:pStyle w:val="PolicyBodyText"/>
        <w:spacing w:line="240" w:lineRule="auto"/>
      </w:pPr>
      <w:r w:rsidRPr="00166E3C">
        <w:t xml:space="preserve">The Board is dedicated to the development and application of best practices within the public charter schools educational/behavioral programs. </w:t>
      </w:r>
      <w:r w:rsidR="00E060D8" w:rsidRPr="00166E3C">
        <w:t>T</w:t>
      </w:r>
      <w:r w:rsidRPr="00166E3C">
        <w:t>he Board establish</w:t>
      </w:r>
      <w:r w:rsidR="00E060D8" w:rsidRPr="00166E3C">
        <w:t>es</w:t>
      </w:r>
      <w:r w:rsidRPr="00166E3C">
        <w:t xml:space="preserve"> </w:t>
      </w:r>
      <w:r w:rsidR="00E060D8" w:rsidRPr="00166E3C">
        <w:t>this</w:t>
      </w:r>
      <w:r w:rsidRPr="00166E3C">
        <w:t xml:space="preserve"> policy</w:t>
      </w:r>
      <w:r w:rsidR="00E060D8" w:rsidRPr="00166E3C">
        <w:t xml:space="preserve"> and its administrative regulation</w:t>
      </w:r>
      <w:r w:rsidRPr="00166E3C">
        <w:t xml:space="preserve"> </w:t>
      </w:r>
      <w:r w:rsidR="00E060D8" w:rsidRPr="00166E3C">
        <w:t>to</w:t>
      </w:r>
      <w:r w:rsidRPr="00166E3C">
        <w:t xml:space="preserve"> define the circumstances that must exist and the requirements that must be met prior to, during</w:t>
      </w:r>
      <w:r w:rsidR="00E060D8" w:rsidRPr="00166E3C">
        <w:t>,</w:t>
      </w:r>
      <w:r w:rsidRPr="00166E3C">
        <w:t xml:space="preserve"> and after the use of restraint or seclusion as an intervention with public charter school students.</w:t>
      </w:r>
    </w:p>
    <w:p w14:paraId="324313B8" w14:textId="52583915" w:rsidR="00D77D8B" w:rsidRPr="00166E3C" w:rsidRDefault="00D77D8B" w:rsidP="004231D7">
      <w:pPr>
        <w:pStyle w:val="PolicyBodyText"/>
        <w:spacing w:line="240" w:lineRule="auto"/>
      </w:pPr>
    </w:p>
    <w:p w14:paraId="4BD72D9C" w14:textId="29BDA8FF" w:rsidR="0082098E" w:rsidRPr="00166E3C" w:rsidRDefault="0082098E" w:rsidP="004231D7">
      <w:pPr>
        <w:pStyle w:val="PolicyBodyText"/>
        <w:spacing w:line="240" w:lineRule="auto"/>
      </w:pPr>
      <w:r w:rsidRPr="00166E3C">
        <w:t xml:space="preserve">The use of the following types of restraint on a student in the </w:t>
      </w:r>
      <w:r w:rsidR="005576D6" w:rsidRPr="00166E3C">
        <w:t>public charter school</w:t>
      </w:r>
      <w:r w:rsidRPr="00166E3C">
        <w:t xml:space="preserve"> is prohibited:</w:t>
      </w:r>
    </w:p>
    <w:p w14:paraId="18FD87E6" w14:textId="77777777" w:rsidR="0082098E" w:rsidRPr="00166E3C" w:rsidRDefault="0082098E" w:rsidP="004231D7">
      <w:pPr>
        <w:pStyle w:val="PolicyBodyText"/>
        <w:spacing w:line="240" w:lineRule="auto"/>
      </w:pPr>
    </w:p>
    <w:p w14:paraId="51534E4E" w14:textId="77777777" w:rsidR="0082098E" w:rsidRPr="00166E3C" w:rsidRDefault="0082098E" w:rsidP="004231D7">
      <w:pPr>
        <w:pStyle w:val="Level1"/>
        <w:numPr>
          <w:ilvl w:val="0"/>
          <w:numId w:val="16"/>
        </w:numPr>
        <w:spacing w:line="240" w:lineRule="auto"/>
      </w:pPr>
      <w:r w:rsidRPr="00166E3C">
        <w:t>Chemical restraint.</w:t>
      </w:r>
    </w:p>
    <w:p w14:paraId="03EFF8AE" w14:textId="77777777" w:rsidR="0082098E" w:rsidRPr="00166E3C" w:rsidRDefault="0082098E" w:rsidP="004231D7">
      <w:pPr>
        <w:pStyle w:val="Level1"/>
        <w:numPr>
          <w:ilvl w:val="0"/>
          <w:numId w:val="16"/>
        </w:numPr>
        <w:spacing w:line="240" w:lineRule="auto"/>
      </w:pPr>
      <w:r w:rsidRPr="00166E3C">
        <w:t>Mechanical restraint.</w:t>
      </w:r>
    </w:p>
    <w:p w14:paraId="2823E5BB" w14:textId="77777777" w:rsidR="0082098E" w:rsidRPr="00166E3C" w:rsidRDefault="0082098E" w:rsidP="004231D7">
      <w:pPr>
        <w:pStyle w:val="Level1"/>
        <w:numPr>
          <w:ilvl w:val="0"/>
          <w:numId w:val="16"/>
        </w:numPr>
        <w:spacing w:line="240" w:lineRule="auto"/>
      </w:pPr>
      <w:r w:rsidRPr="00166E3C">
        <w:t>Prone restraint.</w:t>
      </w:r>
    </w:p>
    <w:p w14:paraId="04310B75" w14:textId="77777777" w:rsidR="0082098E" w:rsidRPr="00166E3C" w:rsidRDefault="0082098E" w:rsidP="004231D7">
      <w:pPr>
        <w:pStyle w:val="Level1"/>
        <w:numPr>
          <w:ilvl w:val="0"/>
          <w:numId w:val="16"/>
        </w:numPr>
        <w:spacing w:line="240" w:lineRule="auto"/>
      </w:pPr>
      <w:r w:rsidRPr="00166E3C">
        <w:t>Supine restraint.</w:t>
      </w:r>
    </w:p>
    <w:p w14:paraId="689136C8" w14:textId="66DF7351" w:rsidR="0082098E" w:rsidRPr="00166E3C" w:rsidRDefault="0082098E" w:rsidP="004231D7">
      <w:pPr>
        <w:pStyle w:val="Level1"/>
        <w:numPr>
          <w:ilvl w:val="0"/>
          <w:numId w:val="16"/>
        </w:numPr>
        <w:spacing w:line="240" w:lineRule="auto"/>
      </w:pPr>
      <w:r w:rsidRPr="00166E3C">
        <w:t>Any restraint that involves the intentional and nonincidental use of a solid object</w:t>
      </w:r>
      <w:r w:rsidR="00410587" w:rsidRPr="00166E3C">
        <w:rPr>
          <w:rStyle w:val="FootnoteReference"/>
        </w:rPr>
        <w:footnoteReference w:id="1"/>
      </w:r>
      <w:r w:rsidRPr="00166E3C">
        <w:t>, including a wall or the floor, to impede a student</w:t>
      </w:r>
      <w:r w:rsidR="00111440">
        <w:t>’</w:t>
      </w:r>
      <w:r w:rsidRPr="00166E3C">
        <w:t>s movement, unless the restraint is necessary to prevent an imminent life-threatening injury or to gain control of a weapon.</w:t>
      </w:r>
    </w:p>
    <w:p w14:paraId="25EF8819" w14:textId="3510DF5B" w:rsidR="0082098E" w:rsidRPr="00166E3C" w:rsidRDefault="0082098E" w:rsidP="004231D7">
      <w:pPr>
        <w:pStyle w:val="Level1"/>
        <w:numPr>
          <w:ilvl w:val="0"/>
          <w:numId w:val="16"/>
        </w:numPr>
        <w:spacing w:line="240" w:lineRule="auto"/>
      </w:pPr>
      <w:r w:rsidRPr="00166E3C">
        <w:t>Any restraint that places, or creates a risk of placing, pressure on a student</w:t>
      </w:r>
      <w:r w:rsidR="00111440">
        <w:t>’</w:t>
      </w:r>
      <w:r w:rsidRPr="00166E3C">
        <w:t xml:space="preserve">s </w:t>
      </w:r>
      <w:r w:rsidR="005014D7" w:rsidRPr="00166E3C">
        <w:t>mouth</w:t>
      </w:r>
      <w:r w:rsidR="005112DA" w:rsidRPr="00166E3C">
        <w:t>,</w:t>
      </w:r>
      <w:r w:rsidR="005014D7" w:rsidRPr="00166E3C">
        <w:t xml:space="preserve"> </w:t>
      </w:r>
      <w:r w:rsidRPr="00166E3C">
        <w:t>neck or throat.</w:t>
      </w:r>
    </w:p>
    <w:p w14:paraId="71450111" w14:textId="6154F505" w:rsidR="0082098E" w:rsidRPr="00166E3C" w:rsidRDefault="0082098E" w:rsidP="004231D7">
      <w:pPr>
        <w:pStyle w:val="Level1"/>
        <w:numPr>
          <w:ilvl w:val="0"/>
          <w:numId w:val="16"/>
        </w:numPr>
        <w:spacing w:line="240" w:lineRule="auto"/>
      </w:pPr>
      <w:r w:rsidRPr="00166E3C">
        <w:t>Any restraint that places, or creates a risk of placing, pressure on a student</w:t>
      </w:r>
      <w:r w:rsidR="00111440">
        <w:t>’</w:t>
      </w:r>
      <w:r w:rsidRPr="00166E3C">
        <w:t>s mouth, unless the restraint is necessary for the purpose of extracting a body part from a bite.</w:t>
      </w:r>
    </w:p>
    <w:p w14:paraId="7F46EF25" w14:textId="45BBBCD9" w:rsidR="0082098E" w:rsidRPr="00166E3C" w:rsidRDefault="0082098E" w:rsidP="004231D7">
      <w:pPr>
        <w:pStyle w:val="Level1"/>
        <w:numPr>
          <w:ilvl w:val="0"/>
          <w:numId w:val="16"/>
        </w:numPr>
        <w:spacing w:line="240" w:lineRule="auto"/>
      </w:pPr>
      <w:r w:rsidRPr="00166E3C">
        <w:t>Any restraint that impedes, or creates a risk of impeding, breathing.</w:t>
      </w:r>
    </w:p>
    <w:p w14:paraId="5F5155F3" w14:textId="65111D4D" w:rsidR="0082098E" w:rsidRPr="00166E3C" w:rsidRDefault="0082098E" w:rsidP="004231D7">
      <w:pPr>
        <w:pStyle w:val="Level1"/>
        <w:numPr>
          <w:ilvl w:val="0"/>
          <w:numId w:val="16"/>
        </w:numPr>
        <w:spacing w:line="240" w:lineRule="auto"/>
      </w:pPr>
      <w:r w:rsidRPr="00166E3C">
        <w:t>Any restraint that involves the intentional placement of the hands, feet, elbow, knee or any object on a student</w:t>
      </w:r>
      <w:r w:rsidR="00111440">
        <w:t>’</w:t>
      </w:r>
      <w:r w:rsidRPr="00166E3C">
        <w:t>s neck, throat, genitals or other intimate parts.</w:t>
      </w:r>
    </w:p>
    <w:p w14:paraId="4E5B40B0" w14:textId="77777777" w:rsidR="0082098E" w:rsidRPr="00166E3C" w:rsidRDefault="0082098E" w:rsidP="004231D7">
      <w:pPr>
        <w:pStyle w:val="Level1"/>
        <w:numPr>
          <w:ilvl w:val="0"/>
          <w:numId w:val="16"/>
        </w:numPr>
        <w:spacing w:line="240" w:lineRule="auto"/>
      </w:pPr>
      <w:r w:rsidRPr="00166E3C">
        <w:t>Any restraint that causes pressure to be placed, or creates a risk of causing pressure to be placed, on the stomach or back by a knee, foot or elbow bone.</w:t>
      </w:r>
    </w:p>
    <w:p w14:paraId="1DCD91FB" w14:textId="77777777" w:rsidR="0082098E" w:rsidRPr="00166E3C" w:rsidRDefault="0082098E" w:rsidP="004231D7">
      <w:pPr>
        <w:pStyle w:val="Level1"/>
        <w:numPr>
          <w:ilvl w:val="0"/>
          <w:numId w:val="16"/>
        </w:numPr>
        <w:spacing w:line="240" w:lineRule="auto"/>
      </w:pPr>
      <w:r w:rsidRPr="00166E3C">
        <w:t>Any action designed for the primary purpose of inflicting pain.</w:t>
      </w:r>
    </w:p>
    <w:p w14:paraId="3FCEF809" w14:textId="046C2A47" w:rsidR="003C1B3B" w:rsidRPr="00166E3C" w:rsidRDefault="003C1B3B" w:rsidP="004231D7">
      <w:pPr>
        <w:pStyle w:val="PolicyBodyText"/>
        <w:spacing w:after="240" w:line="240" w:lineRule="auto"/>
      </w:pPr>
      <w:r w:rsidRPr="00166E3C">
        <w:t>The use of a seclusion cell is</w:t>
      </w:r>
      <w:r w:rsidR="00A258B1" w:rsidRPr="00166E3C">
        <w:t xml:space="preserve"> </w:t>
      </w:r>
      <w:r w:rsidRPr="00166E3C">
        <w:t>prohibited.</w:t>
      </w:r>
    </w:p>
    <w:p w14:paraId="72660F31" w14:textId="13C676F9" w:rsidR="0082098E" w:rsidRPr="00166E3C" w:rsidRDefault="0082098E" w:rsidP="004231D7">
      <w:pPr>
        <w:pStyle w:val="PolicyBodyText"/>
        <w:spacing w:after="240" w:line="240" w:lineRule="auto"/>
      </w:pPr>
      <w:r w:rsidRPr="00166E3C">
        <w:t xml:space="preserve">Restraint or seclusion may not be used for discipline, punishment, retaliation or convenience of staff, contractors or volunteers of the </w:t>
      </w:r>
      <w:r w:rsidR="00F93440" w:rsidRPr="00166E3C">
        <w:t>public charter school</w:t>
      </w:r>
      <w:r w:rsidRPr="00166E3C">
        <w:t>.</w:t>
      </w:r>
    </w:p>
    <w:p w14:paraId="4EA245FB" w14:textId="54133230" w:rsidR="0082098E" w:rsidRPr="00166E3C" w:rsidRDefault="0082098E" w:rsidP="004231D7">
      <w:pPr>
        <w:pStyle w:val="PolicyBodyText"/>
        <w:spacing w:after="240" w:line="240" w:lineRule="auto"/>
      </w:pPr>
      <w:r w:rsidRPr="00166E3C">
        <w:lastRenderedPageBreak/>
        <w:t xml:space="preserve">Restraint may be imposed on a student in the </w:t>
      </w:r>
      <w:r w:rsidR="00F93440" w:rsidRPr="00166E3C">
        <w:t>public charter school</w:t>
      </w:r>
      <w:r w:rsidRPr="00166E3C">
        <w:t xml:space="preserve"> only under the following circumstances:</w:t>
      </w:r>
    </w:p>
    <w:p w14:paraId="42638759" w14:textId="369A7F4C" w:rsidR="0082098E" w:rsidRPr="00166E3C" w:rsidRDefault="0082098E" w:rsidP="004231D7">
      <w:pPr>
        <w:pStyle w:val="Level1"/>
        <w:numPr>
          <w:ilvl w:val="0"/>
          <w:numId w:val="17"/>
        </w:numPr>
        <w:spacing w:line="240" w:lineRule="auto"/>
      </w:pPr>
      <w:r w:rsidRPr="00166E3C">
        <w:t>The student</w:t>
      </w:r>
      <w:r w:rsidR="00111440">
        <w:t>’</w:t>
      </w:r>
      <w:r w:rsidRPr="00166E3C">
        <w:t>s behavior imposes a reasonable risk of imminent and substantial physical or bodily injury to the student or others; and</w:t>
      </w:r>
    </w:p>
    <w:p w14:paraId="7F4C4103" w14:textId="77777777" w:rsidR="0082098E" w:rsidRPr="00166E3C" w:rsidRDefault="0082098E" w:rsidP="004231D7">
      <w:pPr>
        <w:pStyle w:val="Level1"/>
        <w:spacing w:line="240" w:lineRule="auto"/>
      </w:pPr>
      <w:r w:rsidRPr="00166E3C">
        <w:t>Less restrictive interventions would not be effective.</w:t>
      </w:r>
    </w:p>
    <w:p w14:paraId="2B670E92" w14:textId="40BAA9DC" w:rsidR="0082098E" w:rsidRPr="00166E3C" w:rsidRDefault="0082098E" w:rsidP="004231D7">
      <w:pPr>
        <w:pStyle w:val="Level1"/>
        <w:numPr>
          <w:ilvl w:val="0"/>
          <w:numId w:val="0"/>
        </w:numPr>
        <w:tabs>
          <w:tab w:val="left" w:pos="720"/>
        </w:tabs>
        <w:spacing w:line="240" w:lineRule="auto"/>
      </w:pPr>
      <w:r w:rsidRPr="00166E3C">
        <w:t xml:space="preserve">Seclusion may be used on a student in the </w:t>
      </w:r>
      <w:r w:rsidR="00F93440" w:rsidRPr="00166E3C">
        <w:t>public charter school</w:t>
      </w:r>
      <w:r w:rsidRPr="00166E3C">
        <w:t xml:space="preserve"> only under the following circumstances:</w:t>
      </w:r>
    </w:p>
    <w:p w14:paraId="2BA6C1E5" w14:textId="3B41B681" w:rsidR="0082098E" w:rsidRPr="00166E3C" w:rsidRDefault="0082098E" w:rsidP="004231D7">
      <w:pPr>
        <w:pStyle w:val="Level1"/>
        <w:numPr>
          <w:ilvl w:val="0"/>
          <w:numId w:val="18"/>
        </w:numPr>
        <w:spacing w:line="240" w:lineRule="auto"/>
      </w:pPr>
      <w:r w:rsidRPr="00166E3C">
        <w:t>The student</w:t>
      </w:r>
      <w:r w:rsidR="00111440">
        <w:t>’</w:t>
      </w:r>
      <w:r w:rsidRPr="00166E3C">
        <w:t>s behavior imposes a reasonable risk of imminent and serious bodily injury to the student or others; and</w:t>
      </w:r>
    </w:p>
    <w:p w14:paraId="37693347" w14:textId="77777777" w:rsidR="0082098E" w:rsidRPr="00166E3C" w:rsidRDefault="0082098E" w:rsidP="004231D7">
      <w:pPr>
        <w:pStyle w:val="Level1"/>
        <w:spacing w:line="240" w:lineRule="auto"/>
      </w:pPr>
      <w:r w:rsidRPr="00166E3C">
        <w:t>Less restrictive interventions would not be effective.</w:t>
      </w:r>
    </w:p>
    <w:p w14:paraId="1D92C029" w14:textId="0DCE07A8" w:rsidR="00D77D8B" w:rsidRPr="00166E3C" w:rsidRDefault="0082098E" w:rsidP="004231D7">
      <w:pPr>
        <w:pStyle w:val="PolicyBodyText"/>
        <w:spacing w:after="240" w:line="240" w:lineRule="auto"/>
      </w:pPr>
      <w:r w:rsidRPr="00166E3C">
        <w:t>If restraint or seclusion is used on a student, by trained staff or other staff available in the case of an emergency when trained staff are not immediately available due to the unforeseeable nature of the emergency</w:t>
      </w:r>
      <w:r w:rsidR="002B3A5C" w:rsidRPr="00166E3C">
        <w:t>, e.g., teacher, administrator</w:t>
      </w:r>
      <w:r w:rsidR="0083603B" w:rsidRPr="00166E3C">
        <w:t>,</w:t>
      </w:r>
      <w:r w:rsidRPr="00166E3C">
        <w:t xml:space="preserve"> it will be used only for as long as the student</w:t>
      </w:r>
      <w:r w:rsidR="00111440">
        <w:t>’</w:t>
      </w:r>
      <w:r w:rsidRPr="00166E3C">
        <w:t>s behavior poses a reasonable risk of imminent and substantial physical or bodily injury to the student or others and less restrictive interventions would not be effective. Students will be continuously monitored by staff for the duration of the restraint or seclusion.</w:t>
      </w:r>
    </w:p>
    <w:p w14:paraId="53D2CED1" w14:textId="77777777" w:rsidR="00EA727B" w:rsidRPr="00166E3C" w:rsidRDefault="00EA727B" w:rsidP="004231D7">
      <w:pPr>
        <w:pStyle w:val="PolicyBodyText"/>
        <w:spacing w:after="240" w:line="240" w:lineRule="auto"/>
        <w:rPr>
          <w:b/>
        </w:rPr>
      </w:pPr>
      <w:r w:rsidRPr="00166E3C">
        <w:rPr>
          <w:b/>
        </w:rPr>
        <w:t>Definitions</w:t>
      </w:r>
    </w:p>
    <w:p w14:paraId="635F9D11" w14:textId="42676805" w:rsidR="00F30937" w:rsidRPr="00166E3C" w:rsidRDefault="00111440" w:rsidP="004231D7">
      <w:pPr>
        <w:pStyle w:val="Level1"/>
        <w:numPr>
          <w:ilvl w:val="0"/>
          <w:numId w:val="21"/>
        </w:numPr>
        <w:spacing w:line="240" w:lineRule="auto"/>
        <w:ind w:left="576"/>
      </w:pPr>
      <w:r>
        <w:t>“</w:t>
      </w:r>
      <w:r w:rsidR="008D0FB1" w:rsidRPr="00166E3C">
        <w:t>R</w:t>
      </w:r>
      <w:r w:rsidR="00EA727B" w:rsidRPr="00166E3C">
        <w:t>estraint</w:t>
      </w:r>
      <w:r>
        <w:t>”</w:t>
      </w:r>
      <w:r w:rsidR="00EA727B" w:rsidRPr="00166E3C">
        <w:t xml:space="preserve"> means the restriction of a student</w:t>
      </w:r>
      <w:r>
        <w:t>’</w:t>
      </w:r>
      <w:r w:rsidR="00EA727B" w:rsidRPr="00166E3C">
        <w:t xml:space="preserve">s </w:t>
      </w:r>
      <w:r w:rsidR="008D0FB1" w:rsidRPr="00166E3C">
        <w:t xml:space="preserve">actions or </w:t>
      </w:r>
      <w:r w:rsidR="00EA727B" w:rsidRPr="00166E3C">
        <w:t>movement</w:t>
      </w:r>
      <w:r w:rsidR="008D0FB1" w:rsidRPr="00166E3C">
        <w:t>s</w:t>
      </w:r>
      <w:r w:rsidR="00EA727B" w:rsidRPr="00166E3C">
        <w:t xml:space="preserve"> by holding the student or </w:t>
      </w:r>
      <w:r w:rsidR="008D0FB1" w:rsidRPr="00166E3C">
        <w:t>using</w:t>
      </w:r>
      <w:r w:rsidR="00EA727B" w:rsidRPr="00166E3C">
        <w:t xml:space="preserve"> pressure </w:t>
      </w:r>
      <w:r w:rsidR="008D0FB1" w:rsidRPr="00166E3C">
        <w:t>or other means</w:t>
      </w:r>
      <w:r w:rsidR="00EA727B" w:rsidRPr="00166E3C">
        <w:t>.</w:t>
      </w:r>
    </w:p>
    <w:p w14:paraId="2CB07604" w14:textId="7FF769B0" w:rsidR="00647857" w:rsidRPr="00166E3C" w:rsidRDefault="00111440" w:rsidP="004231D7">
      <w:pPr>
        <w:pStyle w:val="PolicyBodyIndent"/>
        <w:spacing w:line="240" w:lineRule="auto"/>
      </w:pPr>
      <w:r>
        <w:t>“</w:t>
      </w:r>
      <w:r w:rsidR="00DA44A4" w:rsidRPr="00166E3C">
        <w:t>R</w:t>
      </w:r>
      <w:r w:rsidR="00EA727B" w:rsidRPr="00166E3C">
        <w:t>estraint</w:t>
      </w:r>
      <w:r>
        <w:t>”</w:t>
      </w:r>
      <w:r w:rsidR="00EA727B" w:rsidRPr="00166E3C">
        <w:t xml:space="preserve"> does not include</w:t>
      </w:r>
      <w:r w:rsidR="00DA44A4" w:rsidRPr="00166E3C">
        <w:t>:</w:t>
      </w:r>
    </w:p>
    <w:p w14:paraId="30F70669" w14:textId="056C4B3A" w:rsidR="00EA727B" w:rsidRPr="00166E3C" w:rsidRDefault="00B16D2C" w:rsidP="004231D7">
      <w:pPr>
        <w:pStyle w:val="Level2"/>
        <w:spacing w:line="240" w:lineRule="auto"/>
      </w:pPr>
      <w:r w:rsidRPr="00166E3C">
        <w:t>H</w:t>
      </w:r>
      <w:r w:rsidR="00EA727B" w:rsidRPr="00166E3C">
        <w:t>olding a student</w:t>
      </w:r>
      <w:r w:rsidR="00111440">
        <w:t>’</w:t>
      </w:r>
      <w:r w:rsidRPr="00166E3C">
        <w:t>s</w:t>
      </w:r>
      <w:r w:rsidR="00EA727B" w:rsidRPr="00166E3C">
        <w:t xml:space="preserve"> </w:t>
      </w:r>
      <w:r w:rsidR="00A14FC8" w:rsidRPr="00166E3C">
        <w:t>h</w:t>
      </w:r>
      <w:r w:rsidRPr="00166E3C">
        <w:t xml:space="preserve">and or arm to escort the student </w:t>
      </w:r>
      <w:r w:rsidR="00A14FC8" w:rsidRPr="00166E3C">
        <w:t>safely</w:t>
      </w:r>
      <w:r w:rsidRPr="00166E3C">
        <w:t xml:space="preserve"> and without the use of force from one area to another;</w:t>
      </w:r>
    </w:p>
    <w:p w14:paraId="76196064" w14:textId="645E9527" w:rsidR="00C07C94" w:rsidRPr="00166E3C" w:rsidRDefault="00C07C94" w:rsidP="004231D7">
      <w:pPr>
        <w:pStyle w:val="Level2"/>
        <w:numPr>
          <w:ilvl w:val="1"/>
          <w:numId w:val="16"/>
        </w:numPr>
        <w:spacing w:line="240" w:lineRule="auto"/>
      </w:pPr>
      <w:r w:rsidRPr="00166E3C">
        <w:t>Assisting the student to complete a task if the student does not resist the physical contact; or</w:t>
      </w:r>
    </w:p>
    <w:p w14:paraId="4693C7C6" w14:textId="77777777" w:rsidR="00C07C94" w:rsidRPr="00166E3C" w:rsidRDefault="00C07C94" w:rsidP="004231D7">
      <w:pPr>
        <w:pStyle w:val="Level2"/>
        <w:numPr>
          <w:ilvl w:val="1"/>
          <w:numId w:val="16"/>
        </w:numPr>
        <w:spacing w:line="240" w:lineRule="auto"/>
      </w:pPr>
      <w:r w:rsidRPr="00166E3C">
        <w:t>Providing reasonable intervention with the minimal exertion of force necessary if the intervention does not include a restraint prohibited under Oregon Revised Statute (ORS) 339.288 and the intervention is necessary to:</w:t>
      </w:r>
    </w:p>
    <w:p w14:paraId="2E63E30D" w14:textId="77777777" w:rsidR="00C07C94" w:rsidRPr="00166E3C" w:rsidRDefault="00C07C94" w:rsidP="004231D7">
      <w:pPr>
        <w:pStyle w:val="Level3"/>
        <w:numPr>
          <w:ilvl w:val="2"/>
          <w:numId w:val="16"/>
        </w:numPr>
        <w:spacing w:line="240" w:lineRule="auto"/>
      </w:pPr>
      <w:r w:rsidRPr="00166E3C">
        <w:t>Break up a physical fight;</w:t>
      </w:r>
    </w:p>
    <w:p w14:paraId="490A47AF" w14:textId="16A460C4" w:rsidR="00C07C94" w:rsidRPr="00166E3C" w:rsidRDefault="00C07C94" w:rsidP="004231D7">
      <w:pPr>
        <w:pStyle w:val="Level3"/>
        <w:numPr>
          <w:ilvl w:val="2"/>
          <w:numId w:val="16"/>
        </w:numPr>
        <w:spacing w:line="240" w:lineRule="auto"/>
      </w:pPr>
      <w:r w:rsidRPr="00166E3C">
        <w:t>Interrupt a student</w:t>
      </w:r>
      <w:r w:rsidR="00111440">
        <w:t>’</w:t>
      </w:r>
      <w:r w:rsidRPr="00166E3C">
        <w:t>s impulsive behavior that threatens the student</w:t>
      </w:r>
      <w:r w:rsidR="00111440">
        <w:t>’</w:t>
      </w:r>
      <w:r w:rsidRPr="00166E3C">
        <w:t>s immediate safety, including running in front of a vehicle or climbing on unsafe structures or objects; or</w:t>
      </w:r>
    </w:p>
    <w:p w14:paraId="1CADB46A" w14:textId="2A6CD5E0" w:rsidR="00F80038" w:rsidRPr="00166E3C" w:rsidRDefault="00C07C94" w:rsidP="004231D7">
      <w:pPr>
        <w:pStyle w:val="Level3"/>
        <w:spacing w:line="240" w:lineRule="auto"/>
      </w:pPr>
      <w:r w:rsidRPr="00166E3C">
        <w:t>Effectively protect oneself or another from an assault, injury or sexual contact with the minimum physical contact necessary for protection.</w:t>
      </w:r>
    </w:p>
    <w:p w14:paraId="0FBDBDD8" w14:textId="7590DBFC" w:rsidR="00EA727B" w:rsidRPr="00166E3C" w:rsidRDefault="00111440" w:rsidP="004231D7">
      <w:pPr>
        <w:pStyle w:val="Level1"/>
        <w:numPr>
          <w:ilvl w:val="0"/>
          <w:numId w:val="21"/>
        </w:numPr>
        <w:spacing w:line="240" w:lineRule="auto"/>
        <w:ind w:left="576"/>
      </w:pPr>
      <w:r>
        <w:t>“</w:t>
      </w:r>
      <w:r w:rsidR="00EA727B" w:rsidRPr="00166E3C">
        <w:t>Seclusion</w:t>
      </w:r>
      <w:r>
        <w:t>”</w:t>
      </w:r>
      <w:r w:rsidR="00EA727B" w:rsidRPr="00166E3C">
        <w:t xml:space="preserve"> means the involuntary confinement of a student alone in a room from which the student is physically prevented from leaving.</w:t>
      </w:r>
      <w:r w:rsidR="005014D7" w:rsidRPr="00166E3C">
        <w:t xml:space="preserve"> Seclusion includes, but is not limited to, the involuntary confinement of a student alone in a room with a closed door, whether the door is locked or unlocked.</w:t>
      </w:r>
    </w:p>
    <w:p w14:paraId="7D28B6D2" w14:textId="7BEDB927" w:rsidR="00EA727B" w:rsidRPr="00166E3C" w:rsidRDefault="00111440" w:rsidP="004231D7">
      <w:pPr>
        <w:pStyle w:val="PolicyBodyIndent"/>
        <w:spacing w:line="240" w:lineRule="auto"/>
      </w:pPr>
      <w:r>
        <w:t>“</w:t>
      </w:r>
      <w:r w:rsidR="00EA727B" w:rsidRPr="00166E3C">
        <w:t>Seclusion</w:t>
      </w:r>
      <w:r>
        <w:t>”</w:t>
      </w:r>
      <w:r w:rsidR="00EA727B" w:rsidRPr="00166E3C">
        <w:t xml:space="preserve"> does not include the removal of a student for a short period of time to provide the student with an opportunity to regain self-control</w:t>
      </w:r>
      <w:r w:rsidR="00F84969" w:rsidRPr="00166E3C">
        <w:t xml:space="preserve"> if the student is</w:t>
      </w:r>
      <w:r w:rsidR="00EA727B" w:rsidRPr="00166E3C">
        <w:t xml:space="preserve"> in a setting from which the student is not physically prevented from leaving</w:t>
      </w:r>
      <w:r w:rsidR="0019286F" w:rsidRPr="00166E3C">
        <w:t>,</w:t>
      </w:r>
      <w:r w:rsidR="005014D7" w:rsidRPr="00166E3C">
        <w:t xml:space="preserve"> or a student being left alone in a room with a closed door for a brief period of time if the student is left alone for a purpose that is unrelated to the student</w:t>
      </w:r>
      <w:r>
        <w:t>’</w:t>
      </w:r>
      <w:r w:rsidR="005014D7" w:rsidRPr="00166E3C">
        <w:t>s behavior</w:t>
      </w:r>
      <w:r w:rsidR="00EA727B" w:rsidRPr="00166E3C">
        <w:t>.</w:t>
      </w:r>
    </w:p>
    <w:p w14:paraId="35A67697" w14:textId="3241D1CB" w:rsidR="003C1B3B" w:rsidRPr="00166E3C" w:rsidRDefault="00111440" w:rsidP="004231D7">
      <w:pPr>
        <w:pStyle w:val="Level1"/>
        <w:numPr>
          <w:ilvl w:val="0"/>
          <w:numId w:val="21"/>
        </w:numPr>
        <w:spacing w:line="240" w:lineRule="auto"/>
        <w:ind w:left="576"/>
      </w:pPr>
      <w:r>
        <w:lastRenderedPageBreak/>
        <w:t>“</w:t>
      </w:r>
      <w:r w:rsidR="003C1B3B" w:rsidRPr="00166E3C">
        <w:t>Seclusion cell</w:t>
      </w:r>
      <w:r>
        <w:t>”</w:t>
      </w:r>
      <w:r w:rsidR="003C1B3B" w:rsidRPr="00166E3C">
        <w:t xml:space="preserve"> means a freestanding, self-contained unit that is used to isolate the student from other students or physically prevent a student from leaving the unit or cause the student to believe that the student is physically prevented from leaving the unit.</w:t>
      </w:r>
    </w:p>
    <w:p w14:paraId="30413EF9" w14:textId="73F8E53F" w:rsidR="00EA727B" w:rsidRPr="00166E3C" w:rsidRDefault="00111440" w:rsidP="004231D7">
      <w:pPr>
        <w:pStyle w:val="Level1"/>
        <w:numPr>
          <w:ilvl w:val="0"/>
          <w:numId w:val="21"/>
        </w:numPr>
        <w:spacing w:line="240" w:lineRule="auto"/>
        <w:ind w:left="576"/>
      </w:pPr>
      <w:r>
        <w:t>“</w:t>
      </w:r>
      <w:r w:rsidR="00EA727B" w:rsidRPr="00166E3C">
        <w:t>Serious bodily injury</w:t>
      </w:r>
      <w:r>
        <w:t>”</w:t>
      </w:r>
      <w:r w:rsidR="00EA727B" w:rsidRPr="00166E3C">
        <w:t xml:space="preserve"> means any significant impairment of the physical condition of a person, as determined by qualified medical personnel, whether self-inflicted or inflicted by someone else.</w:t>
      </w:r>
    </w:p>
    <w:p w14:paraId="491A5E27" w14:textId="76517EFA" w:rsidR="005014D7" w:rsidRPr="00166E3C" w:rsidRDefault="00111440" w:rsidP="004231D7">
      <w:pPr>
        <w:pStyle w:val="Level1"/>
        <w:tabs>
          <w:tab w:val="clear" w:pos="810"/>
          <w:tab w:val="num" w:pos="720"/>
        </w:tabs>
        <w:spacing w:line="240" w:lineRule="auto"/>
        <w:ind w:left="576"/>
      </w:pPr>
      <w:r>
        <w:t>“</w:t>
      </w:r>
      <w:r w:rsidR="005014D7" w:rsidRPr="00166E3C">
        <w:t>Substantial physical or bodily injury</w:t>
      </w:r>
      <w:r>
        <w:t>”</w:t>
      </w:r>
      <w:r w:rsidR="005014D7" w:rsidRPr="00166E3C">
        <w:t xml:space="preserve"> means any impairment of the physical condition of a person that requires some form of medical treatment.</w:t>
      </w:r>
    </w:p>
    <w:p w14:paraId="5219970B" w14:textId="7A369A12" w:rsidR="00EA727B" w:rsidRPr="00166E3C" w:rsidRDefault="00111440" w:rsidP="004231D7">
      <w:pPr>
        <w:pStyle w:val="Level1"/>
        <w:numPr>
          <w:ilvl w:val="0"/>
          <w:numId w:val="21"/>
        </w:numPr>
        <w:spacing w:line="240" w:lineRule="auto"/>
        <w:ind w:left="576"/>
      </w:pPr>
      <w:r>
        <w:t>“</w:t>
      </w:r>
      <w:r w:rsidR="00EA727B" w:rsidRPr="00166E3C">
        <w:t>Mechanical restraint</w:t>
      </w:r>
      <w:r>
        <w:t>”</w:t>
      </w:r>
      <w:r w:rsidR="00EA727B" w:rsidRPr="00166E3C">
        <w:t xml:space="preserve"> means a device used to restrict the movement of a student or the movement or normal function of a portion of the body of a student.</w:t>
      </w:r>
    </w:p>
    <w:p w14:paraId="3AC470DD" w14:textId="3B54A1D2" w:rsidR="00EA727B" w:rsidRPr="00166E3C" w:rsidRDefault="00111440" w:rsidP="004231D7">
      <w:pPr>
        <w:pStyle w:val="PolicyBodyIndent0After"/>
        <w:spacing w:after="240" w:line="240" w:lineRule="auto"/>
      </w:pPr>
      <w:r>
        <w:t>“</w:t>
      </w:r>
      <w:r w:rsidR="00EA727B" w:rsidRPr="00166E3C">
        <w:t>Mechanical restraint</w:t>
      </w:r>
      <w:r>
        <w:t>”</w:t>
      </w:r>
      <w:r w:rsidR="00EA727B" w:rsidRPr="00166E3C">
        <w:t xml:space="preserve"> does not include:</w:t>
      </w:r>
    </w:p>
    <w:p w14:paraId="099778C2" w14:textId="77777777" w:rsidR="00EA727B" w:rsidRPr="00166E3C" w:rsidRDefault="00EA727B" w:rsidP="004231D7">
      <w:pPr>
        <w:pStyle w:val="Level2"/>
        <w:spacing w:line="240" w:lineRule="auto"/>
      </w:pPr>
      <w:r w:rsidRPr="00166E3C">
        <w:t>A protective or stabilizing device ordered by a licensed physician; or</w:t>
      </w:r>
    </w:p>
    <w:p w14:paraId="13004D65" w14:textId="77777777" w:rsidR="00EA727B" w:rsidRPr="00166E3C" w:rsidRDefault="00EA727B" w:rsidP="004231D7">
      <w:pPr>
        <w:pStyle w:val="Level2"/>
        <w:spacing w:line="240" w:lineRule="auto"/>
      </w:pPr>
      <w:r w:rsidRPr="00166E3C">
        <w:t>A vehicle safety restraint when used as intended during the transport of a student in a moving vehicle.</w:t>
      </w:r>
    </w:p>
    <w:p w14:paraId="0DA5E7E6" w14:textId="5C74FA00" w:rsidR="00EA727B" w:rsidRPr="00166E3C" w:rsidRDefault="00111440" w:rsidP="004231D7">
      <w:pPr>
        <w:pStyle w:val="Level1"/>
        <w:numPr>
          <w:ilvl w:val="0"/>
          <w:numId w:val="21"/>
        </w:numPr>
        <w:spacing w:line="240" w:lineRule="auto"/>
        <w:ind w:left="576"/>
      </w:pPr>
      <w:r>
        <w:t>“</w:t>
      </w:r>
      <w:r w:rsidR="00EA727B" w:rsidRPr="00166E3C">
        <w:t>Chemical restraint</w:t>
      </w:r>
      <w:r>
        <w:t>”</w:t>
      </w:r>
      <w:r w:rsidR="00EA727B" w:rsidRPr="00166E3C">
        <w:t xml:space="preserve"> means a drug or medication that is used on a student to control behavior or restrict freedom of movement that </w:t>
      </w:r>
      <w:r w:rsidR="00022D39" w:rsidRPr="00166E3C">
        <w:t xml:space="preserve">is </w:t>
      </w:r>
      <w:r w:rsidR="00EA727B" w:rsidRPr="00166E3C">
        <w:t xml:space="preserve">not prescribed by a licensed </w:t>
      </w:r>
      <w:r w:rsidR="00022D39" w:rsidRPr="00166E3C">
        <w:t>physician</w:t>
      </w:r>
      <w:r w:rsidR="00EA727B" w:rsidRPr="00166E3C">
        <w:t xml:space="preserve"> or other qualified health professional acting under the professional</w:t>
      </w:r>
      <w:r>
        <w:t>’</w:t>
      </w:r>
      <w:r w:rsidR="00EA727B" w:rsidRPr="00166E3C">
        <w:t>s scope of practice</w:t>
      </w:r>
      <w:r w:rsidR="00022D39" w:rsidRPr="00166E3C">
        <w:t xml:space="preserve"> for standard treatment of the student</w:t>
      </w:r>
      <w:r>
        <w:t>’</w:t>
      </w:r>
      <w:r w:rsidR="00022D39" w:rsidRPr="00166E3C">
        <w:t>s medical or psychiatric condition; and administered as prescribed by a licensed physician or other qualified health professional acting under the professional</w:t>
      </w:r>
      <w:r>
        <w:t>’</w:t>
      </w:r>
      <w:r w:rsidR="00022D39" w:rsidRPr="00166E3C">
        <w:t>s scope of practice</w:t>
      </w:r>
      <w:r w:rsidR="00EA727B" w:rsidRPr="00166E3C">
        <w:t>.</w:t>
      </w:r>
    </w:p>
    <w:p w14:paraId="30BE0B9E" w14:textId="28EF45CF" w:rsidR="00EA727B" w:rsidRPr="00166E3C" w:rsidRDefault="00111440" w:rsidP="004231D7">
      <w:pPr>
        <w:pStyle w:val="Level1"/>
        <w:numPr>
          <w:ilvl w:val="0"/>
          <w:numId w:val="21"/>
        </w:numPr>
        <w:spacing w:line="240" w:lineRule="auto"/>
        <w:ind w:left="576"/>
      </w:pPr>
      <w:r>
        <w:t>“</w:t>
      </w:r>
      <w:r w:rsidR="00EA727B" w:rsidRPr="00166E3C">
        <w:t>Prone restraint</w:t>
      </w:r>
      <w:r>
        <w:t>”</w:t>
      </w:r>
      <w:r w:rsidR="00EA727B" w:rsidRPr="00166E3C">
        <w:t xml:space="preserve"> means a restraint in which a student is held face down on the floor.</w:t>
      </w:r>
    </w:p>
    <w:p w14:paraId="5B7A3252" w14:textId="12901A36" w:rsidR="00A40625" w:rsidRPr="00166E3C" w:rsidRDefault="00111440" w:rsidP="004231D7">
      <w:pPr>
        <w:pStyle w:val="Level1"/>
        <w:numPr>
          <w:ilvl w:val="0"/>
          <w:numId w:val="21"/>
        </w:numPr>
        <w:spacing w:line="240" w:lineRule="auto"/>
        <w:ind w:left="576"/>
      </w:pPr>
      <w:r>
        <w:t>“</w:t>
      </w:r>
      <w:r w:rsidR="009E7E1E" w:rsidRPr="00166E3C">
        <w:t>Supine restraint</w:t>
      </w:r>
      <w:r>
        <w:t>”</w:t>
      </w:r>
      <w:r w:rsidR="009E7E1E" w:rsidRPr="00166E3C">
        <w:t xml:space="preserve"> means a restraint in which a student is held face up on the floor.</w:t>
      </w:r>
    </w:p>
    <w:p w14:paraId="520C92F0" w14:textId="2098843A" w:rsidR="00EA727B" w:rsidRPr="00166E3C" w:rsidRDefault="00EA727B" w:rsidP="004231D7">
      <w:pPr>
        <w:pStyle w:val="PolicyBodyText"/>
        <w:spacing w:after="240" w:line="240" w:lineRule="auto"/>
      </w:pPr>
      <w:r w:rsidRPr="00166E3C">
        <w:t>Any student being restrained or secluded within the scope of the public charter school program whether in an emergency or as a part of a plan shall be constantly monitored by staff for the duration of the intervention. Any room used for seclusion of a student must meet the standards as outlined in Oregon Administrative Rule (OAR) 581-021-0568.</w:t>
      </w:r>
    </w:p>
    <w:p w14:paraId="5E2D598E" w14:textId="5128D081" w:rsidR="00EA727B" w:rsidRPr="00166E3C" w:rsidRDefault="00EA727B" w:rsidP="004231D7">
      <w:pPr>
        <w:pStyle w:val="PolicyBodyText"/>
        <w:spacing w:after="240" w:line="240" w:lineRule="auto"/>
      </w:pPr>
      <w:r w:rsidRPr="00166E3C">
        <w:t>The public charter school shall</w:t>
      </w:r>
      <w:r w:rsidR="00641BB6" w:rsidRPr="00166E3C">
        <w:t xml:space="preserve"> only</w:t>
      </w:r>
      <w:r w:rsidRPr="00166E3C">
        <w:t xml:space="preserve"> utilize </w:t>
      </w:r>
      <w:r w:rsidR="00641BB6" w:rsidRPr="00166E3C">
        <w:t>a</w:t>
      </w:r>
      <w:r w:rsidRPr="00166E3C">
        <w:t xml:space="preserve"> training program </w:t>
      </w:r>
      <w:r w:rsidR="00641BB6" w:rsidRPr="00166E3C">
        <w:t xml:space="preserve">for </w:t>
      </w:r>
      <w:r w:rsidRPr="00166E3C">
        <w:t xml:space="preserve">restraint </w:t>
      </w:r>
      <w:r w:rsidR="00130A94" w:rsidRPr="00166E3C">
        <w:t>or</w:t>
      </w:r>
      <w:r w:rsidRPr="00166E3C">
        <w:t xml:space="preserve"> seclusion </w:t>
      </w:r>
      <w:r w:rsidR="00641BB6" w:rsidRPr="00166E3C">
        <w:t xml:space="preserve">to train </w:t>
      </w:r>
      <w:r w:rsidRPr="00166E3C">
        <w:t>school staff</w:t>
      </w:r>
      <w:r w:rsidR="00641BB6" w:rsidRPr="00166E3C">
        <w:t xml:space="preserve"> and use in the school which has been</w:t>
      </w:r>
      <w:r w:rsidR="00130A94" w:rsidRPr="00166E3C">
        <w:t xml:space="preserve"> approved by the Oregon Department of Education (ODE)</w:t>
      </w:r>
      <w:r w:rsidRPr="00166E3C">
        <w:t xml:space="preserve">. </w:t>
      </w:r>
    </w:p>
    <w:p w14:paraId="0829339F" w14:textId="240093ED" w:rsidR="003E531D" w:rsidRPr="00166E3C" w:rsidRDefault="003E531D" w:rsidP="004231D7">
      <w:pPr>
        <w:pStyle w:val="PolicyBodyText"/>
        <w:spacing w:after="240" w:line="240" w:lineRule="auto"/>
      </w:pPr>
      <w:r w:rsidRPr="00166E3C">
        <w:t>The public charter school shall preserve, and may not destroy, any records related to an incident of restraint or seclusion, including an audio or video recording. The records must be preserved in the original format and without alteration in accordance with law.</w:t>
      </w:r>
    </w:p>
    <w:p w14:paraId="13ACD351" w14:textId="0C50A146" w:rsidR="00710776" w:rsidRPr="00166E3C" w:rsidRDefault="00EA727B" w:rsidP="004231D7">
      <w:pPr>
        <w:pStyle w:val="PolicyBodyText"/>
        <w:spacing w:after="240" w:line="240" w:lineRule="auto"/>
      </w:pPr>
      <w:r w:rsidRPr="00166E3C">
        <w:t xml:space="preserve">An annual review of the use of restraint and seclusion during the preceding school year shall be completed and submitted to </w:t>
      </w:r>
      <w:r w:rsidR="00D75D2A" w:rsidRPr="00166E3C">
        <w:t>ODE</w:t>
      </w:r>
      <w:r w:rsidRPr="00166E3C">
        <w:t xml:space="preserve"> to ensure compliance with public charter school policies and procedures.</w:t>
      </w:r>
    </w:p>
    <w:p w14:paraId="5E84998E" w14:textId="2D2AC300" w:rsidR="00EA727B" w:rsidRPr="00166E3C" w:rsidRDefault="00EA727B" w:rsidP="004231D7">
      <w:pPr>
        <w:pStyle w:val="PolicyBodyText"/>
        <w:spacing w:after="240" w:line="240" w:lineRule="auto"/>
      </w:pPr>
      <w:r w:rsidRPr="00166E3C">
        <w:t xml:space="preserve">The results of the </w:t>
      </w:r>
      <w:r w:rsidR="00001A6A" w:rsidRPr="00166E3C">
        <w:t xml:space="preserve">review and </w:t>
      </w:r>
      <w:r w:rsidRPr="00166E3C">
        <w:t xml:space="preserve">annual </w:t>
      </w:r>
      <w:r w:rsidR="00001A6A" w:rsidRPr="00166E3C">
        <w:t xml:space="preserve">report </w:t>
      </w:r>
      <w:r w:rsidRPr="00166E3C">
        <w:t>shall be documented and shall include at a minimum:</w:t>
      </w:r>
    </w:p>
    <w:p w14:paraId="4D629843" w14:textId="5C879DBB" w:rsidR="00EA727B" w:rsidRPr="00166E3C" w:rsidRDefault="00EA727B" w:rsidP="004231D7">
      <w:pPr>
        <w:pStyle w:val="Level1"/>
        <w:numPr>
          <w:ilvl w:val="0"/>
          <w:numId w:val="20"/>
        </w:numPr>
        <w:spacing w:line="240" w:lineRule="auto"/>
      </w:pPr>
      <w:r w:rsidRPr="00166E3C">
        <w:t xml:space="preserve">The total number of incidents </w:t>
      </w:r>
      <w:r w:rsidR="00001A6A" w:rsidRPr="00166E3C">
        <w:t>involving</w:t>
      </w:r>
      <w:r w:rsidRPr="00166E3C">
        <w:t xml:space="preserve"> restraint;</w:t>
      </w:r>
    </w:p>
    <w:p w14:paraId="5A783368" w14:textId="59BAFAC1" w:rsidR="00EA727B" w:rsidRPr="00166E3C" w:rsidRDefault="00EA727B" w:rsidP="004231D7">
      <w:pPr>
        <w:pStyle w:val="Level1"/>
        <w:spacing w:line="240" w:lineRule="auto"/>
      </w:pPr>
      <w:r w:rsidRPr="00166E3C">
        <w:t xml:space="preserve">The total number of incidents </w:t>
      </w:r>
      <w:r w:rsidR="00001A6A" w:rsidRPr="00166E3C">
        <w:t xml:space="preserve">involving </w:t>
      </w:r>
      <w:r w:rsidRPr="00166E3C">
        <w:t>seclusion;</w:t>
      </w:r>
    </w:p>
    <w:p w14:paraId="5058FA4B" w14:textId="77777777" w:rsidR="00EA727B" w:rsidRPr="00166E3C" w:rsidRDefault="00EA727B" w:rsidP="004231D7">
      <w:pPr>
        <w:pStyle w:val="Level1"/>
        <w:spacing w:line="240" w:lineRule="auto"/>
      </w:pPr>
      <w:r w:rsidRPr="00166E3C">
        <w:t>The total number of seclusions in a locked room;</w:t>
      </w:r>
    </w:p>
    <w:p w14:paraId="0086DD1A" w14:textId="7532A68F" w:rsidR="00EA727B" w:rsidRPr="00166E3C" w:rsidRDefault="00EA727B" w:rsidP="004231D7">
      <w:pPr>
        <w:pStyle w:val="Level1"/>
        <w:spacing w:line="240" w:lineRule="auto"/>
      </w:pPr>
      <w:r w:rsidRPr="00166E3C">
        <w:lastRenderedPageBreak/>
        <w:t>The total number of students placed in restraint;</w:t>
      </w:r>
    </w:p>
    <w:p w14:paraId="50DCD75B" w14:textId="77777777" w:rsidR="00EA727B" w:rsidRPr="00166E3C" w:rsidRDefault="00EA727B" w:rsidP="004231D7">
      <w:pPr>
        <w:pStyle w:val="Level1"/>
        <w:spacing w:line="240" w:lineRule="auto"/>
      </w:pPr>
      <w:r w:rsidRPr="00166E3C">
        <w:t>The total number of student placed in seclusion;</w:t>
      </w:r>
    </w:p>
    <w:p w14:paraId="433E9EA4" w14:textId="576BA835" w:rsidR="00EA727B" w:rsidRPr="00166E3C" w:rsidRDefault="00EA727B" w:rsidP="004231D7">
      <w:pPr>
        <w:pStyle w:val="Level1"/>
        <w:spacing w:line="240" w:lineRule="auto"/>
      </w:pPr>
      <w:r w:rsidRPr="00166E3C">
        <w:t xml:space="preserve">The total number of incidents that resulted in injuries or death to students or </w:t>
      </w:r>
      <w:r w:rsidR="00001A6A" w:rsidRPr="00166E3C">
        <w:t xml:space="preserve">staff </w:t>
      </w:r>
      <w:r w:rsidRPr="00166E3C">
        <w:t>as a result of the use of restraint or seclusion;</w:t>
      </w:r>
    </w:p>
    <w:p w14:paraId="5458E40D" w14:textId="69D318DA" w:rsidR="00EA727B" w:rsidRPr="00166E3C" w:rsidRDefault="00EA727B" w:rsidP="004231D7">
      <w:pPr>
        <w:pStyle w:val="Level1"/>
        <w:spacing w:line="240" w:lineRule="auto"/>
      </w:pPr>
      <w:r w:rsidRPr="00166E3C">
        <w:t>The total number of students placed in restraint or seclusion more than 10 times in a school year and an explanation of what steps have been taken by the public charter school to decrease the use of restraint and seclusion for each student;</w:t>
      </w:r>
    </w:p>
    <w:p w14:paraId="7131A4D4" w14:textId="1757AB14" w:rsidR="00EA727B" w:rsidRPr="00166E3C" w:rsidRDefault="00EA727B" w:rsidP="004231D7">
      <w:pPr>
        <w:pStyle w:val="Level1"/>
        <w:spacing w:line="240" w:lineRule="auto"/>
      </w:pPr>
      <w:r w:rsidRPr="00166E3C">
        <w:t xml:space="preserve">The total number of restraint </w:t>
      </w:r>
      <w:r w:rsidR="00FC68B1" w:rsidRPr="00166E3C">
        <w:t xml:space="preserve">or </w:t>
      </w:r>
      <w:r w:rsidRPr="00166E3C">
        <w:t>seclusion incidents carried out by untrained individuals;</w:t>
      </w:r>
    </w:p>
    <w:p w14:paraId="188D5E9E" w14:textId="669C74D9" w:rsidR="00EA727B" w:rsidRPr="00166E3C" w:rsidRDefault="00EA727B" w:rsidP="004231D7">
      <w:pPr>
        <w:pStyle w:val="Level1"/>
        <w:spacing w:line="240" w:lineRule="auto"/>
      </w:pPr>
      <w:r w:rsidRPr="00166E3C">
        <w:t>The demographic characteristics</w:t>
      </w:r>
      <w:r w:rsidR="00FC68B1" w:rsidRPr="00166E3C">
        <w:rPr>
          <w:rStyle w:val="FootnoteReference"/>
        </w:rPr>
        <w:footnoteReference w:id="2"/>
      </w:r>
      <w:r w:rsidRPr="00166E3C">
        <w:t xml:space="preserve"> of all students upon whom restraint or seclusion was imposed;</w:t>
      </w:r>
    </w:p>
    <w:p w14:paraId="027381C8" w14:textId="77777777" w:rsidR="00EA727B" w:rsidRPr="00166E3C" w:rsidRDefault="00EA727B" w:rsidP="004231D7">
      <w:pPr>
        <w:pStyle w:val="Level1"/>
        <w:spacing w:line="240" w:lineRule="auto"/>
      </w:pPr>
      <w:r w:rsidRPr="00166E3C">
        <w:t>The total number of rooms available for use by the public charter school for seclusion of a student and a description of the dimensions and design of the rooms.</w:t>
      </w:r>
    </w:p>
    <w:p w14:paraId="244699D8" w14:textId="3B5B3C8E" w:rsidR="00EA727B" w:rsidRPr="00166E3C" w:rsidRDefault="00EA727B" w:rsidP="004231D7">
      <w:pPr>
        <w:pStyle w:val="PolicyBodyText"/>
        <w:spacing w:after="240" w:line="240" w:lineRule="auto"/>
      </w:pPr>
      <w:r w:rsidRPr="00166E3C">
        <w:t>This</w:t>
      </w:r>
      <w:r w:rsidR="00FC68B1" w:rsidRPr="00166E3C">
        <w:t xml:space="preserve"> annual</w:t>
      </w:r>
      <w:r w:rsidRPr="00166E3C">
        <w:t xml:space="preserve"> report shall be made available to the public at the public charter </w:t>
      </w:r>
      <w:r w:rsidR="004309F7" w:rsidRPr="00166E3C">
        <w:t>school</w:t>
      </w:r>
      <w:r w:rsidR="00111440">
        <w:t>’</w:t>
      </w:r>
      <w:r w:rsidR="004309F7" w:rsidRPr="00166E3C">
        <w:t>s</w:t>
      </w:r>
      <w:r w:rsidRPr="00166E3C">
        <w:t xml:space="preserve"> main office and on the public charter school website</w:t>
      </w:r>
      <w:r w:rsidR="00030917" w:rsidRPr="00166E3C">
        <w:t>, to the Board, and to the school</w:t>
      </w:r>
      <w:r w:rsidR="00111440">
        <w:t>’</w:t>
      </w:r>
      <w:r w:rsidR="00030917" w:rsidRPr="00166E3C">
        <w:t>s sponsor</w:t>
      </w:r>
      <w:r w:rsidRPr="00166E3C">
        <w:t>.</w:t>
      </w:r>
    </w:p>
    <w:p w14:paraId="6E28A730" w14:textId="595F7EEF" w:rsidR="00EA727B" w:rsidRPr="00166E3C" w:rsidRDefault="00EA727B" w:rsidP="004231D7">
      <w:pPr>
        <w:pStyle w:val="PolicyBodyText"/>
        <w:spacing w:after="240" w:line="240" w:lineRule="auto"/>
      </w:pPr>
      <w:r w:rsidRPr="00166E3C">
        <w:t xml:space="preserve">At least once each school year the </w:t>
      </w:r>
      <w:r w:rsidR="00FC68B1" w:rsidRPr="00166E3C">
        <w:t xml:space="preserve">parents and guardians of students of the district </w:t>
      </w:r>
      <w:r w:rsidRPr="00166E3C">
        <w:t xml:space="preserve">shall be notified </w:t>
      </w:r>
      <w:r w:rsidR="00FC68B1" w:rsidRPr="00166E3C">
        <w:t>about</w:t>
      </w:r>
      <w:r w:rsidRPr="00166E3C">
        <w:t xml:space="preserve"> how to access the report.</w:t>
      </w:r>
    </w:p>
    <w:p w14:paraId="08E38954" w14:textId="2D6ADC8E" w:rsidR="00EA727B" w:rsidRPr="00166E3C" w:rsidRDefault="00EA727B" w:rsidP="004231D7">
      <w:pPr>
        <w:pStyle w:val="PolicyBodyText"/>
        <w:spacing w:after="240" w:line="240" w:lineRule="auto"/>
      </w:pPr>
      <w:r w:rsidRPr="00166E3C">
        <w:t>The public charter school shall investigate all complaints regarding the use of restraint or seclusion practices according to the procedures outlined in Board policy KL - Public Complaints and KL-AR - Public Complaint Procedure. The complaint procedure is available at the school</w:t>
      </w:r>
      <w:r w:rsidR="00111440">
        <w:t>’</w:t>
      </w:r>
      <w:r w:rsidRPr="00166E3C">
        <w:t>s administrative office and is available on the home page of the school</w:t>
      </w:r>
      <w:r w:rsidR="00111440">
        <w:t>’</w:t>
      </w:r>
      <w:r w:rsidRPr="00166E3C">
        <w:t>s website.</w:t>
      </w:r>
    </w:p>
    <w:p w14:paraId="3F2F482E" w14:textId="52B33951" w:rsidR="003E531D" w:rsidRPr="00166E3C" w:rsidRDefault="003E531D" w:rsidP="004231D7">
      <w:pPr>
        <w:pStyle w:val="PolicyBodyText"/>
        <w:spacing w:after="240" w:line="240" w:lineRule="auto"/>
      </w:pPr>
      <w:r w:rsidRPr="00166E3C">
        <w:t>The complainant, whether an organization or an individual, may appeal a final decision to the Oregon Department of Education pursuant to OAR 581-002-0001 - 581-002-0023.</w:t>
      </w:r>
    </w:p>
    <w:p w14:paraId="6CFDFDE0" w14:textId="60FFF91B" w:rsidR="00EA727B" w:rsidRPr="00166E3C" w:rsidRDefault="00EA727B" w:rsidP="004231D7">
      <w:pPr>
        <w:pStyle w:val="PolicyBodyText"/>
        <w:spacing w:after="240" w:line="240" w:lineRule="auto"/>
      </w:pPr>
      <w:r w:rsidRPr="00166E3C">
        <w:t xml:space="preserve">The </w:t>
      </w:r>
      <w:r w:rsidR="002758D4" w:rsidRPr="00166E3C">
        <w:t>administrator</w:t>
      </w:r>
      <w:r w:rsidRPr="00166E3C">
        <w:t xml:space="preserve"> shall develop administrative regulations to carry out the requirements set forth in this policy and to meet any additional requirements established by law related to the use, reporting and written documentation of the use of restraint or seclusion by public charter school </w:t>
      </w:r>
      <w:r w:rsidR="00FC68B1" w:rsidRPr="00166E3C">
        <w:t>staff</w:t>
      </w:r>
      <w:r w:rsidRPr="00166E3C">
        <w:t>.</w:t>
      </w:r>
      <w:r w:rsidR="003E531D" w:rsidRPr="00166E3C">
        <w:t xml:space="preserve"> A staff member who violates this policy or its administrative regulation may be subject to discipline, up to and including dismissal.</w:t>
      </w:r>
    </w:p>
    <w:p w14:paraId="3F386C8B" w14:textId="77777777" w:rsidR="00EA727B" w:rsidRPr="00166E3C" w:rsidRDefault="00EA727B" w:rsidP="004231D7">
      <w:pPr>
        <w:pStyle w:val="PolicyBodyText"/>
      </w:pPr>
      <w:r w:rsidRPr="00166E3C">
        <w:t>END OF POLICY</w:t>
      </w:r>
    </w:p>
    <w:p w14:paraId="72A8F08D" w14:textId="77777777" w:rsidR="00EA727B" w:rsidRPr="00166E3C" w:rsidRDefault="00EA727B" w:rsidP="004231D7">
      <w:pPr>
        <w:pStyle w:val="PolicyLine"/>
      </w:pPr>
    </w:p>
    <w:p w14:paraId="2461DDD7" w14:textId="77777777" w:rsidR="00111440" w:rsidRDefault="00111440">
      <w:pPr>
        <w:suppressAutoHyphens w:val="0"/>
        <w:spacing w:after="160" w:line="259" w:lineRule="auto"/>
        <w:rPr>
          <w:rFonts w:ascii="Times New Roman Bold" w:hAnsi="Times New Roman Bold"/>
          <w:b/>
          <w:sz w:val="20"/>
        </w:rPr>
      </w:pPr>
      <w:r>
        <w:br w:type="page"/>
      </w:r>
    </w:p>
    <w:p w14:paraId="56214C2E" w14:textId="068B2D9F" w:rsidR="00EA727B" w:rsidRPr="0041198A" w:rsidRDefault="00EA727B" w:rsidP="004231D7">
      <w:pPr>
        <w:pStyle w:val="PolicyReferencesHeading"/>
      </w:pPr>
      <w:r w:rsidRPr="0041198A">
        <w:lastRenderedPageBreak/>
        <w:t>Legal Reference(s):</w:t>
      </w:r>
    </w:p>
    <w:p w14:paraId="56745D65" w14:textId="77777777" w:rsidR="00EA727B" w:rsidRPr="0041198A" w:rsidRDefault="00EA727B" w:rsidP="004231D7">
      <w:pPr>
        <w:pStyle w:val="PolicyReferences"/>
      </w:pPr>
      <w:bookmarkStart w:id="0" w:name="Laws"/>
      <w:bookmarkEnd w:id="0"/>
    </w:p>
    <w:p w14:paraId="492FDFFB" w14:textId="77777777" w:rsidR="00EA727B" w:rsidRPr="0041198A" w:rsidRDefault="00EA727B" w:rsidP="004231D7">
      <w:pPr>
        <w:pStyle w:val="PolicyReferences"/>
        <w:sectPr w:rsidR="00EA727B" w:rsidRPr="0041198A" w:rsidSect="00EA727B">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1" w:name="ORS"/>
    <w:bookmarkEnd w:id="1"/>
    <w:p w14:paraId="4CB0766D" w14:textId="693588D7" w:rsidR="00EA727B" w:rsidRPr="0041198A" w:rsidRDefault="000C38D6" w:rsidP="004231D7">
      <w:pPr>
        <w:pStyle w:val="PolicyReferences"/>
      </w:pPr>
      <w:r w:rsidRPr="0041198A">
        <w:rPr>
          <w:rStyle w:val="SYSHYPERTEXT"/>
        </w:rPr>
        <w:fldChar w:fldCharType="begin"/>
      </w:r>
      <w:r w:rsidRPr="0041198A">
        <w:rPr>
          <w:rStyle w:val="SYSHYPERTEXT"/>
        </w:rPr>
        <w:instrText xml:space="preserve"> HYPERLINK "http://policy.osba.org/orsredir.asp?ors=ors-161" </w:instrText>
      </w:r>
      <w:r w:rsidRPr="0041198A">
        <w:rPr>
          <w:rStyle w:val="SYSHYPERTEXT"/>
        </w:rPr>
      </w:r>
      <w:r w:rsidRPr="0041198A">
        <w:rPr>
          <w:rStyle w:val="SYSHYPERTEXT"/>
        </w:rPr>
        <w:fldChar w:fldCharType="separate"/>
      </w:r>
      <w:r w:rsidRPr="0041198A">
        <w:rPr>
          <w:rStyle w:val="Hyperlink"/>
        </w:rPr>
        <w:t>ORS 161</w:t>
      </w:r>
      <w:r w:rsidRPr="0041198A">
        <w:rPr>
          <w:rStyle w:val="SYSHYPERTEXT"/>
        </w:rPr>
        <w:fldChar w:fldCharType="end"/>
      </w:r>
      <w:r w:rsidR="00EA727B" w:rsidRPr="0041198A">
        <w:t>.205</w:t>
      </w:r>
    </w:p>
    <w:p w14:paraId="28BC1010" w14:textId="1DC992D3" w:rsidR="00EA727B" w:rsidRPr="0041198A" w:rsidRDefault="000C38D6" w:rsidP="004231D7">
      <w:pPr>
        <w:pStyle w:val="PolicyReferences"/>
      </w:pPr>
      <w:hyperlink r:id="rId14" w:history="1">
        <w:r w:rsidRPr="0041198A">
          <w:rPr>
            <w:rStyle w:val="Hyperlink"/>
          </w:rPr>
          <w:t>ORS 339</w:t>
        </w:r>
      </w:hyperlink>
      <w:r w:rsidR="00EA727B" w:rsidRPr="0041198A">
        <w:t>.250</w:t>
      </w:r>
    </w:p>
    <w:p w14:paraId="51C0EED5" w14:textId="424AB163" w:rsidR="00EA727B" w:rsidRPr="0041198A" w:rsidRDefault="000C38D6" w:rsidP="004231D7">
      <w:pPr>
        <w:pStyle w:val="PolicyReferences"/>
      </w:pPr>
      <w:hyperlink r:id="rId15" w:history="1">
        <w:r w:rsidRPr="0041198A">
          <w:rPr>
            <w:rStyle w:val="Hyperlink"/>
          </w:rPr>
          <w:t>ORS 339</w:t>
        </w:r>
      </w:hyperlink>
      <w:r w:rsidR="00EA727B" w:rsidRPr="0041198A">
        <w:t>.285</w:t>
      </w:r>
    </w:p>
    <w:p w14:paraId="719743FB" w14:textId="004A9725" w:rsidR="00EA727B" w:rsidRPr="0041198A" w:rsidRDefault="000C38D6" w:rsidP="004231D7">
      <w:pPr>
        <w:pStyle w:val="PolicyReferences"/>
      </w:pPr>
      <w:hyperlink r:id="rId16" w:history="1">
        <w:r w:rsidRPr="0041198A">
          <w:rPr>
            <w:rStyle w:val="Hyperlink"/>
          </w:rPr>
          <w:t>ORS 339</w:t>
        </w:r>
      </w:hyperlink>
      <w:r w:rsidR="00EA727B" w:rsidRPr="0041198A">
        <w:t>.288</w:t>
      </w:r>
    </w:p>
    <w:p w14:paraId="5317F5E2" w14:textId="26FF3973" w:rsidR="00EA727B" w:rsidRPr="0041198A" w:rsidRDefault="000C38D6" w:rsidP="004231D7">
      <w:pPr>
        <w:pStyle w:val="PolicyReferences"/>
      </w:pPr>
      <w:hyperlink r:id="rId17" w:history="1">
        <w:r w:rsidRPr="0041198A">
          <w:rPr>
            <w:rStyle w:val="Hyperlink"/>
          </w:rPr>
          <w:t>ORS 339</w:t>
        </w:r>
      </w:hyperlink>
      <w:r w:rsidR="00EA727B" w:rsidRPr="0041198A">
        <w:t>.291</w:t>
      </w:r>
    </w:p>
    <w:p w14:paraId="03656B78" w14:textId="7A2EFE2C" w:rsidR="007719E5" w:rsidRPr="0041198A" w:rsidRDefault="000C38D6" w:rsidP="004231D7">
      <w:pPr>
        <w:pStyle w:val="PolicyReferences"/>
      </w:pPr>
      <w:hyperlink r:id="rId18" w:history="1">
        <w:r w:rsidRPr="0041198A">
          <w:rPr>
            <w:rStyle w:val="Hyperlink"/>
          </w:rPr>
          <w:t>ORS 339</w:t>
        </w:r>
      </w:hyperlink>
      <w:r w:rsidRPr="0041198A">
        <w:t>.294</w:t>
      </w:r>
    </w:p>
    <w:p w14:paraId="43217476" w14:textId="667CCD64" w:rsidR="000C38D6" w:rsidRPr="0041198A" w:rsidRDefault="000C38D6" w:rsidP="004231D7">
      <w:pPr>
        <w:pStyle w:val="PolicyReferences"/>
      </w:pPr>
      <w:hyperlink r:id="rId19" w:history="1">
        <w:r w:rsidRPr="0041198A">
          <w:rPr>
            <w:rStyle w:val="Hyperlink"/>
          </w:rPr>
          <w:t>ORS 339</w:t>
        </w:r>
      </w:hyperlink>
      <w:r w:rsidRPr="0041198A">
        <w:t>.297</w:t>
      </w:r>
    </w:p>
    <w:p w14:paraId="28CD2B5A" w14:textId="2B1777B1" w:rsidR="000C38D6" w:rsidRPr="0041198A" w:rsidRDefault="000C38D6" w:rsidP="004231D7">
      <w:pPr>
        <w:pStyle w:val="PolicyReferences"/>
      </w:pPr>
      <w:hyperlink r:id="rId20" w:history="1">
        <w:r w:rsidRPr="0041198A">
          <w:rPr>
            <w:rStyle w:val="Hyperlink"/>
          </w:rPr>
          <w:t>ORS 339</w:t>
        </w:r>
      </w:hyperlink>
      <w:r w:rsidRPr="0041198A">
        <w:t>.300</w:t>
      </w:r>
    </w:p>
    <w:p w14:paraId="277E9FBB" w14:textId="4DF82C3D" w:rsidR="000C38D6" w:rsidRPr="0041198A" w:rsidRDefault="000C38D6" w:rsidP="004231D7">
      <w:pPr>
        <w:pStyle w:val="PolicyReferences"/>
      </w:pPr>
      <w:hyperlink r:id="rId21" w:history="1">
        <w:r w:rsidRPr="0041198A">
          <w:rPr>
            <w:rStyle w:val="Hyperlink"/>
          </w:rPr>
          <w:t>ORS 339</w:t>
        </w:r>
      </w:hyperlink>
      <w:r w:rsidRPr="0041198A">
        <w:t>.303</w:t>
      </w:r>
    </w:p>
    <w:p w14:paraId="5940C920" w14:textId="77777777" w:rsidR="00EA727B" w:rsidRPr="0041198A" w:rsidRDefault="00EA727B" w:rsidP="004231D7">
      <w:pPr>
        <w:pStyle w:val="PolicyReferences"/>
      </w:pPr>
    </w:p>
    <w:bookmarkStart w:id="2" w:name="OAR"/>
    <w:bookmarkEnd w:id="2"/>
    <w:p w14:paraId="2570AB4A" w14:textId="74A76F31" w:rsidR="00EA727B" w:rsidRPr="0041198A" w:rsidRDefault="00326539" w:rsidP="004231D7">
      <w:pPr>
        <w:pStyle w:val="PolicyReferences"/>
      </w:pPr>
      <w:r w:rsidRPr="0041198A">
        <w:fldChar w:fldCharType="begin"/>
      </w:r>
      <w:r w:rsidRPr="0041198A">
        <w:instrText xml:space="preserve"> HYPERLINK "http://policy.osba.org/orsredir.asp?ors=oar-581" </w:instrText>
      </w:r>
      <w:r w:rsidRPr="0041198A">
        <w:fldChar w:fldCharType="separate"/>
      </w:r>
      <w:r w:rsidRPr="0041198A">
        <w:rPr>
          <w:rStyle w:val="Hyperlink"/>
        </w:rPr>
        <w:t>OAR 581</w:t>
      </w:r>
      <w:r w:rsidRPr="0041198A">
        <w:fldChar w:fldCharType="end"/>
      </w:r>
      <w:r w:rsidR="00EA727B" w:rsidRPr="0041198A">
        <w:t>-021-0061</w:t>
      </w:r>
    </w:p>
    <w:p w14:paraId="6E68077A" w14:textId="0CE77D9C" w:rsidR="00EA727B" w:rsidRPr="0041198A" w:rsidRDefault="00326539" w:rsidP="004231D7">
      <w:pPr>
        <w:pStyle w:val="PolicyReferences"/>
      </w:pPr>
      <w:hyperlink r:id="rId22" w:history="1">
        <w:r w:rsidRPr="0041198A">
          <w:rPr>
            <w:rStyle w:val="Hyperlink"/>
          </w:rPr>
          <w:t>OAR 581</w:t>
        </w:r>
      </w:hyperlink>
      <w:r w:rsidR="00EA727B" w:rsidRPr="0041198A">
        <w:t>-021-0550</w:t>
      </w:r>
    </w:p>
    <w:p w14:paraId="27F3CC1B" w14:textId="2085DEE9" w:rsidR="00EA727B" w:rsidRPr="0041198A" w:rsidRDefault="00326539" w:rsidP="004231D7">
      <w:pPr>
        <w:pStyle w:val="PolicyReferences"/>
      </w:pPr>
      <w:hyperlink r:id="rId23" w:history="1">
        <w:r w:rsidRPr="0041198A">
          <w:rPr>
            <w:rStyle w:val="Hyperlink"/>
          </w:rPr>
          <w:t>OAR 581</w:t>
        </w:r>
      </w:hyperlink>
      <w:r w:rsidR="00EA727B" w:rsidRPr="0041198A">
        <w:t>-021-0553</w:t>
      </w:r>
    </w:p>
    <w:p w14:paraId="4EE9FA27" w14:textId="18162B9E" w:rsidR="00EA727B" w:rsidRPr="0041198A" w:rsidRDefault="00326539" w:rsidP="004231D7">
      <w:pPr>
        <w:pStyle w:val="PolicyReferences"/>
      </w:pPr>
      <w:hyperlink r:id="rId24" w:history="1">
        <w:r w:rsidRPr="0041198A">
          <w:rPr>
            <w:rStyle w:val="Hyperlink"/>
          </w:rPr>
          <w:t>OAR 581</w:t>
        </w:r>
      </w:hyperlink>
      <w:r w:rsidR="00EA727B" w:rsidRPr="0041198A">
        <w:t>-021-0556</w:t>
      </w:r>
    </w:p>
    <w:p w14:paraId="74200924" w14:textId="5C681072" w:rsidR="00EA727B" w:rsidRPr="0041198A" w:rsidRDefault="00326539" w:rsidP="004231D7">
      <w:pPr>
        <w:pStyle w:val="PolicyReferences"/>
      </w:pPr>
      <w:hyperlink r:id="rId25" w:history="1">
        <w:r w:rsidRPr="0041198A">
          <w:rPr>
            <w:rStyle w:val="Hyperlink"/>
          </w:rPr>
          <w:t>OAR 581</w:t>
        </w:r>
      </w:hyperlink>
      <w:r w:rsidR="00EA727B" w:rsidRPr="0041198A">
        <w:t>-021-0563</w:t>
      </w:r>
    </w:p>
    <w:p w14:paraId="0C0B9F92" w14:textId="0EB39B0E" w:rsidR="00EA727B" w:rsidRPr="0041198A" w:rsidRDefault="00326539" w:rsidP="004231D7">
      <w:pPr>
        <w:pStyle w:val="PolicyReferences"/>
      </w:pPr>
      <w:hyperlink r:id="rId26" w:history="1">
        <w:r w:rsidRPr="0041198A">
          <w:rPr>
            <w:rStyle w:val="Hyperlink"/>
          </w:rPr>
          <w:t>OAR 581</w:t>
        </w:r>
      </w:hyperlink>
      <w:r w:rsidR="00EA727B" w:rsidRPr="0041198A">
        <w:t>-021-0566</w:t>
      </w:r>
    </w:p>
    <w:p w14:paraId="34F55BDD" w14:textId="68BFA39B" w:rsidR="00EA727B" w:rsidRPr="0041198A" w:rsidRDefault="00326539" w:rsidP="004231D7">
      <w:pPr>
        <w:pStyle w:val="PolicyReferences"/>
      </w:pPr>
      <w:hyperlink r:id="rId27" w:history="1">
        <w:r w:rsidRPr="0041198A">
          <w:rPr>
            <w:rStyle w:val="Hyperlink"/>
          </w:rPr>
          <w:t>OAR 581</w:t>
        </w:r>
      </w:hyperlink>
      <w:r w:rsidR="00EA727B" w:rsidRPr="0041198A">
        <w:t>-021-0568</w:t>
      </w:r>
    </w:p>
    <w:p w14:paraId="43D1ED20" w14:textId="155F52EF" w:rsidR="00EA727B" w:rsidRPr="0041198A" w:rsidRDefault="00326539" w:rsidP="004231D7">
      <w:pPr>
        <w:pStyle w:val="PolicyReferences"/>
      </w:pPr>
      <w:hyperlink r:id="rId28" w:history="1">
        <w:r w:rsidRPr="0041198A">
          <w:rPr>
            <w:rStyle w:val="Hyperlink"/>
          </w:rPr>
          <w:t>OAR 581</w:t>
        </w:r>
      </w:hyperlink>
      <w:r w:rsidR="00EA727B" w:rsidRPr="0041198A">
        <w:t>-021-0569</w:t>
      </w:r>
    </w:p>
    <w:p w14:paraId="6782B52C" w14:textId="1CC8FEFA" w:rsidR="00EA727B" w:rsidRPr="0041198A" w:rsidRDefault="00326539" w:rsidP="004231D7">
      <w:pPr>
        <w:pStyle w:val="PolicyReferences"/>
      </w:pPr>
      <w:hyperlink r:id="rId29" w:history="1">
        <w:r w:rsidRPr="0041198A">
          <w:rPr>
            <w:rStyle w:val="Hyperlink"/>
          </w:rPr>
          <w:t>OAR 581</w:t>
        </w:r>
      </w:hyperlink>
      <w:r w:rsidR="00EA727B" w:rsidRPr="0041198A">
        <w:t>-021-0570</w:t>
      </w:r>
    </w:p>
    <w:p w14:paraId="1CFB2B36" w14:textId="3EBF8FE8" w:rsidR="0062243A" w:rsidRPr="0041198A" w:rsidRDefault="00326539" w:rsidP="004231D7">
      <w:pPr>
        <w:pStyle w:val="PolicyReferences"/>
      </w:pPr>
      <w:hyperlink r:id="rId30" w:history="1">
        <w:r w:rsidRPr="0041198A">
          <w:rPr>
            <w:rStyle w:val="Hyperlink"/>
          </w:rPr>
          <w:t>OAR 581</w:t>
        </w:r>
      </w:hyperlink>
      <w:r w:rsidR="009F6CD0" w:rsidRPr="0041198A">
        <w:t>-022-2267</w:t>
      </w:r>
    </w:p>
    <w:p w14:paraId="1C6D3CF1" w14:textId="1468617D" w:rsidR="00EA727B" w:rsidRPr="0041198A" w:rsidRDefault="00326539" w:rsidP="004231D7">
      <w:pPr>
        <w:pStyle w:val="PolicyReferences"/>
        <w:sectPr w:rsidR="00EA727B" w:rsidRPr="0041198A" w:rsidSect="00EA727B">
          <w:footerReference w:type="default" r:id="rId31"/>
          <w:type w:val="continuous"/>
          <w:pgSz w:w="12240" w:h="15840"/>
          <w:pgMar w:top="936" w:right="720" w:bottom="720" w:left="1224" w:header="432" w:footer="720" w:gutter="0"/>
          <w:cols w:num="3" w:space="720" w:equalWidth="0">
            <w:col w:w="2952" w:space="720"/>
            <w:col w:w="2952" w:space="720"/>
            <w:col w:w="2952"/>
          </w:cols>
          <w:noEndnote/>
          <w:docGrid w:linePitch="326"/>
        </w:sectPr>
      </w:pPr>
      <w:hyperlink r:id="rId32" w:history="1">
        <w:r w:rsidRPr="0041198A">
          <w:rPr>
            <w:rStyle w:val="Hyperlink"/>
          </w:rPr>
          <w:t>OAR 581</w:t>
        </w:r>
      </w:hyperlink>
      <w:r w:rsidR="00EA727B" w:rsidRPr="0041198A">
        <w:t>-022-2370</w:t>
      </w:r>
    </w:p>
    <w:p w14:paraId="71DB9179" w14:textId="77777777" w:rsidR="00E20984" w:rsidRPr="0041198A" w:rsidRDefault="00E20984" w:rsidP="004231D7">
      <w:pPr>
        <w:pStyle w:val="PolicyReferences"/>
      </w:pPr>
      <w:bookmarkStart w:id="3" w:name="LawsEnd"/>
      <w:bookmarkEnd w:id="3"/>
    </w:p>
    <w:p w14:paraId="65C427EB" w14:textId="77777777" w:rsidR="0041198A" w:rsidRPr="0041198A" w:rsidRDefault="0041198A" w:rsidP="004231D7">
      <w:pPr>
        <w:pStyle w:val="PolicyReferences"/>
      </w:pPr>
    </w:p>
    <w:p w14:paraId="718516C4" w14:textId="6D0AA353" w:rsidR="0041198A" w:rsidRPr="0041198A" w:rsidRDefault="0041198A" w:rsidP="0041198A">
      <w:pPr>
        <w:pStyle w:val="PolicyReferences"/>
        <w:rPr>
          <w:b/>
        </w:rPr>
      </w:pPr>
      <w:bookmarkStart w:id="4" w:name="XREFS"/>
      <w:bookmarkEnd w:id="4"/>
      <w:r w:rsidRPr="0041198A">
        <w:rPr>
          <w:b/>
        </w:rPr>
        <w:t>Cross Reference(s):</w:t>
      </w:r>
    </w:p>
    <w:p w14:paraId="4ED15DFF" w14:textId="77777777" w:rsidR="0041198A" w:rsidRPr="0041198A" w:rsidRDefault="0041198A" w:rsidP="0041198A">
      <w:pPr>
        <w:pStyle w:val="PolicyReferences"/>
      </w:pPr>
    </w:p>
    <w:p w14:paraId="662B651B" w14:textId="74980ABF" w:rsidR="0041198A" w:rsidRPr="0041198A" w:rsidRDefault="0041198A" w:rsidP="0041198A">
      <w:pPr>
        <w:pStyle w:val="PolicyReferences"/>
      </w:pPr>
      <w:r w:rsidRPr="0041198A">
        <w:t>JGA - Corporal Punishment</w:t>
      </w:r>
    </w:p>
    <w:p w14:paraId="1D951534" w14:textId="07E128B7" w:rsidR="0041198A" w:rsidRPr="0041198A" w:rsidRDefault="0041198A" w:rsidP="0041198A">
      <w:pPr>
        <w:pStyle w:val="PolicyReferences"/>
      </w:pPr>
      <w:r w:rsidRPr="0041198A">
        <w:t>JGDA - Discipline of Students with Disabilities</w:t>
      </w:r>
    </w:p>
    <w:sectPr w:rsidR="0041198A" w:rsidRPr="0041198A" w:rsidSect="00EA727B">
      <w:footerReference w:type="default" r:id="rId33"/>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F2D99" w14:textId="77777777" w:rsidR="00EA727B" w:rsidRDefault="00EA727B" w:rsidP="00FC3907">
      <w:r>
        <w:separator/>
      </w:r>
    </w:p>
  </w:endnote>
  <w:endnote w:type="continuationSeparator" w:id="0">
    <w:p w14:paraId="0992C934" w14:textId="77777777" w:rsidR="00EA727B" w:rsidRDefault="00EA727B"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1A6FF" w14:textId="77777777" w:rsidR="005A6241" w:rsidRDefault="005A62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EA727B" w:rsidRPr="00166E3C" w14:paraId="6B35C13F" w14:textId="77777777" w:rsidTr="004616AD">
      <w:tc>
        <w:tcPr>
          <w:tcW w:w="2340" w:type="dxa"/>
        </w:tcPr>
        <w:p w14:paraId="74AFCBA7" w14:textId="1D63B2EC" w:rsidR="00EA727B" w:rsidRPr="00166E3C" w:rsidRDefault="00EA727B" w:rsidP="004616AD">
          <w:pPr>
            <w:pStyle w:val="Footer"/>
            <w:rPr>
              <w:noProof/>
              <w:sz w:val="20"/>
            </w:rPr>
          </w:pPr>
        </w:p>
      </w:tc>
      <w:tc>
        <w:tcPr>
          <w:tcW w:w="7956" w:type="dxa"/>
        </w:tcPr>
        <w:p w14:paraId="1724C0B4" w14:textId="3A0DC7C5" w:rsidR="00EA727B" w:rsidRPr="00166E3C" w:rsidRDefault="00EA727B" w:rsidP="004616AD">
          <w:pPr>
            <w:pStyle w:val="Footer"/>
            <w:jc w:val="right"/>
          </w:pPr>
          <w:r w:rsidRPr="00166E3C">
            <w:t xml:space="preserve">Use of Restraint </w:t>
          </w:r>
          <w:r w:rsidR="006573BA" w:rsidRPr="00166E3C">
            <w:t xml:space="preserve">or </w:t>
          </w:r>
          <w:r w:rsidRPr="00166E3C">
            <w:t>Seclusion</w:t>
          </w:r>
          <w:r w:rsidR="006573BA" w:rsidRPr="00166E3C">
            <w:t>**</w:t>
          </w:r>
          <w:r w:rsidRPr="00166E3C">
            <w:t xml:space="preserve"> – JGAB</w:t>
          </w:r>
        </w:p>
        <w:p w14:paraId="780176C1" w14:textId="77777777" w:rsidR="00EA727B" w:rsidRPr="00166E3C" w:rsidRDefault="00EA727B" w:rsidP="004616AD">
          <w:pPr>
            <w:pStyle w:val="Footer"/>
            <w:jc w:val="right"/>
            <w:rPr>
              <w:sz w:val="20"/>
            </w:rPr>
          </w:pPr>
          <w:r w:rsidRPr="00166E3C">
            <w:rPr>
              <w:bCs/>
              <w:noProof/>
            </w:rPr>
            <w:fldChar w:fldCharType="begin"/>
          </w:r>
          <w:r w:rsidRPr="00166E3C">
            <w:rPr>
              <w:bCs/>
              <w:noProof/>
            </w:rPr>
            <w:instrText xml:space="preserve"> PAGE  \* Arabic  \* MERGEFORMAT </w:instrText>
          </w:r>
          <w:r w:rsidRPr="00166E3C">
            <w:rPr>
              <w:bCs/>
              <w:noProof/>
            </w:rPr>
            <w:fldChar w:fldCharType="separate"/>
          </w:r>
          <w:r w:rsidRPr="00166E3C">
            <w:rPr>
              <w:bCs/>
              <w:noProof/>
            </w:rPr>
            <w:t>1</w:t>
          </w:r>
          <w:r w:rsidRPr="00166E3C">
            <w:rPr>
              <w:bCs/>
              <w:noProof/>
            </w:rPr>
            <w:fldChar w:fldCharType="end"/>
          </w:r>
          <w:r w:rsidRPr="00166E3C">
            <w:rPr>
              <w:noProof/>
            </w:rPr>
            <w:t>-</w:t>
          </w:r>
          <w:r w:rsidRPr="00166E3C">
            <w:rPr>
              <w:bCs/>
              <w:noProof/>
            </w:rPr>
            <w:fldChar w:fldCharType="begin"/>
          </w:r>
          <w:r w:rsidRPr="00166E3C">
            <w:rPr>
              <w:bCs/>
              <w:noProof/>
            </w:rPr>
            <w:instrText xml:space="preserve"> NUMPAGES  \* Arabic  \* MERGEFORMAT </w:instrText>
          </w:r>
          <w:r w:rsidRPr="00166E3C">
            <w:rPr>
              <w:bCs/>
              <w:noProof/>
            </w:rPr>
            <w:fldChar w:fldCharType="separate"/>
          </w:r>
          <w:r w:rsidRPr="00166E3C">
            <w:rPr>
              <w:bCs/>
              <w:noProof/>
            </w:rPr>
            <w:t>1</w:t>
          </w:r>
          <w:r w:rsidRPr="00166E3C">
            <w:rPr>
              <w:bCs/>
              <w:noProof/>
            </w:rPr>
            <w:fldChar w:fldCharType="end"/>
          </w:r>
        </w:p>
      </w:tc>
    </w:tr>
  </w:tbl>
  <w:p w14:paraId="084386E6" w14:textId="77777777" w:rsidR="00EA727B" w:rsidRPr="00166E3C" w:rsidRDefault="00EA727B"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61FEE" w14:textId="77777777" w:rsidR="005A6241" w:rsidRDefault="005A624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EA727B" w:rsidRPr="00166E3C" w14:paraId="21326A00" w14:textId="77777777" w:rsidTr="004616AD">
      <w:tc>
        <w:tcPr>
          <w:tcW w:w="2340" w:type="dxa"/>
        </w:tcPr>
        <w:p w14:paraId="246FCC92" w14:textId="77777777" w:rsidR="00EA727B" w:rsidRPr="00166E3C" w:rsidRDefault="00EA727B" w:rsidP="004616AD">
          <w:pPr>
            <w:pStyle w:val="Footer"/>
            <w:rPr>
              <w:noProof/>
              <w:sz w:val="20"/>
            </w:rPr>
          </w:pPr>
          <w:r w:rsidRPr="00166E3C">
            <w:rPr>
              <w:noProof/>
              <w:sz w:val="20"/>
            </w:rPr>
            <w:t>R9/28/17│PH</w:t>
          </w:r>
        </w:p>
      </w:tc>
      <w:tc>
        <w:tcPr>
          <w:tcW w:w="7956" w:type="dxa"/>
        </w:tcPr>
        <w:p w14:paraId="7007D5FA" w14:textId="77777777" w:rsidR="00EA727B" w:rsidRPr="00166E3C" w:rsidRDefault="00EA727B" w:rsidP="004616AD">
          <w:pPr>
            <w:pStyle w:val="Footer"/>
            <w:jc w:val="right"/>
          </w:pPr>
          <w:r w:rsidRPr="00166E3C">
            <w:t>Use of Restraint and Seclusion – JGAB</w:t>
          </w:r>
        </w:p>
        <w:p w14:paraId="77A8C8F5" w14:textId="77777777" w:rsidR="00EA727B" w:rsidRPr="00166E3C" w:rsidRDefault="00EA727B" w:rsidP="004616AD">
          <w:pPr>
            <w:pStyle w:val="Footer"/>
            <w:jc w:val="right"/>
            <w:rPr>
              <w:sz w:val="20"/>
            </w:rPr>
          </w:pPr>
          <w:r w:rsidRPr="00166E3C">
            <w:rPr>
              <w:bCs/>
              <w:noProof/>
            </w:rPr>
            <w:fldChar w:fldCharType="begin"/>
          </w:r>
          <w:r w:rsidRPr="00166E3C">
            <w:rPr>
              <w:bCs/>
              <w:noProof/>
            </w:rPr>
            <w:instrText xml:space="preserve"> PAGE  \* Arabic  \* MERGEFORMAT </w:instrText>
          </w:r>
          <w:r w:rsidRPr="00166E3C">
            <w:rPr>
              <w:bCs/>
              <w:noProof/>
            </w:rPr>
            <w:fldChar w:fldCharType="separate"/>
          </w:r>
          <w:r w:rsidRPr="00166E3C">
            <w:rPr>
              <w:bCs/>
              <w:noProof/>
            </w:rPr>
            <w:t>1</w:t>
          </w:r>
          <w:r w:rsidRPr="00166E3C">
            <w:rPr>
              <w:bCs/>
              <w:noProof/>
            </w:rPr>
            <w:fldChar w:fldCharType="end"/>
          </w:r>
          <w:r w:rsidRPr="00166E3C">
            <w:rPr>
              <w:noProof/>
            </w:rPr>
            <w:t>-</w:t>
          </w:r>
          <w:r w:rsidRPr="00166E3C">
            <w:rPr>
              <w:bCs/>
              <w:noProof/>
            </w:rPr>
            <w:fldChar w:fldCharType="begin"/>
          </w:r>
          <w:r w:rsidRPr="00166E3C">
            <w:rPr>
              <w:bCs/>
              <w:noProof/>
            </w:rPr>
            <w:instrText xml:space="preserve"> NUMPAGES  \* Arabic  \* MERGEFORMAT </w:instrText>
          </w:r>
          <w:r w:rsidRPr="00166E3C">
            <w:rPr>
              <w:bCs/>
              <w:noProof/>
            </w:rPr>
            <w:fldChar w:fldCharType="separate"/>
          </w:r>
          <w:r w:rsidRPr="00166E3C">
            <w:rPr>
              <w:bCs/>
              <w:noProof/>
            </w:rPr>
            <w:t>1</w:t>
          </w:r>
          <w:r w:rsidRPr="00166E3C">
            <w:rPr>
              <w:bCs/>
              <w:noProof/>
            </w:rPr>
            <w:fldChar w:fldCharType="end"/>
          </w:r>
        </w:p>
      </w:tc>
    </w:tr>
  </w:tbl>
  <w:p w14:paraId="26193361" w14:textId="77777777" w:rsidR="00EA727B" w:rsidRPr="00166E3C" w:rsidRDefault="00EA727B"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EA727B" w:rsidRPr="00166E3C" w14:paraId="0DB4BD93" w14:textId="77777777" w:rsidTr="004616AD">
      <w:tc>
        <w:tcPr>
          <w:tcW w:w="2340" w:type="dxa"/>
        </w:tcPr>
        <w:p w14:paraId="146D06BA" w14:textId="77777777" w:rsidR="00EA727B" w:rsidRPr="00166E3C" w:rsidRDefault="00EA727B" w:rsidP="004616AD">
          <w:pPr>
            <w:pStyle w:val="Footer"/>
            <w:rPr>
              <w:noProof/>
              <w:sz w:val="20"/>
            </w:rPr>
          </w:pPr>
          <w:r w:rsidRPr="00166E3C">
            <w:rPr>
              <w:noProof/>
              <w:sz w:val="20"/>
            </w:rPr>
            <w:t>R9/28/17│PH</w:t>
          </w:r>
        </w:p>
      </w:tc>
      <w:tc>
        <w:tcPr>
          <w:tcW w:w="7956" w:type="dxa"/>
        </w:tcPr>
        <w:p w14:paraId="35A7D14E" w14:textId="77777777" w:rsidR="00EA727B" w:rsidRPr="00166E3C" w:rsidRDefault="00EA727B" w:rsidP="004616AD">
          <w:pPr>
            <w:pStyle w:val="Footer"/>
            <w:jc w:val="right"/>
          </w:pPr>
          <w:r w:rsidRPr="00166E3C">
            <w:t>Use of Restraint and Seclusion – JGAB</w:t>
          </w:r>
        </w:p>
        <w:p w14:paraId="02157EF9" w14:textId="77777777" w:rsidR="00EA727B" w:rsidRPr="00166E3C" w:rsidRDefault="00EA727B" w:rsidP="004616AD">
          <w:pPr>
            <w:pStyle w:val="Footer"/>
            <w:jc w:val="right"/>
            <w:rPr>
              <w:sz w:val="20"/>
            </w:rPr>
          </w:pPr>
          <w:r w:rsidRPr="00166E3C">
            <w:rPr>
              <w:bCs/>
              <w:noProof/>
            </w:rPr>
            <w:fldChar w:fldCharType="begin"/>
          </w:r>
          <w:r w:rsidRPr="00166E3C">
            <w:rPr>
              <w:bCs/>
              <w:noProof/>
            </w:rPr>
            <w:instrText xml:space="preserve"> PAGE  \* Arabic  \* MERGEFORMAT </w:instrText>
          </w:r>
          <w:r w:rsidRPr="00166E3C">
            <w:rPr>
              <w:bCs/>
              <w:noProof/>
            </w:rPr>
            <w:fldChar w:fldCharType="separate"/>
          </w:r>
          <w:r w:rsidRPr="00166E3C">
            <w:rPr>
              <w:bCs/>
              <w:noProof/>
            </w:rPr>
            <w:t>1</w:t>
          </w:r>
          <w:r w:rsidRPr="00166E3C">
            <w:rPr>
              <w:bCs/>
              <w:noProof/>
            </w:rPr>
            <w:fldChar w:fldCharType="end"/>
          </w:r>
          <w:r w:rsidRPr="00166E3C">
            <w:rPr>
              <w:noProof/>
            </w:rPr>
            <w:t>-</w:t>
          </w:r>
          <w:r w:rsidRPr="00166E3C">
            <w:rPr>
              <w:bCs/>
              <w:noProof/>
            </w:rPr>
            <w:fldChar w:fldCharType="begin"/>
          </w:r>
          <w:r w:rsidRPr="00166E3C">
            <w:rPr>
              <w:bCs/>
              <w:noProof/>
            </w:rPr>
            <w:instrText xml:space="preserve"> NUMPAGES  \* Arabic  \* MERGEFORMAT </w:instrText>
          </w:r>
          <w:r w:rsidRPr="00166E3C">
            <w:rPr>
              <w:bCs/>
              <w:noProof/>
            </w:rPr>
            <w:fldChar w:fldCharType="separate"/>
          </w:r>
          <w:r w:rsidRPr="00166E3C">
            <w:rPr>
              <w:bCs/>
              <w:noProof/>
            </w:rPr>
            <w:t>1</w:t>
          </w:r>
          <w:r w:rsidRPr="00166E3C">
            <w:rPr>
              <w:bCs/>
              <w:noProof/>
            </w:rPr>
            <w:fldChar w:fldCharType="end"/>
          </w:r>
        </w:p>
      </w:tc>
    </w:tr>
  </w:tbl>
  <w:p w14:paraId="69D95CD6" w14:textId="77777777" w:rsidR="00EA727B" w:rsidRPr="00166E3C" w:rsidRDefault="00EA727B"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A612C7" w14:textId="77777777" w:rsidR="00EA727B" w:rsidRDefault="00EA727B" w:rsidP="00FC3907">
      <w:r>
        <w:separator/>
      </w:r>
    </w:p>
  </w:footnote>
  <w:footnote w:type="continuationSeparator" w:id="0">
    <w:p w14:paraId="4F9F44D9" w14:textId="77777777" w:rsidR="00EA727B" w:rsidRDefault="00EA727B" w:rsidP="00FC3907">
      <w:r>
        <w:continuationSeparator/>
      </w:r>
    </w:p>
  </w:footnote>
  <w:footnote w:id="1">
    <w:p w14:paraId="53F720EE" w14:textId="75D78A15" w:rsidR="00410587" w:rsidRPr="004B551A" w:rsidRDefault="00410587" w:rsidP="004B551A">
      <w:pPr>
        <w:pStyle w:val="Level1"/>
        <w:numPr>
          <w:ilvl w:val="0"/>
          <w:numId w:val="0"/>
        </w:numPr>
        <w:shd w:val="clear" w:color="000000" w:fill="auto"/>
      </w:pPr>
      <w:r w:rsidRPr="00D72762">
        <w:rPr>
          <w:rStyle w:val="FootnoteReference"/>
          <w:sz w:val="20"/>
          <w:szCs w:val="16"/>
        </w:rPr>
        <w:footnoteRef/>
      </w:r>
      <w:r w:rsidRPr="00D72762">
        <w:rPr>
          <w:sz w:val="20"/>
          <w:szCs w:val="16"/>
        </w:rPr>
        <w:t xml:space="preserve"> </w:t>
      </w:r>
      <w:r w:rsidRPr="00166E3C">
        <w:rPr>
          <w:sz w:val="20"/>
          <w:szCs w:val="16"/>
        </w:rPr>
        <w:t>The use of a solid object, including furniture, a wall, or the floor, by public charter school staff performing a restraint is not prohibited if the object is used for the staff</w:t>
      </w:r>
      <w:r w:rsidR="00111440">
        <w:rPr>
          <w:sz w:val="20"/>
          <w:szCs w:val="16"/>
        </w:rPr>
        <w:t>’</w:t>
      </w:r>
      <w:r w:rsidRPr="00166E3C">
        <w:rPr>
          <w:sz w:val="20"/>
          <w:szCs w:val="16"/>
        </w:rPr>
        <w:t>s own stability or support while performing the restraint and not as a mechanism to apply pressure directly to the student</w:t>
      </w:r>
      <w:r w:rsidR="00111440">
        <w:rPr>
          <w:sz w:val="20"/>
          <w:szCs w:val="16"/>
        </w:rPr>
        <w:t>’</w:t>
      </w:r>
      <w:r w:rsidRPr="00166E3C">
        <w:rPr>
          <w:sz w:val="20"/>
          <w:szCs w:val="16"/>
        </w:rPr>
        <w:t>s body.</w:t>
      </w:r>
    </w:p>
  </w:footnote>
  <w:footnote w:id="2">
    <w:p w14:paraId="6ED329DF" w14:textId="77777777" w:rsidR="00FC68B1" w:rsidRPr="000C38D6" w:rsidRDefault="00FC68B1" w:rsidP="00FC68B1">
      <w:pPr>
        <w:pStyle w:val="FootnoteText"/>
        <w:rPr>
          <w:highlight w:val="darkGray"/>
        </w:rPr>
      </w:pPr>
      <w:r w:rsidRPr="00C27847">
        <w:rPr>
          <w:rStyle w:val="FootnoteReference"/>
        </w:rPr>
        <w:footnoteRef/>
      </w:r>
      <w:r w:rsidRPr="00C27847">
        <w:t xml:space="preserve"> </w:t>
      </w:r>
      <w:r w:rsidRPr="00166E3C">
        <w:t>Including race, ethnicity, gender, disability status, migrant status, English proficiency and status as economically disadvantaged, unless the demographic information would reveal personally identifiable information about an individual student.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58437" w14:textId="77777777" w:rsidR="005A6241" w:rsidRPr="00111440" w:rsidRDefault="005A62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B8601" w14:textId="77777777" w:rsidR="005A6241" w:rsidRDefault="005A62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BC295" w14:textId="77777777" w:rsidR="005A6241" w:rsidRDefault="005A62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lvl w:ilvl="0">
      <w:start w:val="1"/>
      <w:numFmt w:val="decimal"/>
      <w:lvlRestart w:val="0"/>
      <w:pStyle w:val="Level1"/>
      <w:lvlText w:val="%1."/>
      <w:lvlJc w:val="left"/>
      <w:pPr>
        <w:tabs>
          <w:tab w:val="num" w:pos="810"/>
        </w:tabs>
        <w:ind w:left="666" w:hanging="576"/>
      </w:pPr>
      <w:rPr>
        <w:rFonts w:hint="default"/>
        <w:b w:val="0"/>
        <w:i w:val="0"/>
        <w:caps w:val="0"/>
        <w:u w:val="none"/>
      </w:rPr>
    </w:lvl>
    <w:lvl w:ilvl="1">
      <w:start w:val="1"/>
      <w:numFmt w:val="lowerLetter"/>
      <w:pStyle w:val="Level2"/>
      <w:lvlText w:val="%2."/>
      <w:lvlJc w:val="left"/>
      <w:pPr>
        <w:tabs>
          <w:tab w:val="num" w:pos="1530"/>
        </w:tabs>
        <w:ind w:left="1242" w:hanging="576"/>
      </w:pPr>
      <w:rPr>
        <w:rFonts w:hint="default"/>
        <w:b w:val="0"/>
        <w:i w:val="0"/>
        <w:caps w:val="0"/>
        <w:u w:val="none"/>
      </w:rPr>
    </w:lvl>
    <w:lvl w:ilvl="2">
      <w:start w:val="1"/>
      <w:numFmt w:val="decimal"/>
      <w:pStyle w:val="Level3"/>
      <w:lvlText w:val="(%3)"/>
      <w:lvlJc w:val="left"/>
      <w:pPr>
        <w:tabs>
          <w:tab w:val="num" w:pos="2250"/>
        </w:tabs>
        <w:ind w:left="1818" w:hanging="576"/>
      </w:pPr>
      <w:rPr>
        <w:rFonts w:hint="default"/>
        <w:b w:val="0"/>
        <w:i w:val="0"/>
        <w:caps w:val="0"/>
        <w:u w:val="none"/>
      </w:rPr>
    </w:lvl>
    <w:lvl w:ilvl="3">
      <w:start w:val="1"/>
      <w:numFmt w:val="lowerLetter"/>
      <w:pStyle w:val="Level4"/>
      <w:lvlText w:val="(%4)"/>
      <w:lvlJc w:val="left"/>
      <w:pPr>
        <w:tabs>
          <w:tab w:val="num" w:pos="2970"/>
        </w:tabs>
        <w:ind w:left="2394" w:hanging="576"/>
      </w:pPr>
      <w:rPr>
        <w:rFonts w:hint="default"/>
        <w:b w:val="0"/>
        <w:i w:val="0"/>
        <w:caps w:val="0"/>
        <w:u w:val="none"/>
      </w:rPr>
    </w:lvl>
    <w:lvl w:ilvl="4">
      <w:start w:val="1"/>
      <w:numFmt w:val="lowerRoman"/>
      <w:pStyle w:val="Level5"/>
      <w:lvlText w:val="(%5)"/>
      <w:lvlJc w:val="left"/>
      <w:pPr>
        <w:tabs>
          <w:tab w:val="num" w:pos="3690"/>
        </w:tabs>
        <w:ind w:left="2970" w:hanging="576"/>
      </w:pPr>
      <w:rPr>
        <w:rFonts w:hint="default"/>
        <w:b w:val="0"/>
        <w:i w:val="0"/>
        <w:caps w:val="0"/>
        <w:u w:val="none"/>
      </w:rPr>
    </w:lvl>
    <w:lvl w:ilvl="5">
      <w:start w:val="1"/>
      <w:numFmt w:val="decimal"/>
      <w:pStyle w:val="Level6"/>
      <w:lvlText w:val="%6)"/>
      <w:lvlJc w:val="left"/>
      <w:pPr>
        <w:tabs>
          <w:tab w:val="num" w:pos="4410"/>
        </w:tabs>
        <w:ind w:left="3546" w:hanging="576"/>
      </w:pPr>
      <w:rPr>
        <w:rFonts w:hint="default"/>
        <w:b w:val="0"/>
        <w:i w:val="0"/>
        <w:caps w:val="0"/>
        <w:u w:val="none"/>
      </w:rPr>
    </w:lvl>
    <w:lvl w:ilvl="6">
      <w:start w:val="1"/>
      <w:numFmt w:val="lowerLetter"/>
      <w:pStyle w:val="Level7"/>
      <w:lvlText w:val="%7)"/>
      <w:lvlJc w:val="left"/>
      <w:pPr>
        <w:tabs>
          <w:tab w:val="num" w:pos="5130"/>
        </w:tabs>
        <w:ind w:left="4122" w:hanging="576"/>
      </w:pPr>
      <w:rPr>
        <w:rFonts w:hint="default"/>
        <w:b w:val="0"/>
        <w:i w:val="0"/>
        <w:caps w:val="0"/>
        <w:u w:val="none"/>
      </w:rPr>
    </w:lvl>
    <w:lvl w:ilvl="7">
      <w:start w:val="1"/>
      <w:numFmt w:val="lowerRoman"/>
      <w:pStyle w:val="Level8"/>
      <w:lvlText w:val="%8)"/>
      <w:lvlJc w:val="left"/>
      <w:pPr>
        <w:tabs>
          <w:tab w:val="num" w:pos="5850"/>
        </w:tabs>
        <w:ind w:left="4698" w:hanging="576"/>
      </w:pPr>
      <w:rPr>
        <w:rFonts w:hint="default"/>
        <w:b w:val="0"/>
        <w:i w:val="0"/>
        <w:caps w:val="0"/>
        <w:u w:val="none"/>
      </w:rPr>
    </w:lvl>
    <w:lvl w:ilvl="8">
      <w:start w:val="1"/>
      <w:numFmt w:val="upperLetter"/>
      <w:pStyle w:val="Level9"/>
      <w:lvlText w:val="%9)"/>
      <w:lvlJc w:val="left"/>
      <w:pPr>
        <w:tabs>
          <w:tab w:val="num" w:pos="6570"/>
        </w:tabs>
        <w:ind w:left="5274" w:hanging="576"/>
      </w:pPr>
      <w:rPr>
        <w:rFonts w:hint="default"/>
        <w:b w:val="0"/>
        <w:i w:val="0"/>
        <w:caps w:val="0"/>
        <w:color w:val="000000"/>
        <w:u w:val="none"/>
      </w:rPr>
    </w:lvl>
  </w:abstractNum>
  <w:num w:numId="1" w16cid:durableId="1304508033">
    <w:abstractNumId w:val="7"/>
  </w:num>
  <w:num w:numId="2" w16cid:durableId="99447769">
    <w:abstractNumId w:val="4"/>
  </w:num>
  <w:num w:numId="3" w16cid:durableId="1441990241">
    <w:abstractNumId w:val="4"/>
  </w:num>
  <w:num w:numId="4" w16cid:durableId="320934773">
    <w:abstractNumId w:val="3"/>
  </w:num>
  <w:num w:numId="5" w16cid:durableId="2052000623">
    <w:abstractNumId w:val="3"/>
  </w:num>
  <w:num w:numId="6" w16cid:durableId="706176054">
    <w:abstractNumId w:val="2"/>
  </w:num>
  <w:num w:numId="7" w16cid:durableId="1414012340">
    <w:abstractNumId w:val="2"/>
  </w:num>
  <w:num w:numId="8" w16cid:durableId="385955113">
    <w:abstractNumId w:val="1"/>
  </w:num>
  <w:num w:numId="9" w16cid:durableId="325090575">
    <w:abstractNumId w:val="1"/>
  </w:num>
  <w:num w:numId="10" w16cid:durableId="1287159607">
    <w:abstractNumId w:val="0"/>
  </w:num>
  <w:num w:numId="11" w16cid:durableId="363793335">
    <w:abstractNumId w:val="0"/>
  </w:num>
  <w:num w:numId="12" w16cid:durableId="1324891491">
    <w:abstractNumId w:val="6"/>
  </w:num>
  <w:num w:numId="13" w16cid:durableId="1692609700">
    <w:abstractNumId w:val="9"/>
  </w:num>
  <w:num w:numId="14" w16cid:durableId="1396511156">
    <w:abstractNumId w:val="8"/>
  </w:num>
  <w:num w:numId="15" w16cid:durableId="1466120149">
    <w:abstractNumId w:val="5"/>
  </w:num>
  <w:num w:numId="16" w16cid:durableId="5751641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766334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34710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155581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63612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595965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99274221">
    <w:abstractNumId w:val="9"/>
  </w:num>
  <w:num w:numId="23" w16cid:durableId="49616754">
    <w:abstractNumId w:val="9"/>
  </w:num>
  <w:num w:numId="24" w16cid:durableId="1084107769">
    <w:abstractNumId w:val="9"/>
  </w:num>
  <w:num w:numId="25" w16cid:durableId="844979698">
    <w:abstractNumId w:val="9"/>
  </w:num>
  <w:num w:numId="26" w16cid:durableId="13540400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10035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1A6A"/>
    <w:rsid w:val="000143A2"/>
    <w:rsid w:val="00017254"/>
    <w:rsid w:val="00022D39"/>
    <w:rsid w:val="0002578B"/>
    <w:rsid w:val="00026726"/>
    <w:rsid w:val="00030917"/>
    <w:rsid w:val="000376CE"/>
    <w:rsid w:val="00040AC0"/>
    <w:rsid w:val="000444A6"/>
    <w:rsid w:val="000511CD"/>
    <w:rsid w:val="00051559"/>
    <w:rsid w:val="00052BE8"/>
    <w:rsid w:val="000577C7"/>
    <w:rsid w:val="000617BB"/>
    <w:rsid w:val="0007087A"/>
    <w:rsid w:val="00074380"/>
    <w:rsid w:val="00083481"/>
    <w:rsid w:val="00084A96"/>
    <w:rsid w:val="00093AF4"/>
    <w:rsid w:val="00093EC6"/>
    <w:rsid w:val="00095F9B"/>
    <w:rsid w:val="00096B9C"/>
    <w:rsid w:val="000A0B47"/>
    <w:rsid w:val="000A132A"/>
    <w:rsid w:val="000A2FE8"/>
    <w:rsid w:val="000A6A9E"/>
    <w:rsid w:val="000B092A"/>
    <w:rsid w:val="000B3207"/>
    <w:rsid w:val="000B75D8"/>
    <w:rsid w:val="000C38D6"/>
    <w:rsid w:val="000D099A"/>
    <w:rsid w:val="000D522B"/>
    <w:rsid w:val="000F261A"/>
    <w:rsid w:val="000F30CA"/>
    <w:rsid w:val="000F65BE"/>
    <w:rsid w:val="000F710F"/>
    <w:rsid w:val="000F7910"/>
    <w:rsid w:val="00111440"/>
    <w:rsid w:val="00116AED"/>
    <w:rsid w:val="00123136"/>
    <w:rsid w:val="00124317"/>
    <w:rsid w:val="00125E1F"/>
    <w:rsid w:val="00130A94"/>
    <w:rsid w:val="00137065"/>
    <w:rsid w:val="00142E5B"/>
    <w:rsid w:val="001479B1"/>
    <w:rsid w:val="00151EC6"/>
    <w:rsid w:val="00152C85"/>
    <w:rsid w:val="00156EA7"/>
    <w:rsid w:val="00166E3C"/>
    <w:rsid w:val="0018025F"/>
    <w:rsid w:val="0019286F"/>
    <w:rsid w:val="00193858"/>
    <w:rsid w:val="001C1D43"/>
    <w:rsid w:val="001C3978"/>
    <w:rsid w:val="001C5C15"/>
    <w:rsid w:val="001D402E"/>
    <w:rsid w:val="001E1260"/>
    <w:rsid w:val="001E7AE7"/>
    <w:rsid w:val="001F4D2D"/>
    <w:rsid w:val="0021369D"/>
    <w:rsid w:val="00217190"/>
    <w:rsid w:val="00220705"/>
    <w:rsid w:val="00224022"/>
    <w:rsid w:val="0023033F"/>
    <w:rsid w:val="00232E1A"/>
    <w:rsid w:val="002345DA"/>
    <w:rsid w:val="00237627"/>
    <w:rsid w:val="00246025"/>
    <w:rsid w:val="002717EA"/>
    <w:rsid w:val="002758D4"/>
    <w:rsid w:val="0028031C"/>
    <w:rsid w:val="00280B93"/>
    <w:rsid w:val="002821D2"/>
    <w:rsid w:val="00284A5E"/>
    <w:rsid w:val="00286D2D"/>
    <w:rsid w:val="00290A78"/>
    <w:rsid w:val="00291695"/>
    <w:rsid w:val="002A7657"/>
    <w:rsid w:val="002B3A5C"/>
    <w:rsid w:val="002B4D07"/>
    <w:rsid w:val="002C77C7"/>
    <w:rsid w:val="002D684D"/>
    <w:rsid w:val="002F4D33"/>
    <w:rsid w:val="002F7C67"/>
    <w:rsid w:val="0030510D"/>
    <w:rsid w:val="00305489"/>
    <w:rsid w:val="00306B03"/>
    <w:rsid w:val="00311B2D"/>
    <w:rsid w:val="003173E3"/>
    <w:rsid w:val="003233D7"/>
    <w:rsid w:val="003234E0"/>
    <w:rsid w:val="00326539"/>
    <w:rsid w:val="00346329"/>
    <w:rsid w:val="003507B6"/>
    <w:rsid w:val="003527FD"/>
    <w:rsid w:val="00354BAF"/>
    <w:rsid w:val="00355C5E"/>
    <w:rsid w:val="00363573"/>
    <w:rsid w:val="00363AE7"/>
    <w:rsid w:val="00367B06"/>
    <w:rsid w:val="003804C0"/>
    <w:rsid w:val="00382F17"/>
    <w:rsid w:val="00385E10"/>
    <w:rsid w:val="003915B0"/>
    <w:rsid w:val="003A7027"/>
    <w:rsid w:val="003B3329"/>
    <w:rsid w:val="003C1B3B"/>
    <w:rsid w:val="003C7417"/>
    <w:rsid w:val="003E434D"/>
    <w:rsid w:val="003E531D"/>
    <w:rsid w:val="003E6E0C"/>
    <w:rsid w:val="003F7B66"/>
    <w:rsid w:val="00410587"/>
    <w:rsid w:val="0041198A"/>
    <w:rsid w:val="00415660"/>
    <w:rsid w:val="00415A69"/>
    <w:rsid w:val="004231D7"/>
    <w:rsid w:val="004309F7"/>
    <w:rsid w:val="004347FA"/>
    <w:rsid w:val="00440997"/>
    <w:rsid w:val="00443C38"/>
    <w:rsid w:val="00446BB1"/>
    <w:rsid w:val="00453EF5"/>
    <w:rsid w:val="00455739"/>
    <w:rsid w:val="00456577"/>
    <w:rsid w:val="00472966"/>
    <w:rsid w:val="00472B26"/>
    <w:rsid w:val="00484B66"/>
    <w:rsid w:val="00490A75"/>
    <w:rsid w:val="0049277F"/>
    <w:rsid w:val="00494174"/>
    <w:rsid w:val="004B4983"/>
    <w:rsid w:val="004B551A"/>
    <w:rsid w:val="004C1EE4"/>
    <w:rsid w:val="004C2F7D"/>
    <w:rsid w:val="004C3FDC"/>
    <w:rsid w:val="004C57E3"/>
    <w:rsid w:val="004E0C60"/>
    <w:rsid w:val="004E3582"/>
    <w:rsid w:val="004F53EB"/>
    <w:rsid w:val="005014D7"/>
    <w:rsid w:val="005112DA"/>
    <w:rsid w:val="005130E3"/>
    <w:rsid w:val="0051750D"/>
    <w:rsid w:val="00524F11"/>
    <w:rsid w:val="00527677"/>
    <w:rsid w:val="005342BD"/>
    <w:rsid w:val="00534F9F"/>
    <w:rsid w:val="00536354"/>
    <w:rsid w:val="00543474"/>
    <w:rsid w:val="005576D6"/>
    <w:rsid w:val="00557E6B"/>
    <w:rsid w:val="00573A5C"/>
    <w:rsid w:val="005A0A48"/>
    <w:rsid w:val="005A4EEB"/>
    <w:rsid w:val="005A508F"/>
    <w:rsid w:val="005A6241"/>
    <w:rsid w:val="005A6BFA"/>
    <w:rsid w:val="005B5E10"/>
    <w:rsid w:val="005C1564"/>
    <w:rsid w:val="005D683F"/>
    <w:rsid w:val="005E06B3"/>
    <w:rsid w:val="005E3F0A"/>
    <w:rsid w:val="005F3316"/>
    <w:rsid w:val="0060463A"/>
    <w:rsid w:val="00611427"/>
    <w:rsid w:val="0061672C"/>
    <w:rsid w:val="00620542"/>
    <w:rsid w:val="00620A00"/>
    <w:rsid w:val="00621D2B"/>
    <w:rsid w:val="0062243A"/>
    <w:rsid w:val="0062603D"/>
    <w:rsid w:val="00634B0E"/>
    <w:rsid w:val="00636200"/>
    <w:rsid w:val="00641BB6"/>
    <w:rsid w:val="00645006"/>
    <w:rsid w:val="00647857"/>
    <w:rsid w:val="00652587"/>
    <w:rsid w:val="00652F01"/>
    <w:rsid w:val="006573BA"/>
    <w:rsid w:val="00660AC5"/>
    <w:rsid w:val="00662E7C"/>
    <w:rsid w:val="006705C2"/>
    <w:rsid w:val="006728D3"/>
    <w:rsid w:val="00680E91"/>
    <w:rsid w:val="00684386"/>
    <w:rsid w:val="00685AAF"/>
    <w:rsid w:val="00693140"/>
    <w:rsid w:val="00695030"/>
    <w:rsid w:val="00695431"/>
    <w:rsid w:val="0069687A"/>
    <w:rsid w:val="006A0245"/>
    <w:rsid w:val="006A3CCF"/>
    <w:rsid w:val="006B088B"/>
    <w:rsid w:val="006C5EC4"/>
    <w:rsid w:val="006E544D"/>
    <w:rsid w:val="006E5941"/>
    <w:rsid w:val="006E71CD"/>
    <w:rsid w:val="006F413F"/>
    <w:rsid w:val="006F6757"/>
    <w:rsid w:val="00700E92"/>
    <w:rsid w:val="00710776"/>
    <w:rsid w:val="00713A3A"/>
    <w:rsid w:val="0073390E"/>
    <w:rsid w:val="00734CF6"/>
    <w:rsid w:val="00737933"/>
    <w:rsid w:val="007405D2"/>
    <w:rsid w:val="007443E2"/>
    <w:rsid w:val="007519A6"/>
    <w:rsid w:val="00752B2D"/>
    <w:rsid w:val="00754B98"/>
    <w:rsid w:val="00763A99"/>
    <w:rsid w:val="007719E5"/>
    <w:rsid w:val="00782930"/>
    <w:rsid w:val="00784DE2"/>
    <w:rsid w:val="007A0E9B"/>
    <w:rsid w:val="007A3694"/>
    <w:rsid w:val="007A7F92"/>
    <w:rsid w:val="007B228A"/>
    <w:rsid w:val="007B384B"/>
    <w:rsid w:val="007B4B47"/>
    <w:rsid w:val="007D02D3"/>
    <w:rsid w:val="007E3300"/>
    <w:rsid w:val="007E4701"/>
    <w:rsid w:val="007F02A0"/>
    <w:rsid w:val="007F0455"/>
    <w:rsid w:val="007F755D"/>
    <w:rsid w:val="008073B2"/>
    <w:rsid w:val="008152CF"/>
    <w:rsid w:val="00816528"/>
    <w:rsid w:val="00816991"/>
    <w:rsid w:val="0082026D"/>
    <w:rsid w:val="0082098E"/>
    <w:rsid w:val="00824B84"/>
    <w:rsid w:val="00830ED8"/>
    <w:rsid w:val="00835AD6"/>
    <w:rsid w:val="0083603B"/>
    <w:rsid w:val="00844CD8"/>
    <w:rsid w:val="00850A44"/>
    <w:rsid w:val="00856238"/>
    <w:rsid w:val="0086035F"/>
    <w:rsid w:val="00870BED"/>
    <w:rsid w:val="00882C0D"/>
    <w:rsid w:val="00883401"/>
    <w:rsid w:val="00890313"/>
    <w:rsid w:val="008A156E"/>
    <w:rsid w:val="008A2D8F"/>
    <w:rsid w:val="008A3BAF"/>
    <w:rsid w:val="008B0925"/>
    <w:rsid w:val="008B6FAC"/>
    <w:rsid w:val="008B730B"/>
    <w:rsid w:val="008D0FB1"/>
    <w:rsid w:val="008D663E"/>
    <w:rsid w:val="008D6C3D"/>
    <w:rsid w:val="008E1CAE"/>
    <w:rsid w:val="008E7257"/>
    <w:rsid w:val="008F4D57"/>
    <w:rsid w:val="00907FA5"/>
    <w:rsid w:val="00912BAC"/>
    <w:rsid w:val="00923DFB"/>
    <w:rsid w:val="009317A1"/>
    <w:rsid w:val="00940E79"/>
    <w:rsid w:val="009510E8"/>
    <w:rsid w:val="009510FB"/>
    <w:rsid w:val="009573F0"/>
    <w:rsid w:val="00963266"/>
    <w:rsid w:val="00972985"/>
    <w:rsid w:val="00976D56"/>
    <w:rsid w:val="00976F42"/>
    <w:rsid w:val="00977D62"/>
    <w:rsid w:val="009816CA"/>
    <w:rsid w:val="00982B4E"/>
    <w:rsid w:val="009854C4"/>
    <w:rsid w:val="009937F0"/>
    <w:rsid w:val="009A42F6"/>
    <w:rsid w:val="009B1678"/>
    <w:rsid w:val="009B33E9"/>
    <w:rsid w:val="009B6F1D"/>
    <w:rsid w:val="009B7969"/>
    <w:rsid w:val="009C4D2A"/>
    <w:rsid w:val="009D427B"/>
    <w:rsid w:val="009D6C26"/>
    <w:rsid w:val="009E7E1E"/>
    <w:rsid w:val="009F2011"/>
    <w:rsid w:val="009F24C0"/>
    <w:rsid w:val="009F4F41"/>
    <w:rsid w:val="009F694C"/>
    <w:rsid w:val="009F6CD0"/>
    <w:rsid w:val="009F7274"/>
    <w:rsid w:val="00A1272E"/>
    <w:rsid w:val="00A14FC8"/>
    <w:rsid w:val="00A15392"/>
    <w:rsid w:val="00A20986"/>
    <w:rsid w:val="00A258B1"/>
    <w:rsid w:val="00A268EF"/>
    <w:rsid w:val="00A312B5"/>
    <w:rsid w:val="00A40625"/>
    <w:rsid w:val="00A53FEE"/>
    <w:rsid w:val="00A61DAA"/>
    <w:rsid w:val="00A71E39"/>
    <w:rsid w:val="00A7204A"/>
    <w:rsid w:val="00A85AE9"/>
    <w:rsid w:val="00A967F8"/>
    <w:rsid w:val="00AC3EDD"/>
    <w:rsid w:val="00AC5141"/>
    <w:rsid w:val="00AC6972"/>
    <w:rsid w:val="00AD1414"/>
    <w:rsid w:val="00AE1154"/>
    <w:rsid w:val="00AF3E4D"/>
    <w:rsid w:val="00AF6F27"/>
    <w:rsid w:val="00B01ACE"/>
    <w:rsid w:val="00B04433"/>
    <w:rsid w:val="00B16D2C"/>
    <w:rsid w:val="00B239E5"/>
    <w:rsid w:val="00B24778"/>
    <w:rsid w:val="00B3442C"/>
    <w:rsid w:val="00B36427"/>
    <w:rsid w:val="00B4113F"/>
    <w:rsid w:val="00B44352"/>
    <w:rsid w:val="00B57AA8"/>
    <w:rsid w:val="00B6097B"/>
    <w:rsid w:val="00B637AA"/>
    <w:rsid w:val="00B659D3"/>
    <w:rsid w:val="00B70CD3"/>
    <w:rsid w:val="00B76A55"/>
    <w:rsid w:val="00B93330"/>
    <w:rsid w:val="00B94A90"/>
    <w:rsid w:val="00BA02CC"/>
    <w:rsid w:val="00BA54B2"/>
    <w:rsid w:val="00BB2371"/>
    <w:rsid w:val="00BC545A"/>
    <w:rsid w:val="00BC6D2F"/>
    <w:rsid w:val="00BD65DF"/>
    <w:rsid w:val="00BD6E31"/>
    <w:rsid w:val="00BE44C8"/>
    <w:rsid w:val="00BE450C"/>
    <w:rsid w:val="00BE5ECB"/>
    <w:rsid w:val="00BF1386"/>
    <w:rsid w:val="00C04F63"/>
    <w:rsid w:val="00C07C94"/>
    <w:rsid w:val="00C21664"/>
    <w:rsid w:val="00C25368"/>
    <w:rsid w:val="00C27847"/>
    <w:rsid w:val="00C33AB4"/>
    <w:rsid w:val="00C42489"/>
    <w:rsid w:val="00C430FD"/>
    <w:rsid w:val="00C66EE3"/>
    <w:rsid w:val="00C71516"/>
    <w:rsid w:val="00C72FD2"/>
    <w:rsid w:val="00C7762A"/>
    <w:rsid w:val="00C82128"/>
    <w:rsid w:val="00C82AB8"/>
    <w:rsid w:val="00C8395C"/>
    <w:rsid w:val="00CB18D4"/>
    <w:rsid w:val="00CB5D00"/>
    <w:rsid w:val="00CC11B1"/>
    <w:rsid w:val="00CC2690"/>
    <w:rsid w:val="00CC7D46"/>
    <w:rsid w:val="00CE3549"/>
    <w:rsid w:val="00CE482D"/>
    <w:rsid w:val="00CF6EF5"/>
    <w:rsid w:val="00D01C38"/>
    <w:rsid w:val="00D07014"/>
    <w:rsid w:val="00D14A16"/>
    <w:rsid w:val="00D30A21"/>
    <w:rsid w:val="00D33F63"/>
    <w:rsid w:val="00D37878"/>
    <w:rsid w:val="00D4493C"/>
    <w:rsid w:val="00D45ECF"/>
    <w:rsid w:val="00D55ABF"/>
    <w:rsid w:val="00D65180"/>
    <w:rsid w:val="00D7233F"/>
    <w:rsid w:val="00D72762"/>
    <w:rsid w:val="00D7490B"/>
    <w:rsid w:val="00D75D2A"/>
    <w:rsid w:val="00D77D8B"/>
    <w:rsid w:val="00D801F3"/>
    <w:rsid w:val="00D80F1B"/>
    <w:rsid w:val="00D82C4F"/>
    <w:rsid w:val="00D85D37"/>
    <w:rsid w:val="00D87B51"/>
    <w:rsid w:val="00DA44A4"/>
    <w:rsid w:val="00DA7603"/>
    <w:rsid w:val="00DE0C18"/>
    <w:rsid w:val="00DF000A"/>
    <w:rsid w:val="00DF0AE6"/>
    <w:rsid w:val="00DF464B"/>
    <w:rsid w:val="00E009DD"/>
    <w:rsid w:val="00E060D8"/>
    <w:rsid w:val="00E07338"/>
    <w:rsid w:val="00E1761E"/>
    <w:rsid w:val="00E20984"/>
    <w:rsid w:val="00E320D0"/>
    <w:rsid w:val="00E34F37"/>
    <w:rsid w:val="00E56759"/>
    <w:rsid w:val="00E60543"/>
    <w:rsid w:val="00E6076F"/>
    <w:rsid w:val="00E67AB7"/>
    <w:rsid w:val="00E70BB8"/>
    <w:rsid w:val="00E71A63"/>
    <w:rsid w:val="00E727A4"/>
    <w:rsid w:val="00E81F69"/>
    <w:rsid w:val="00E908E7"/>
    <w:rsid w:val="00E9130E"/>
    <w:rsid w:val="00EA05AE"/>
    <w:rsid w:val="00EA3062"/>
    <w:rsid w:val="00EA727B"/>
    <w:rsid w:val="00EC22DD"/>
    <w:rsid w:val="00EC519B"/>
    <w:rsid w:val="00EE49D0"/>
    <w:rsid w:val="00EF2BE7"/>
    <w:rsid w:val="00EF573E"/>
    <w:rsid w:val="00F10A80"/>
    <w:rsid w:val="00F10EDA"/>
    <w:rsid w:val="00F166D4"/>
    <w:rsid w:val="00F16CA1"/>
    <w:rsid w:val="00F260C6"/>
    <w:rsid w:val="00F30937"/>
    <w:rsid w:val="00F34107"/>
    <w:rsid w:val="00F45027"/>
    <w:rsid w:val="00F45D0D"/>
    <w:rsid w:val="00F65985"/>
    <w:rsid w:val="00F704CA"/>
    <w:rsid w:val="00F774CC"/>
    <w:rsid w:val="00F80038"/>
    <w:rsid w:val="00F80E45"/>
    <w:rsid w:val="00F84969"/>
    <w:rsid w:val="00F91523"/>
    <w:rsid w:val="00F93440"/>
    <w:rsid w:val="00F94BBC"/>
    <w:rsid w:val="00FA481C"/>
    <w:rsid w:val="00FA5C4E"/>
    <w:rsid w:val="00FB3011"/>
    <w:rsid w:val="00FB52F8"/>
    <w:rsid w:val="00FB7DB7"/>
    <w:rsid w:val="00FC3907"/>
    <w:rsid w:val="00FC68B1"/>
    <w:rsid w:val="00FD60A2"/>
    <w:rsid w:val="00FD69DD"/>
    <w:rsid w:val="00FE0FDD"/>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741D46F9"/>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EA727B"/>
    <w:rPr>
      <w:color w:val="0000FF"/>
      <w:u w:val="single"/>
    </w:rPr>
  </w:style>
  <w:style w:type="character" w:styleId="Hyperlink">
    <w:name w:val="Hyperlink"/>
    <w:basedOn w:val="DefaultParagraphFont"/>
    <w:uiPriority w:val="99"/>
    <w:unhideWhenUsed/>
    <w:rsid w:val="000C38D6"/>
    <w:rPr>
      <w:color w:val="0563C1" w:themeColor="hyperlink"/>
      <w:u w:val="single"/>
    </w:rPr>
  </w:style>
  <w:style w:type="character" w:styleId="UnresolvedMention">
    <w:name w:val="Unresolved Mention"/>
    <w:basedOn w:val="DefaultParagraphFont"/>
    <w:uiPriority w:val="99"/>
    <w:semiHidden/>
    <w:unhideWhenUsed/>
    <w:rsid w:val="000C38D6"/>
    <w:rPr>
      <w:color w:val="605E5C"/>
      <w:shd w:val="clear" w:color="auto" w:fill="E1DFDD"/>
    </w:rPr>
  </w:style>
  <w:style w:type="paragraph" w:styleId="CommentText">
    <w:name w:val="annotation text"/>
    <w:basedOn w:val="Normal"/>
    <w:link w:val="CommentTextChar"/>
    <w:uiPriority w:val="99"/>
    <w:unhideWhenUsed/>
    <w:rsid w:val="00B6097B"/>
    <w:rPr>
      <w:sz w:val="20"/>
      <w:szCs w:val="20"/>
    </w:rPr>
  </w:style>
  <w:style w:type="character" w:customStyle="1" w:styleId="CommentTextChar">
    <w:name w:val="Comment Text Char"/>
    <w:basedOn w:val="DefaultParagraphFont"/>
    <w:link w:val="CommentText"/>
    <w:uiPriority w:val="99"/>
    <w:rsid w:val="00B6097B"/>
    <w:rPr>
      <w:rFonts w:ascii="Times New Roman" w:hAnsi="Times New Roman" w:cs="Times New Roman"/>
      <w:sz w:val="20"/>
      <w:szCs w:val="20"/>
    </w:rPr>
  </w:style>
  <w:style w:type="character" w:styleId="CommentReference">
    <w:name w:val="annotation reference"/>
    <w:basedOn w:val="DefaultParagraphFont"/>
    <w:uiPriority w:val="99"/>
    <w:semiHidden/>
    <w:unhideWhenUsed/>
    <w:rsid w:val="00B6097B"/>
    <w:rPr>
      <w:sz w:val="16"/>
      <w:szCs w:val="16"/>
    </w:rPr>
  </w:style>
  <w:style w:type="paragraph" w:styleId="Revision">
    <w:name w:val="Revision"/>
    <w:hidden/>
    <w:uiPriority w:val="99"/>
    <w:semiHidden/>
    <w:rsid w:val="003C1B3B"/>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1D402E"/>
    <w:rPr>
      <w:b/>
      <w:bCs/>
    </w:rPr>
  </w:style>
  <w:style w:type="character" w:customStyle="1" w:styleId="CommentSubjectChar">
    <w:name w:val="Comment Subject Char"/>
    <w:basedOn w:val="CommentTextChar"/>
    <w:link w:val="CommentSubject"/>
    <w:uiPriority w:val="99"/>
    <w:semiHidden/>
    <w:rsid w:val="001D402E"/>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3754471">
      <w:bodyDiv w:val="1"/>
      <w:marLeft w:val="0"/>
      <w:marRight w:val="0"/>
      <w:marTop w:val="0"/>
      <w:marBottom w:val="0"/>
      <w:divBdr>
        <w:top w:val="none" w:sz="0" w:space="0" w:color="auto"/>
        <w:left w:val="none" w:sz="0" w:space="0" w:color="auto"/>
        <w:bottom w:val="none" w:sz="0" w:space="0" w:color="auto"/>
        <w:right w:val="none" w:sz="0" w:space="0" w:color="auto"/>
      </w:divBdr>
    </w:div>
    <w:div w:id="1469586514">
      <w:bodyDiv w:val="1"/>
      <w:marLeft w:val="0"/>
      <w:marRight w:val="0"/>
      <w:marTop w:val="0"/>
      <w:marBottom w:val="0"/>
      <w:divBdr>
        <w:top w:val="none" w:sz="0" w:space="0" w:color="auto"/>
        <w:left w:val="none" w:sz="0" w:space="0" w:color="auto"/>
        <w:bottom w:val="none" w:sz="0" w:space="0" w:color="auto"/>
        <w:right w:val="none" w:sz="0" w:space="0" w:color="auto"/>
      </w:divBdr>
    </w:div>
    <w:div w:id="179332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policy.osba.org/orsredir.asp?ors=ors-339" TargetMode="External"/><Relationship Id="rId26" Type="http://schemas.openxmlformats.org/officeDocument/2006/relationships/hyperlink" Target="http://policy.osba.org/orsredir.asp?ors=oar-581" TargetMode="External"/><Relationship Id="rId3" Type="http://schemas.openxmlformats.org/officeDocument/2006/relationships/styles" Target="styles.xml"/><Relationship Id="rId21" Type="http://schemas.openxmlformats.org/officeDocument/2006/relationships/hyperlink" Target="http://policy.osba.org/orsredir.asp?ors=ors-339"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9" TargetMode="External"/><Relationship Id="rId25" Type="http://schemas.openxmlformats.org/officeDocument/2006/relationships/hyperlink" Target="http://policy.osba.org/orsredir.asp?ors=oar-581" TargetMode="External"/><Relationship Id="rId33"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policy.osba.org/orsredir.asp?ors=ors-339" TargetMode="External"/><Relationship Id="rId20" Type="http://schemas.openxmlformats.org/officeDocument/2006/relationships/hyperlink" Target="http://policy.osba.org/orsredir.asp?ors=ors-339" TargetMode="External"/><Relationship Id="rId29" Type="http://schemas.openxmlformats.org/officeDocument/2006/relationships/hyperlink" Target="http://policy.osba.org/orsredir.asp?ors=oar-5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ar-581" TargetMode="External"/><Relationship Id="rId32" Type="http://schemas.openxmlformats.org/officeDocument/2006/relationships/hyperlink" Target="http://policy.osba.org/orsredir.asp?ors=oar-581" TargetMode="External"/><Relationship Id="rId5" Type="http://schemas.openxmlformats.org/officeDocument/2006/relationships/webSettings" Target="webSettings.xml"/><Relationship Id="rId15" Type="http://schemas.openxmlformats.org/officeDocument/2006/relationships/hyperlink" Target="http://policy.osba.org/orsredir.asp?ors=ors-339" TargetMode="External"/><Relationship Id="rId23" Type="http://schemas.openxmlformats.org/officeDocument/2006/relationships/hyperlink" Target="http://policy.osba.org/orsredir.asp?ors=oar-581" TargetMode="External"/><Relationship Id="rId28" Type="http://schemas.openxmlformats.org/officeDocument/2006/relationships/hyperlink" Target="http://policy.osba.org/orsredir.asp?ors=oar-581" TargetMode="External"/><Relationship Id="rId10" Type="http://schemas.openxmlformats.org/officeDocument/2006/relationships/footer" Target="footer1.xml"/><Relationship Id="rId19" Type="http://schemas.openxmlformats.org/officeDocument/2006/relationships/hyperlink" Target="http://policy.osba.org/orsredir.asp?ors=ors-339"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9" TargetMode="External"/><Relationship Id="rId22" Type="http://schemas.openxmlformats.org/officeDocument/2006/relationships/hyperlink" Target="http://policy.osba.org/orsredir.asp?ors=oar-581" TargetMode="External"/><Relationship Id="rId27" Type="http://schemas.openxmlformats.org/officeDocument/2006/relationships/hyperlink" Target="http://policy.osba.org/orsredir.asp?ors=oar-581" TargetMode="External"/><Relationship Id="rId30" Type="http://schemas.openxmlformats.org/officeDocument/2006/relationships/hyperlink" Target="http://policy.osba.org/orsredir.asp?ors=oar-581" TargetMode="Externa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53295-E5E3-4B9A-8E45-51ED4C781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5</Pages>
  <Words>1697</Words>
  <Characters>9677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JGAB - Use of Restraint or Seclusion**</vt:lpstr>
    </vt:vector>
  </TitlesOfParts>
  <Company>OSBA</Company>
  <LinksUpToDate>false</LinksUpToDate>
  <CharactersWithSpaces>11352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JGAB - Use of Restraint or Seclusion**</dc:title>
  <dc:subject>Lourdes Board Policy</dc:subject>
  <dc:creator>Oregon School Boards Association</dc:creator>
  <cp:keywords/>
  <dc:description/>
  <cp:lastModifiedBy>Colleen Allen</cp:lastModifiedBy>
  <cp:revision>147</cp:revision>
  <dcterms:created xsi:type="dcterms:W3CDTF">2018-03-09T23:23:00Z</dcterms:created>
  <dcterms:modified xsi:type="dcterms:W3CDTF">2025-05-22T15:51:00Z</dcterms:modified>
</cp:coreProperties>
</file>