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16479" w:rsidRDefault="006C37AE" w:rsidP="00067727">
      <w:pPr>
        <w:pStyle w:val="PolicyTOCHeading"/>
      </w:pPr>
      <w:r>
        <w:t>Lourdes Public Charter School</w:t>
      </w:r>
    </w:p>
    <w:p w:rsidR="00C16479" w:rsidRDefault="00A80B6A" w:rsidP="00067727">
      <w:pPr>
        <w:pStyle w:val="PolicyTOCHeading"/>
      </w:pPr>
      <w:r>
        <w:t>Table of Contents</w:t>
      </w:r>
    </w:p>
    <w:p w:rsidR="00C16479" w:rsidRDefault="006C37AE" w:rsidP="00067727">
      <w:pPr>
        <w:pStyle w:val="PolicyTOCHeading"/>
      </w:pPr>
      <w:r>
        <w:t>Section G: Personnel</w:t>
      </w:r>
    </w:p>
    <w:p w:rsidR="001074DF" w:rsidRDefault="00E8491D" w:rsidP="008A3FA0">
      <w:pPr>
        <w:pStyle w:val="PolicyTOCEntry"/>
      </w:pPr>
      <w:r>
        <w:t>Job Descriptions</w:t>
      </w:r>
      <w:r>
        <w:tab/>
      </w:r>
      <w:r>
        <w:tab/>
        <w:t>GAB</w:t>
      </w:r>
    </w:p>
    <w:p w:rsidR="001074DF" w:rsidRDefault="001074DF" w:rsidP="008A3FA0">
      <w:pPr>
        <w:pStyle w:val="PolicyTOCEntry"/>
      </w:pPr>
    </w:p>
    <w:p w:rsidR="00EF2E8D" w:rsidRDefault="001074DF" w:rsidP="008A3FA0">
      <w:pPr>
        <w:pStyle w:val="PolicyTOCEntry"/>
      </w:pPr>
      <w:r>
        <w:t>Equal Employment Opportunity</w:t>
      </w:r>
      <w:r>
        <w:tab/>
      </w:r>
      <w:r>
        <w:tab/>
        <w:t>GBA</w:t>
      </w:r>
    </w:p>
    <w:p w:rsidR="00A83798" w:rsidRDefault="00EF2E8D" w:rsidP="008A3FA0">
      <w:pPr>
        <w:pStyle w:val="PolicyTOCEntry"/>
      </w:pPr>
      <w:r>
        <w:tab/>
        <w:t>Veterans’ Preference</w:t>
      </w:r>
      <w:r>
        <w:tab/>
      </w:r>
      <w:r>
        <w:tab/>
        <w:t>GBA-AR</w:t>
      </w:r>
    </w:p>
    <w:p w:rsidR="00625417" w:rsidRDefault="00A83798" w:rsidP="008A3FA0">
      <w:pPr>
        <w:pStyle w:val="PolicyTOCEntry"/>
      </w:pPr>
      <w:r>
        <w:t>Staff Ethics</w:t>
      </w:r>
      <w:r>
        <w:tab/>
      </w:r>
      <w:r>
        <w:tab/>
        <w:t>GBC</w:t>
      </w:r>
    </w:p>
    <w:p w:rsidR="004157D8" w:rsidRDefault="00625417" w:rsidP="008A3FA0">
      <w:pPr>
        <w:pStyle w:val="PolicyTOCEntry"/>
      </w:pPr>
      <w:r>
        <w:tab/>
        <w:t>Staff Ethics</w:t>
      </w:r>
      <w:r>
        <w:tab/>
      </w:r>
      <w:r>
        <w:tab/>
        <w:t>GBC-AR</w:t>
      </w:r>
    </w:p>
    <w:p w:rsidR="0069474E" w:rsidRDefault="004157D8" w:rsidP="008A3FA0">
      <w:pPr>
        <w:pStyle w:val="PolicyTOCEntry"/>
      </w:pPr>
      <w:r>
        <w:t>Staff Dress and Grooming</w:t>
      </w:r>
      <w:r>
        <w:tab/>
      </w:r>
      <w:r>
        <w:tab/>
        <w:t>GBCA</w:t>
      </w:r>
    </w:p>
    <w:p w:rsidR="00A331FA" w:rsidRDefault="0069474E" w:rsidP="008A3FA0">
      <w:pPr>
        <w:pStyle w:val="PolicyTOCEntry"/>
      </w:pPr>
      <w:r>
        <w:t>Workplace Harassment</w:t>
      </w:r>
      <w:r>
        <w:tab/>
      </w:r>
      <w:r>
        <w:tab/>
        <w:t>GBEA</w:t>
      </w:r>
    </w:p>
    <w:p w:rsidR="00962755" w:rsidRDefault="00A331FA" w:rsidP="008A3FA0">
      <w:pPr>
        <w:pStyle w:val="PolicyTOCEntry"/>
      </w:pPr>
      <w:r>
        <w:tab/>
        <w:t>Workplace Harassment Reporting and Procedure</w:t>
      </w:r>
      <w:r>
        <w:tab/>
      </w:r>
      <w:r>
        <w:tab/>
        <w:t>GBEA-AR</w:t>
      </w:r>
    </w:p>
    <w:p w:rsidR="00221179" w:rsidRDefault="00962755" w:rsidP="008A3FA0">
      <w:pPr>
        <w:pStyle w:val="PolicyTOCEntry"/>
      </w:pPr>
      <w:r>
        <w:t>Communicable Diseases in Schools</w:t>
      </w:r>
      <w:r>
        <w:tab/>
      </w:r>
      <w:r>
        <w:tab/>
        <w:t>GBEB</w:t>
      </w:r>
    </w:p>
    <w:p w:rsidR="006A1980" w:rsidRDefault="00221179" w:rsidP="008A3FA0">
      <w:pPr>
        <w:pStyle w:val="PolicyTOCEntry"/>
      </w:pPr>
      <w:r>
        <w:tab/>
        <w:t>Communicable Diseases in Schools</w:t>
      </w:r>
      <w:r>
        <w:tab/>
      </w:r>
      <w:r>
        <w:tab/>
        <w:t>GBEB-AR</w:t>
      </w:r>
    </w:p>
    <w:p w:rsidR="005500CB" w:rsidRDefault="006A1980" w:rsidP="008A3FA0">
      <w:pPr>
        <w:pStyle w:val="PolicyTOCEntry"/>
      </w:pPr>
      <w:r>
        <w:t>Drug-Free Workplace</w:t>
      </w:r>
      <w:r>
        <w:tab/>
      </w:r>
      <w:r>
        <w:tab/>
        <w:t>GBEC</w:t>
      </w:r>
    </w:p>
    <w:p w:rsidR="004A7706" w:rsidRDefault="005500CB" w:rsidP="008A3FA0">
      <w:pPr>
        <w:pStyle w:val="PolicyTOCEntry"/>
      </w:pPr>
      <w:r>
        <w:t>Parent-Teacher Club</w:t>
      </w:r>
      <w:r>
        <w:tab/>
      </w:r>
      <w:r>
        <w:tab/>
        <w:t>GBF/KGG/BG</w:t>
      </w:r>
    </w:p>
    <w:p w:rsidR="003F066F" w:rsidRDefault="004A7706" w:rsidP="008A3FA0">
      <w:pPr>
        <w:pStyle w:val="PolicyTOCEntry"/>
      </w:pPr>
      <w:r>
        <w:tab/>
        <w:t>Parent-Teacher Club Activity/Fund-Raising Requirements</w:t>
      </w:r>
      <w:r>
        <w:tab/>
      </w:r>
      <w:r>
        <w:tab/>
        <w:t>GBF/KGG/BG-AR</w:t>
      </w:r>
    </w:p>
    <w:p w:rsidR="003B49AB" w:rsidRDefault="003F066F" w:rsidP="008A3FA0">
      <w:pPr>
        <w:pStyle w:val="PolicyTOCEntry"/>
      </w:pPr>
      <w:r>
        <w:t>Staff Participation in Political Activities</w:t>
      </w:r>
      <w:r>
        <w:tab/>
      </w:r>
      <w:r>
        <w:tab/>
        <w:t>GBG</w:t>
      </w:r>
    </w:p>
    <w:p w:rsidR="00D8406A" w:rsidRDefault="003B49AB" w:rsidP="008A3FA0">
      <w:pPr>
        <w:pStyle w:val="PolicyTOCEntry"/>
      </w:pPr>
      <w:r>
        <w:t>Staff/Student/Parent Relations**</w:t>
      </w:r>
      <w:r>
        <w:tab/>
      </w:r>
      <w:r>
        <w:tab/>
        <w:t>GBH/JECAC</w:t>
      </w:r>
    </w:p>
    <w:p w:rsidR="00C84C6C" w:rsidRDefault="00D8406A" w:rsidP="008A3FA0">
      <w:pPr>
        <w:pStyle w:val="PolicyTOCEntry"/>
      </w:pPr>
      <w:r>
        <w:t>Internet-sourced Crowdfunding and/or Solicitations</w:t>
      </w:r>
      <w:r>
        <w:tab/>
      </w:r>
      <w:r>
        <w:tab/>
        <w:t>GBI</w:t>
      </w:r>
    </w:p>
    <w:p w:rsidR="00217941" w:rsidRDefault="00C84C6C" w:rsidP="008A3FA0">
      <w:pPr>
        <w:pStyle w:val="PolicyTOCEntry"/>
      </w:pPr>
      <w:r>
        <w:t>Weapons in Schools - Staff</w:t>
      </w:r>
      <w:r>
        <w:tab/>
      </w:r>
      <w:r>
        <w:tab/>
        <w:t>GBJ</w:t>
      </w:r>
    </w:p>
    <w:p w:rsidR="00217941" w:rsidRDefault="00217941" w:rsidP="008A3FA0">
      <w:pPr>
        <w:pStyle w:val="PolicyTOCEntry"/>
      </w:pPr>
      <w:r>
        <w:t xml:space="preserve">Prohibited Use, Distribution or Sale of Tobacco Products </w:t>
      </w:r>
    </w:p>
    <w:p w:rsidR="00EE18F3" w:rsidRDefault="00217941" w:rsidP="008A3FA0">
      <w:pPr>
        <w:pStyle w:val="PolicyTOCEntry"/>
      </w:pPr>
      <w:r>
        <w:t>and Inhalant Delivery Systems**</w:t>
      </w:r>
      <w:r>
        <w:tab/>
      </w:r>
      <w:r>
        <w:tab/>
        <w:t>GBK/KGC</w:t>
      </w:r>
    </w:p>
    <w:p w:rsidR="008D7458" w:rsidRDefault="00EE18F3" w:rsidP="008A3FA0">
      <w:pPr>
        <w:pStyle w:val="PolicyTOCEntry"/>
      </w:pPr>
      <w:r>
        <w:t>Personnel Records</w:t>
      </w:r>
      <w:r>
        <w:tab/>
      </w:r>
      <w:r>
        <w:tab/>
        <w:t>GBL</w:t>
      </w:r>
    </w:p>
    <w:p w:rsidR="00D67421" w:rsidRDefault="008D7458" w:rsidP="008A3FA0">
      <w:pPr>
        <w:pStyle w:val="PolicyTOCEntry"/>
      </w:pPr>
      <w:r>
        <w:t>Staff Complaints</w:t>
      </w:r>
      <w:r>
        <w:tab/>
      </w:r>
      <w:r>
        <w:tab/>
        <w:t>GBM</w:t>
      </w:r>
    </w:p>
    <w:p w:rsidR="00BE795B" w:rsidRDefault="00D67421" w:rsidP="008A3FA0">
      <w:pPr>
        <w:pStyle w:val="PolicyTOCEntry"/>
      </w:pPr>
      <w:r>
        <w:t>Whistleblower</w:t>
      </w:r>
      <w:r>
        <w:tab/>
      </w:r>
      <w:r>
        <w:tab/>
        <w:t>GBMA</w:t>
      </w:r>
    </w:p>
    <w:p w:rsidR="00955EA9" w:rsidRDefault="00BE795B" w:rsidP="008A3FA0">
      <w:pPr>
        <w:pStyle w:val="PolicyTOCEntry"/>
      </w:pPr>
      <w:r>
        <w:t>Sexual Harassment</w:t>
      </w:r>
      <w:r>
        <w:tab/>
      </w:r>
      <w:r>
        <w:tab/>
        <w:t>GBN/JBA</w:t>
      </w:r>
    </w:p>
    <w:p w:rsidR="008378C4" w:rsidRDefault="00955EA9" w:rsidP="008A3FA0">
      <w:pPr>
        <w:pStyle w:val="PolicyTOCEntry"/>
      </w:pPr>
      <w:r>
        <w:tab/>
        <w:t>Sexual Harassment Complaint Procedure</w:t>
      </w:r>
      <w:r>
        <w:tab/>
      </w:r>
      <w:r>
        <w:tab/>
        <w:t>GBN/JBA-AR(1)</w:t>
      </w:r>
    </w:p>
    <w:p w:rsidR="00AA1B90" w:rsidRDefault="008378C4" w:rsidP="008A3FA0">
      <w:pPr>
        <w:pStyle w:val="PolicyTOCEntry"/>
      </w:pPr>
      <w:r>
        <w:tab/>
        <w:t>Federal Law (Title IX) Sexual Harassment Complaint Procedure</w:t>
      </w:r>
      <w:r>
        <w:tab/>
      </w:r>
      <w:r>
        <w:tab/>
        <w:t>GBN/JBA-AR(2)</w:t>
      </w:r>
    </w:p>
    <w:p w:rsidR="008C4397" w:rsidRDefault="00AA1B90" w:rsidP="008A3FA0">
      <w:pPr>
        <w:pStyle w:val="PolicyTOCEntry"/>
      </w:pPr>
      <w:r>
        <w:tab/>
        <w:t>Sexual Harassment Complaint and Witness Forms</w:t>
      </w:r>
      <w:r>
        <w:tab/>
      </w:r>
      <w:r>
        <w:tab/>
        <w:t>GBN/JBA-AR(3)</w:t>
      </w:r>
    </w:p>
    <w:p w:rsidR="0088518B" w:rsidRDefault="008C4397" w:rsidP="008A3FA0">
      <w:pPr>
        <w:pStyle w:val="PolicyTOCEntry"/>
      </w:pPr>
      <w:r>
        <w:t>Hazing, Harassment, Intimidation, Bullying, Menacing, or Cyberbullying – Staff</w:t>
      </w:r>
      <w:r>
        <w:tab/>
      </w:r>
      <w:r>
        <w:tab/>
        <w:t>GBNA</w:t>
      </w:r>
    </w:p>
    <w:p w:rsidR="0088518B" w:rsidRDefault="0088518B" w:rsidP="008A3FA0">
      <w:pPr>
        <w:pStyle w:val="PolicyTOCEntry"/>
      </w:pPr>
      <w:r>
        <w:tab/>
        <w:t xml:space="preserve">Hazing, Harassment, Intimidation, Bullying, Menacing, or </w:t>
      </w:r>
    </w:p>
    <w:p w:rsidR="00E628CD" w:rsidRDefault="0088518B" w:rsidP="008A3FA0">
      <w:pPr>
        <w:pStyle w:val="PolicyTOCEntry"/>
      </w:pPr>
      <w:r>
        <w:t>Cyberbullying Reporting Procedures – Staff</w:t>
      </w:r>
      <w:r>
        <w:tab/>
      </w:r>
      <w:r>
        <w:tab/>
        <w:t>GBNA-AR</w:t>
      </w:r>
    </w:p>
    <w:p w:rsidR="00096BCD" w:rsidRDefault="00E628CD" w:rsidP="008A3FA0">
      <w:pPr>
        <w:pStyle w:val="PolicyTOCEntry"/>
      </w:pPr>
      <w:r>
        <w:t>Suspected Sexual Conduct with Students and Reporting Requirements</w:t>
      </w:r>
      <w:r>
        <w:tab/>
      </w:r>
      <w:r>
        <w:tab/>
        <w:t>GBNAA/JHFF</w:t>
      </w:r>
    </w:p>
    <w:p w:rsidR="00D51196" w:rsidRDefault="00096BCD" w:rsidP="008A3FA0">
      <w:pPr>
        <w:pStyle w:val="PolicyTOCEntry"/>
      </w:pPr>
      <w:r>
        <w:tab/>
        <w:t>Suspected Sexual Conduct Report Procedures</w:t>
      </w:r>
      <w:r>
        <w:tab/>
      </w:r>
      <w:r>
        <w:tab/>
        <w:t>GBNAA/JHFF-AR(1)</w:t>
      </w:r>
    </w:p>
    <w:p w:rsidR="00100ACD" w:rsidRDefault="00D51196" w:rsidP="008A3FA0">
      <w:pPr>
        <w:pStyle w:val="PolicyTOCEntry"/>
      </w:pPr>
      <w:r>
        <w:tab/>
        <w:t>Suspected Sexual Conduct Reporting Forms</w:t>
      </w:r>
      <w:r>
        <w:tab/>
      </w:r>
      <w:r>
        <w:tab/>
        <w:t>GBNAA/JHFF-AR(2)</w:t>
      </w:r>
    </w:p>
    <w:p w:rsidR="00337226" w:rsidRDefault="00100ACD" w:rsidP="008A3FA0">
      <w:pPr>
        <w:pStyle w:val="PolicyTOCEntry"/>
      </w:pPr>
      <w:r>
        <w:t>Suspected Abuse of a Child Reporting Requirements**</w:t>
      </w:r>
      <w:r>
        <w:tab/>
      </w:r>
      <w:r>
        <w:tab/>
        <w:t>GBNAB/JHFE</w:t>
      </w:r>
    </w:p>
    <w:p w:rsidR="00DA1070" w:rsidRDefault="00337226" w:rsidP="008A3FA0">
      <w:pPr>
        <w:pStyle w:val="PolicyTOCEntry"/>
      </w:pPr>
      <w:r>
        <w:tab/>
        <w:t>Reporting Suspected Abuse of a Child</w:t>
      </w:r>
      <w:r>
        <w:tab/>
      </w:r>
      <w:r>
        <w:tab/>
        <w:t>GBNAB/JHFE-AR(1)</w:t>
      </w:r>
    </w:p>
    <w:p w:rsidR="00C16C6A" w:rsidRDefault="00DA1070" w:rsidP="008A3FA0">
      <w:pPr>
        <w:pStyle w:val="PolicyTOCEntry"/>
      </w:pPr>
      <w:r>
        <w:tab/>
        <w:t>Abuse of a Child Investigations Conducted on School Premises</w:t>
      </w:r>
      <w:r>
        <w:tab/>
      </w:r>
      <w:r>
        <w:tab/>
        <w:t>GBNAB/JHFE-AR(2)</w:t>
      </w:r>
    </w:p>
    <w:p w:rsidR="00C16C6A" w:rsidRDefault="00C16C6A" w:rsidP="008A3FA0">
      <w:pPr>
        <w:pStyle w:val="PolicyTOCEntry"/>
      </w:pPr>
    </w:p>
    <w:p w:rsidR="00D154B6" w:rsidRDefault="00C16C6A" w:rsidP="008A3FA0">
      <w:pPr>
        <w:pStyle w:val="PolicyTOCEntry"/>
      </w:pPr>
      <w:r>
        <w:t>License Requirements</w:t>
      </w:r>
      <w:r>
        <w:tab/>
      </w:r>
      <w:r>
        <w:tab/>
        <w:t>GCA</w:t>
      </w:r>
    </w:p>
    <w:p w:rsidR="0057709E" w:rsidRDefault="00D154B6" w:rsidP="008A3FA0">
      <w:pPr>
        <w:pStyle w:val="PolicyTOCEntry"/>
      </w:pPr>
      <w:r>
        <w:t>Personal Electronic Devices and Social Media - Staff**</w:t>
      </w:r>
      <w:r>
        <w:tab/>
      </w:r>
      <w:r>
        <w:tab/>
        <w:t>GCAB</w:t>
      </w:r>
    </w:p>
    <w:p w:rsidR="0057709E" w:rsidRDefault="0057709E" w:rsidP="008A3FA0">
      <w:pPr>
        <w:pStyle w:val="PolicyTOCEntry"/>
      </w:pPr>
      <w:r>
        <w:t>Domestic Violence, Harassment, Sexual Assault, Bias, or Stalking Leave (Safe Leave</w:t>
      </w:r>
    </w:p>
    <w:p w:rsidR="00C978F3" w:rsidRDefault="0057709E" w:rsidP="008A3FA0">
      <w:pPr>
        <w:pStyle w:val="PolicyTOCEntry"/>
      </w:pPr>
      <w:r>
        <w:t>)</w:t>
      </w:r>
      <w:r>
        <w:tab/>
      </w:r>
      <w:r>
        <w:tab/>
      </w:r>
      <w:r>
        <w:tab/>
        <w:t>GCBDC/GDBDC</w:t>
      </w:r>
    </w:p>
    <w:p w:rsidR="00C978F3" w:rsidRDefault="00C978F3" w:rsidP="008A3FA0">
      <w:pPr>
        <w:pStyle w:val="PolicyTOCEntry"/>
      </w:pPr>
      <w:r>
        <w:lastRenderedPageBreak/>
        <w:tab/>
        <w:t xml:space="preserve">Request for Domestic Violence, Harassment, Sexual Assault, Bias, or </w:t>
      </w:r>
    </w:p>
    <w:p w:rsidR="00337618" w:rsidRDefault="00C978F3" w:rsidP="008A3FA0">
      <w:pPr>
        <w:pStyle w:val="PolicyTOCEntry"/>
      </w:pPr>
      <w:r>
        <w:t>Stalking Leave</w:t>
      </w:r>
      <w:r>
        <w:tab/>
      </w:r>
      <w:r>
        <w:tab/>
        <w:t>GCBDC/GDBDC-AR</w:t>
      </w:r>
    </w:p>
    <w:p w:rsidR="000B056D" w:rsidRDefault="00337618" w:rsidP="008A3FA0">
      <w:pPr>
        <w:pStyle w:val="PolicyTOCEntry"/>
      </w:pPr>
      <w:r>
        <w:t>Paid Family and Medical Leave Insurance</w:t>
      </w:r>
      <w:r>
        <w:tab/>
      </w:r>
      <w:r>
        <w:tab/>
        <w:t>GCBDF/GDBDF</w:t>
      </w:r>
    </w:p>
    <w:p w:rsidR="000302C2" w:rsidRDefault="000B056D" w:rsidP="008A3FA0">
      <w:pPr>
        <w:pStyle w:val="PolicyTOCEntry"/>
      </w:pPr>
      <w:r>
        <w:tab/>
        <w:t>Paid Family and Medical Leave Insurance (PFMLI)</w:t>
      </w:r>
      <w:r>
        <w:tab/>
      </w:r>
      <w:r>
        <w:tab/>
        <w:t>GCBDF/GDBDF-AR</w:t>
      </w:r>
    </w:p>
    <w:p w:rsidR="00C744E7" w:rsidRDefault="000302C2" w:rsidP="008A3FA0">
      <w:pPr>
        <w:pStyle w:val="PolicyTOCEntry"/>
      </w:pPr>
      <w:r>
        <w:t>Criminal Records Checks and Fingerprinting</w:t>
      </w:r>
      <w:r>
        <w:tab/>
      </w:r>
      <w:r>
        <w:tab/>
        <w:t>GCDA/GDDA</w:t>
      </w:r>
    </w:p>
    <w:p w:rsidR="003C2538" w:rsidRDefault="00C744E7" w:rsidP="008A3FA0">
      <w:pPr>
        <w:pStyle w:val="PolicyTOCEntry"/>
      </w:pPr>
      <w:r>
        <w:t>Staff Development - Licensed</w:t>
      </w:r>
      <w:r>
        <w:tab/>
      </w:r>
      <w:r>
        <w:tab/>
        <w:t>GCL</w:t>
      </w:r>
    </w:p>
    <w:p w:rsidR="00405A1E" w:rsidRDefault="003C2538" w:rsidP="008A3FA0">
      <w:pPr>
        <w:pStyle w:val="PolicyTOCEntry"/>
      </w:pPr>
      <w:r>
        <w:t>Evaluation of Staff</w:t>
      </w:r>
      <w:r>
        <w:tab/>
      </w:r>
      <w:r>
        <w:tab/>
        <w:t>GCN/GDN</w:t>
      </w:r>
    </w:p>
    <w:p w:rsidR="00117175" w:rsidRDefault="00405A1E" w:rsidP="008A3FA0">
      <w:pPr>
        <w:pStyle w:val="PolicyTOCEntry"/>
      </w:pPr>
      <w:r>
        <w:t>Retirement of Staff</w:t>
      </w:r>
      <w:r>
        <w:tab/>
      </w:r>
      <w:r>
        <w:tab/>
        <w:t>GCPC/GDPC</w:t>
      </w:r>
    </w:p>
    <w:p w:rsidR="009D77E4" w:rsidRDefault="00117175" w:rsidP="008A3FA0">
      <w:pPr>
        <w:pStyle w:val="PolicyTOCEntry"/>
      </w:pPr>
      <w:r>
        <w:t>Discipline and Dismissal of Staff</w:t>
      </w:r>
      <w:r>
        <w:tab/>
      </w:r>
      <w:r>
        <w:tab/>
        <w:t>GCPD</w:t>
      </w:r>
    </w:p>
    <w:p w:rsidR="00912979" w:rsidRDefault="009D77E4" w:rsidP="008A3FA0">
      <w:pPr>
        <w:pStyle w:val="PolicyTOCEntry"/>
      </w:pPr>
      <w:r>
        <w:tab/>
        <w:t>Discipline and Dismissal of Staff</w:t>
      </w:r>
      <w:r>
        <w:tab/>
      </w:r>
      <w:r>
        <w:tab/>
        <w:t>GCPD-AR</w:t>
      </w:r>
    </w:p>
    <w:p w:rsidR="00290794" w:rsidRDefault="00290794" w:rsidP="008A3FA0">
      <w:pPr>
        <w:pStyle w:val="PolicyTOCEntry"/>
      </w:pPr>
    </w:p>
    <w:p w:rsidR="00290794" w:rsidRPr="003629B2" w:rsidRDefault="00290794">
      <w:r w:rsidRPr="003629B2">
        <w:fldChar w:fldCharType="begin"/>
      </w:r>
      <w:r w:rsidRPr="003629B2">
        <w:instrText xml:space="preserve"> SEQ CHAPTER \h \r 1</w:instrText>
      </w:r>
      <w:r w:rsidRPr="003629B2">
        <w:fldChar w:fldCharType="end"/>
      </w:r>
      <w:r w:rsidRPr="003629B2">
        <w:t>The following symbol is used on some policies:</w:t>
      </w:r>
    </w:p>
    <w:p w:rsidR="00290794" w:rsidRPr="003629B2" w:rsidRDefault="00290794"/>
    <w:p w:rsidR="00290794" w:rsidRPr="003629B2" w:rsidRDefault="00290794">
      <w:pPr>
        <w:tabs>
          <w:tab w:val="left" w:pos="720"/>
        </w:tabs>
        <w:ind w:left="720" w:hanging="720"/>
      </w:pPr>
      <w:r w:rsidRPr="003629B2">
        <w:t>**</w:t>
      </w:r>
      <w:r w:rsidRPr="003629B2">
        <w:tab/>
        <w:t>As used in this policy, the term parent includes legal guardian or person in a parental relationship. The status and duties of a legal guardian are defined in ORS 125.005(4) and 125.300-125.325. The determination of whether an individual is acting in a parental relationship, for purposes of determining residency, depends on the evaluation of the factors listed in ORS 419B.373. The determination for other purposes depends on evaluation of those factors and a power of attorney executed pursuant to ORS 109.056. For special education students, parent also includes a surrogate parent, an adult student to whom rights have transferred and foster parent as defined in OAR 581-015-2000.</w:t>
      </w:r>
    </w:p>
    <w:p w:rsidR="00290794" w:rsidRDefault="00290794" w:rsidP="008A3FA0">
      <w:pPr>
        <w:pStyle w:val="PolicyTOCEntry"/>
      </w:pPr>
    </w:p>
    <w:sectPr w:rsidR="00290794" w:rsidSect="00F14DA3">
      <w:type w:val="continuous"/>
      <w:pgSz w:w="12240" w:h="15840" w:code="1"/>
      <w:pgMar w:top="936" w:right="360" w:bottom="720" w:left="1224" w:header="576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8177B" w:rsidRDefault="0078177B" w:rsidP="00095176">
      <w:r>
        <w:separator/>
      </w:r>
    </w:p>
  </w:endnote>
  <w:endnote w:type="continuationSeparator" w:id="0">
    <w:p w:rsidR="0078177B" w:rsidRDefault="0078177B" w:rsidP="0009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8177B" w:rsidRDefault="0078177B" w:rsidP="00095176">
      <w:r>
        <w:separator/>
      </w:r>
    </w:p>
  </w:footnote>
  <w:footnote w:type="continuationSeparator" w:id="0">
    <w:p w:rsidR="0078177B" w:rsidRDefault="0078177B" w:rsidP="000951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defaultTabStop w:val="720"/>
  <w:hyphenationZone w:val="936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209"/>
    <w:rsid w:val="000302C2"/>
    <w:rsid w:val="00067727"/>
    <w:rsid w:val="00095176"/>
    <w:rsid w:val="00096BCD"/>
    <w:rsid w:val="000B056D"/>
    <w:rsid w:val="00100ACD"/>
    <w:rsid w:val="001074DF"/>
    <w:rsid w:val="00117175"/>
    <w:rsid w:val="00217941"/>
    <w:rsid w:val="00221179"/>
    <w:rsid w:val="00290794"/>
    <w:rsid w:val="002A1209"/>
    <w:rsid w:val="003153F5"/>
    <w:rsid w:val="00337226"/>
    <w:rsid w:val="00337618"/>
    <w:rsid w:val="003B49AB"/>
    <w:rsid w:val="003C2538"/>
    <w:rsid w:val="003F066F"/>
    <w:rsid w:val="00405A1E"/>
    <w:rsid w:val="004157D8"/>
    <w:rsid w:val="0047118B"/>
    <w:rsid w:val="004A7706"/>
    <w:rsid w:val="0054576B"/>
    <w:rsid w:val="005500CB"/>
    <w:rsid w:val="00574BB7"/>
    <w:rsid w:val="0057709E"/>
    <w:rsid w:val="005E2833"/>
    <w:rsid w:val="006079A7"/>
    <w:rsid w:val="00625417"/>
    <w:rsid w:val="0069474E"/>
    <w:rsid w:val="006A1980"/>
    <w:rsid w:val="006C37AE"/>
    <w:rsid w:val="0078177B"/>
    <w:rsid w:val="007B74D9"/>
    <w:rsid w:val="008378C4"/>
    <w:rsid w:val="0088518B"/>
    <w:rsid w:val="008A3FA0"/>
    <w:rsid w:val="008C4397"/>
    <w:rsid w:val="008D7458"/>
    <w:rsid w:val="00910C3E"/>
    <w:rsid w:val="00912979"/>
    <w:rsid w:val="00955EA9"/>
    <w:rsid w:val="00962755"/>
    <w:rsid w:val="009D77E4"/>
    <w:rsid w:val="00A331FA"/>
    <w:rsid w:val="00A80B6A"/>
    <w:rsid w:val="00A83798"/>
    <w:rsid w:val="00AA1B90"/>
    <w:rsid w:val="00AA76A7"/>
    <w:rsid w:val="00B329BE"/>
    <w:rsid w:val="00B84194"/>
    <w:rsid w:val="00BE795B"/>
    <w:rsid w:val="00C16479"/>
    <w:rsid w:val="00C16C6A"/>
    <w:rsid w:val="00C744E7"/>
    <w:rsid w:val="00C84C6C"/>
    <w:rsid w:val="00C978F3"/>
    <w:rsid w:val="00D02E10"/>
    <w:rsid w:val="00D03E35"/>
    <w:rsid w:val="00D154B6"/>
    <w:rsid w:val="00D443CF"/>
    <w:rsid w:val="00D51196"/>
    <w:rsid w:val="00D67421"/>
    <w:rsid w:val="00D8406A"/>
    <w:rsid w:val="00DA1070"/>
    <w:rsid w:val="00E436C1"/>
    <w:rsid w:val="00E628CD"/>
    <w:rsid w:val="00E8491D"/>
    <w:rsid w:val="00E86894"/>
    <w:rsid w:val="00EE18F3"/>
    <w:rsid w:val="00EF2E8D"/>
    <w:rsid w:val="00F14DA3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AD2CE817-A16B-4F5B-AD33-4C45FA18B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licyTOCEntry">
    <w:name w:val="Policy TOC Entry"/>
    <w:basedOn w:val="Normal"/>
    <w:qFormat/>
    <w:rsid w:val="00910C3E"/>
    <w:pPr>
      <w:tabs>
        <w:tab w:val="left" w:pos="720"/>
        <w:tab w:val="left" w:leader="dot" w:pos="8467"/>
        <w:tab w:val="left" w:pos="8640"/>
      </w:tabs>
      <w:ind w:left="8640" w:hanging="8640"/>
    </w:pPr>
    <w:rPr>
      <w:szCs w:val="24"/>
    </w:rPr>
  </w:style>
  <w:style w:type="paragraph" w:customStyle="1" w:styleId="PolicyTOCHeading">
    <w:name w:val="Policy TOC Heading"/>
    <w:basedOn w:val="Normal"/>
    <w:qFormat/>
    <w:rsid w:val="006079A7"/>
    <w:pPr>
      <w:spacing w:after="240"/>
      <w:jc w:val="center"/>
    </w:pPr>
    <w:rPr>
      <w:szCs w:val="24"/>
    </w:rPr>
  </w:style>
  <w:style w:type="paragraph" w:customStyle="1" w:styleId="Level1">
    <w:name w:val="Level 1"/>
    <w:uiPriority w:val="99"/>
    <w:pPr>
      <w:widowControl w:val="0"/>
      <w:tabs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2">
    <w:name w:val="Level 2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Level3">
    <w:name w:val="Level 3"/>
    <w:uiPriority w:val="99"/>
    <w:pPr>
      <w:widowControl w:val="0"/>
      <w:tabs>
        <w:tab w:val="left" w:pos="720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Level4">
    <w:name w:val="Level 4"/>
    <w:uiPriority w:val="99"/>
    <w:pPr>
      <w:widowControl w:val="0"/>
      <w:tabs>
        <w:tab w:val="left" w:pos="237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2376"/>
    </w:pPr>
    <w:rPr>
      <w:rFonts w:ascii="Times New Roman" w:hAnsi="Times New Roman" w:cs="Times New Roman"/>
      <w:sz w:val="24"/>
      <w:szCs w:val="24"/>
    </w:rPr>
  </w:style>
  <w:style w:type="paragraph" w:customStyle="1" w:styleId="Level5">
    <w:name w:val="Level 5"/>
    <w:uiPriority w:val="99"/>
    <w:pPr>
      <w:widowControl w:val="0"/>
      <w:tabs>
        <w:tab w:val="left" w:pos="309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096"/>
    </w:pPr>
    <w:rPr>
      <w:rFonts w:ascii="Times New Roman" w:hAnsi="Times New Roman" w:cs="Times New Roman"/>
      <w:sz w:val="24"/>
      <w:szCs w:val="24"/>
    </w:rPr>
  </w:style>
  <w:style w:type="paragraph" w:customStyle="1" w:styleId="Level6">
    <w:name w:val="Level 6"/>
    <w:uiPriority w:val="99"/>
    <w:pPr>
      <w:widowControl w:val="0"/>
      <w:tabs>
        <w:tab w:val="left" w:pos="381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3816"/>
    </w:pPr>
    <w:rPr>
      <w:rFonts w:ascii="Times New Roman" w:hAnsi="Times New Roman" w:cs="Times New Roman"/>
      <w:sz w:val="24"/>
      <w:szCs w:val="24"/>
    </w:rPr>
  </w:style>
  <w:style w:type="paragraph" w:customStyle="1" w:styleId="Level7">
    <w:name w:val="Level 7"/>
    <w:uiPriority w:val="99"/>
    <w:pPr>
      <w:widowControl w:val="0"/>
      <w:tabs>
        <w:tab w:val="left" w:pos="453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4536"/>
    </w:pPr>
    <w:rPr>
      <w:rFonts w:ascii="Times New Roman" w:hAnsi="Times New Roman" w:cs="Times New Roman"/>
      <w:sz w:val="24"/>
      <w:szCs w:val="24"/>
    </w:rPr>
  </w:style>
  <w:style w:type="paragraph" w:customStyle="1" w:styleId="Level8">
    <w:name w:val="Level 8"/>
    <w:uiPriority w:val="99"/>
    <w:pPr>
      <w:widowControl w:val="0"/>
      <w:tabs>
        <w:tab w:val="left" w:pos="5256"/>
        <w:tab w:val="left" w:leader="dot" w:pos="8784"/>
        <w:tab w:val="left" w:pos="8856"/>
      </w:tabs>
      <w:autoSpaceDE w:val="0"/>
      <w:autoSpaceDN w:val="0"/>
      <w:adjustRightInd w:val="0"/>
      <w:spacing w:after="0" w:line="240" w:lineRule="auto"/>
      <w:ind w:left="5256"/>
    </w:pPr>
    <w:rPr>
      <w:rFonts w:ascii="Times New Roman" w:hAnsi="Times New Roman" w:cs="Times New Roman"/>
      <w:sz w:val="24"/>
      <w:szCs w:val="24"/>
    </w:rPr>
  </w:style>
  <w:style w:type="paragraph" w:customStyle="1" w:styleId="Level9">
    <w:name w:val="Level 9"/>
    <w:uiPriority w:val="99"/>
    <w:pPr>
      <w:widowControl w:val="0"/>
      <w:autoSpaceDE w:val="0"/>
      <w:autoSpaceDN w:val="0"/>
      <w:adjustRightInd w:val="0"/>
      <w:spacing w:after="0" w:line="240" w:lineRule="auto"/>
      <w:ind w:left="6696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176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951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176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Colleen Allen</dc:creator>
  <cp:keywords/>
  <dc:description/>
  <cp:lastModifiedBy>Colleen Allen</cp:lastModifiedBy>
  <cp:revision>48</cp:revision>
  <dcterms:created xsi:type="dcterms:W3CDTF">2025-05-22T17:45:00Z</dcterms:created>
  <dcterms:modified xsi:type="dcterms:W3CDTF">2025-05-22T17:48:00Z</dcterms:modified>
</cp:coreProperties>
</file>