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D322D" w14:textId="77777777" w:rsidR="00BC4331" w:rsidRPr="00976D56" w:rsidRDefault="00BC4331" w:rsidP="001E1260">
      <w:pPr>
        <w:pStyle w:val="PolicyTitleBox"/>
      </w:pPr>
      <w:r>
        <w:t>Lourdes Public Charter School</w:t>
      </w:r>
    </w:p>
    <w:p w14:paraId="1924BBA3" w14:textId="77777777" w:rsidR="00CC7D46" w:rsidRPr="002B299C" w:rsidRDefault="00CC7D46" w:rsidP="00CC7D46"/>
    <w:p w14:paraId="313F159C" w14:textId="77777777" w:rsidR="001E1260" w:rsidRPr="002B299C" w:rsidRDefault="001E1260" w:rsidP="001E1260">
      <w:pPr>
        <w:pStyle w:val="PolicyCode"/>
      </w:pPr>
      <w:r w:rsidRPr="002B299C">
        <w:t>Code:</w:t>
      </w:r>
      <w:r w:rsidRPr="002B299C">
        <w:tab/>
      </w:r>
      <w:r w:rsidR="00374AB4" w:rsidRPr="002B299C">
        <w:t>GCPC/GDPC</w:t>
      </w:r>
    </w:p>
    <w:p w14:paraId="5C2CE0C1" w14:textId="324B8A99" w:rsidR="001E1260" w:rsidRPr="002B299C" w:rsidRDefault="001E1260" w:rsidP="001E1260">
      <w:pPr>
        <w:pStyle w:val="PolicyCode"/>
      </w:pPr>
      <w:r w:rsidRPr="002B299C">
        <w:t>Adopted:</w:t>
      </w:r>
      <w:r w:rsidRPr="002B299C">
        <w:tab/>
      </w:r>
      <w:r w:rsidR="00417D71">
        <w:t>4/28/25</w:t>
      </w:r>
    </w:p>
    <w:p w14:paraId="40B73936" w14:textId="77777777" w:rsidR="001E1260" w:rsidRPr="002B299C" w:rsidRDefault="001E1260" w:rsidP="00CC7D46"/>
    <w:p w14:paraId="501A9213" w14:textId="3F679039" w:rsidR="00EF573E" w:rsidRPr="002B299C" w:rsidRDefault="00374AB4" w:rsidP="00EF573E">
      <w:pPr>
        <w:pStyle w:val="PolicyTitle"/>
      </w:pPr>
      <w:r w:rsidRPr="002B299C">
        <w:t>Retirement of Staff</w:t>
      </w:r>
    </w:p>
    <w:p w14:paraId="2D5FB939" w14:textId="77777777" w:rsidR="00071808" w:rsidRPr="002B299C" w:rsidRDefault="00071808" w:rsidP="00A10EA5"/>
    <w:p w14:paraId="37201D7A" w14:textId="3651F230" w:rsidR="00374AB4" w:rsidRPr="002B299C" w:rsidRDefault="00374AB4" w:rsidP="00374AB4">
      <w:pPr>
        <w:pStyle w:val="PolicyBodyText"/>
      </w:pPr>
      <w:r w:rsidRPr="002B299C">
        <w:t xml:space="preserve">To assist the </w:t>
      </w:r>
      <w:r w:rsidR="005332D7" w:rsidRPr="002B299C">
        <w:t>public charter school</w:t>
      </w:r>
      <w:r w:rsidRPr="002B299C">
        <w:t xml:space="preserve"> in its planning efforts, staff members considering retirement are encouraged to notify the </w:t>
      </w:r>
      <w:r w:rsidR="005332D7" w:rsidRPr="002B299C">
        <w:t>public charter school</w:t>
      </w:r>
      <w:r w:rsidRPr="002B299C">
        <w:t xml:space="preserve"> as early as possible, preferably at the beginning of the school year in which the retirement will take place.</w:t>
      </w:r>
    </w:p>
    <w:p w14:paraId="4F9E37F9" w14:textId="749D64BE" w:rsidR="000C1B33" w:rsidRPr="002B299C" w:rsidRDefault="000C1B33" w:rsidP="00374AB4">
      <w:pPr>
        <w:pStyle w:val="PolicyBodyText"/>
      </w:pPr>
    </w:p>
    <w:p w14:paraId="76D2ACF6" w14:textId="1D485288" w:rsidR="00652588" w:rsidRPr="002B299C" w:rsidRDefault="00652588" w:rsidP="00652588">
      <w:pPr>
        <w:pStyle w:val="PolicyBodyText"/>
      </w:pPr>
      <w:r w:rsidRPr="002B299C">
        <w:t xml:space="preserve">Retiring employees are encouraged to coordinate with PERS and the </w:t>
      </w:r>
      <w:r w:rsidR="0077229F">
        <w:t>administrator</w:t>
      </w:r>
      <w:r w:rsidRPr="002B299C">
        <w:t xml:space="preserve"> to ensure that all requirements are met. The </w:t>
      </w:r>
      <w:r w:rsidR="00635E18" w:rsidRPr="002B299C">
        <w:t>administrator</w:t>
      </w:r>
      <w:r w:rsidRPr="002B299C">
        <w:t xml:space="preserve"> will develop requirements, limitations and procedures for employment as a PERS-retiree.</w:t>
      </w:r>
      <w:r w:rsidR="00192B7C" w:rsidRPr="002B299C" w:rsidDel="00192B7C">
        <w:rPr>
          <w:rStyle w:val="FootnoteReference"/>
        </w:rPr>
        <w:t xml:space="preserve"> </w:t>
      </w:r>
    </w:p>
    <w:p w14:paraId="0D9A62F3" w14:textId="77777777" w:rsidR="00652588" w:rsidRPr="002B299C" w:rsidRDefault="00652588" w:rsidP="00374AB4">
      <w:pPr>
        <w:pStyle w:val="PolicyBodyText"/>
      </w:pPr>
    </w:p>
    <w:p w14:paraId="075793FE" w14:textId="19FAC619" w:rsidR="00071F81" w:rsidRPr="002B299C" w:rsidRDefault="00071F81" w:rsidP="00071F81">
      <w:pPr>
        <w:pStyle w:val="PolicyBodyText"/>
      </w:pPr>
      <w:r w:rsidRPr="002B299C">
        <w:t xml:space="preserve">When an employee of the </w:t>
      </w:r>
      <w:r w:rsidR="005332D7" w:rsidRPr="002B299C">
        <w:t>public charter school</w:t>
      </w:r>
      <w:r w:rsidRPr="002B299C">
        <w:t xml:space="preserve"> retires under PERS, that employee</w:t>
      </w:r>
      <w:r w:rsidR="001209A7">
        <w:t>’</w:t>
      </w:r>
      <w:r w:rsidRPr="002B299C">
        <w:t xml:space="preserve">s employment with the </w:t>
      </w:r>
      <w:r w:rsidR="005332D7" w:rsidRPr="002B299C">
        <w:t>public charter school</w:t>
      </w:r>
      <w:r w:rsidRPr="002B299C">
        <w:t xml:space="preserve"> will terminate. PERS-retired individuals may apply for open positions with the </w:t>
      </w:r>
      <w:r w:rsidR="005332D7" w:rsidRPr="002B299C">
        <w:t>public charter school</w:t>
      </w:r>
      <w:r w:rsidRPr="002B299C">
        <w:t>.</w:t>
      </w:r>
      <w:r w:rsidRPr="002B299C">
        <w:rPr>
          <w:rStyle w:val="FootnoteReference"/>
        </w:rPr>
        <w:footnoteReference w:id="1"/>
      </w:r>
    </w:p>
    <w:p w14:paraId="3046A542" w14:textId="77777777" w:rsidR="000C1B33" w:rsidRPr="002B299C" w:rsidRDefault="000C1B33" w:rsidP="00374AB4">
      <w:pPr>
        <w:pStyle w:val="PolicyBodyText"/>
      </w:pPr>
    </w:p>
    <w:p w14:paraId="519EF00F" w14:textId="47F4AC1E" w:rsidR="00967D25" w:rsidRPr="002B299C" w:rsidRDefault="005332D7" w:rsidP="00967D25">
      <w:pPr>
        <w:pStyle w:val="PolicyBodyText"/>
      </w:pPr>
      <w:r w:rsidRPr="002B299C">
        <w:t>Public charter school</w:t>
      </w:r>
      <w:r w:rsidR="00967D25" w:rsidRPr="002B299C">
        <w:t xml:space="preserve"> employees </w:t>
      </w:r>
      <w:r w:rsidR="0061388D">
        <w:t>may also</w:t>
      </w:r>
      <w:r w:rsidR="0061388D" w:rsidRPr="002B299C">
        <w:t xml:space="preserve"> </w:t>
      </w:r>
      <w:r w:rsidR="00967D25" w:rsidRPr="002B299C">
        <w:t xml:space="preserve">be allowed to retire under PERS and return to their position in the </w:t>
      </w:r>
      <w:r w:rsidRPr="002B299C">
        <w:t>public charter school</w:t>
      </w:r>
      <w:r w:rsidR="001209A7">
        <w:rPr>
          <w:rStyle w:val="FootnoteReference"/>
        </w:rPr>
        <w:t xml:space="preserve"> </w:t>
      </w:r>
      <w:r w:rsidR="0061388D">
        <w:t>if available</w:t>
      </w:r>
      <w:r w:rsidR="00967D25" w:rsidRPr="002B299C">
        <w:t>.</w:t>
      </w:r>
      <w:r w:rsidR="00967D25" w:rsidRPr="002B299C">
        <w:rPr>
          <w:rStyle w:val="FootnoteReference"/>
        </w:rPr>
        <w:footnoteReference w:id="2"/>
      </w:r>
    </w:p>
    <w:p w14:paraId="0424E4C6" w14:textId="77777777" w:rsidR="00374AB4" w:rsidRPr="002B299C" w:rsidRDefault="00374AB4" w:rsidP="00374AB4">
      <w:pPr>
        <w:pStyle w:val="PolicyBodyText"/>
      </w:pPr>
    </w:p>
    <w:p w14:paraId="16692FA9" w14:textId="77777777" w:rsidR="00374AB4" w:rsidRPr="002B299C" w:rsidRDefault="00374AB4" w:rsidP="00374AB4">
      <w:pPr>
        <w:pStyle w:val="PolicyBodyText"/>
      </w:pPr>
      <w:r w:rsidRPr="002B299C">
        <w:t>END OF POLICY</w:t>
      </w:r>
    </w:p>
    <w:p w14:paraId="5C5634EB" w14:textId="77777777" w:rsidR="00374AB4" w:rsidRPr="002B299C" w:rsidRDefault="00374AB4" w:rsidP="00374AB4">
      <w:pPr>
        <w:pStyle w:val="PolicyLine"/>
      </w:pPr>
    </w:p>
    <w:p w14:paraId="723902FF" w14:textId="77777777" w:rsidR="00374AB4" w:rsidRPr="002B299C" w:rsidRDefault="00374AB4" w:rsidP="00D05298">
      <w:pPr>
        <w:pStyle w:val="PolicyReferencesHeading"/>
      </w:pPr>
      <w:r w:rsidRPr="002B299C">
        <w:t>Legal Reference(s):</w:t>
      </w:r>
    </w:p>
    <w:p w14:paraId="1034D27F" w14:textId="77777777" w:rsidR="00374AB4" w:rsidRPr="002B299C" w:rsidRDefault="00374AB4" w:rsidP="00374AB4">
      <w:pPr>
        <w:pStyle w:val="PolicyReferences"/>
      </w:pPr>
    </w:p>
    <w:p w14:paraId="557C0E4E" w14:textId="77777777" w:rsidR="00374AB4" w:rsidRPr="002B299C" w:rsidRDefault="00374AB4" w:rsidP="00374AB4">
      <w:pPr>
        <w:pStyle w:val="PolicyReferences"/>
        <w:sectPr w:rsidR="00374AB4" w:rsidRPr="002B299C" w:rsidSect="00374AB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133D9AB5" w14:textId="0AB0DACB" w:rsidR="00374AB4" w:rsidRPr="002B299C" w:rsidRDefault="006F0BFB" w:rsidP="00374AB4">
      <w:pPr>
        <w:pStyle w:val="PolicyReferences"/>
      </w:pPr>
      <w:r w:rsidRPr="002B299C">
        <w:rPr>
          <w:color w:val="0000FF"/>
          <w:u w:val="single"/>
        </w:rPr>
        <w:fldChar w:fldCharType="begin"/>
      </w:r>
      <w:r w:rsidRPr="002B299C">
        <w:rPr>
          <w:color w:val="0000FF"/>
          <w:u w:val="single"/>
        </w:rPr>
        <w:instrText xml:space="preserve"> HYPERLINK "http://policy.osba.org/orsredir.asp?ors=ors-chapter-237" </w:instrText>
      </w:r>
      <w:r w:rsidRPr="002B299C">
        <w:rPr>
          <w:color w:val="0000FF"/>
          <w:u w:val="single"/>
        </w:rPr>
      </w:r>
      <w:r w:rsidRPr="002B299C">
        <w:rPr>
          <w:color w:val="0000FF"/>
          <w:u w:val="single"/>
        </w:rPr>
        <w:fldChar w:fldCharType="separate"/>
      </w:r>
      <w:r w:rsidRPr="002B299C">
        <w:rPr>
          <w:rStyle w:val="Hyperlink"/>
        </w:rPr>
        <w:t>ORS Chapter 237</w:t>
      </w:r>
      <w:r w:rsidRPr="002B299C">
        <w:rPr>
          <w:color w:val="0000FF"/>
          <w:u w:val="single"/>
        </w:rPr>
        <w:fldChar w:fldCharType="end"/>
      </w:r>
    </w:p>
    <w:p w14:paraId="3D64D976" w14:textId="14B4AF81" w:rsidR="00374AB4" w:rsidRPr="002B299C" w:rsidRDefault="006F0BFB" w:rsidP="00374AB4">
      <w:pPr>
        <w:pStyle w:val="PolicyReferences"/>
      </w:pPr>
      <w:hyperlink r:id="rId14" w:history="1">
        <w:r w:rsidRPr="002B299C">
          <w:rPr>
            <w:rStyle w:val="Hyperlink"/>
          </w:rPr>
          <w:t>ORS Chapter 238</w:t>
        </w:r>
      </w:hyperlink>
    </w:p>
    <w:p w14:paraId="7F794F10" w14:textId="464E6030" w:rsidR="006F0BFB" w:rsidRPr="002B299C" w:rsidRDefault="006F0BFB" w:rsidP="00374AB4">
      <w:pPr>
        <w:pStyle w:val="PolicyReferences"/>
      </w:pPr>
      <w:hyperlink r:id="rId15" w:history="1">
        <w:r w:rsidRPr="002B299C">
          <w:rPr>
            <w:rStyle w:val="Hyperlink"/>
          </w:rPr>
          <w:t>ORS Chapter 238A</w:t>
        </w:r>
      </w:hyperlink>
    </w:p>
    <w:p w14:paraId="60F75730" w14:textId="5FABC428" w:rsidR="00374AB4" w:rsidRPr="002B299C" w:rsidRDefault="006F0BFB" w:rsidP="00374AB4">
      <w:pPr>
        <w:pStyle w:val="PolicyReferences"/>
      </w:pPr>
      <w:hyperlink r:id="rId16" w:history="1">
        <w:r w:rsidRPr="002B299C">
          <w:rPr>
            <w:rStyle w:val="Hyperlink"/>
          </w:rPr>
          <w:t>ORS 243</w:t>
        </w:r>
      </w:hyperlink>
      <w:r w:rsidR="00374AB4" w:rsidRPr="002B299C">
        <w:t>.303</w:t>
      </w:r>
    </w:p>
    <w:p w14:paraId="0BD8A5AE" w14:textId="4B175CA9" w:rsidR="00374AB4" w:rsidRPr="002B299C" w:rsidRDefault="006F0BFB" w:rsidP="00374AB4">
      <w:pPr>
        <w:pStyle w:val="PolicyReferences"/>
        <w:sectPr w:rsidR="00374AB4" w:rsidRPr="002B299C" w:rsidSect="00374AB4">
          <w:footerReference w:type="default" r:id="rId17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  <w:hyperlink r:id="rId18" w:history="1">
        <w:r w:rsidRPr="002B299C">
          <w:rPr>
            <w:rStyle w:val="Hyperlink"/>
          </w:rPr>
          <w:t>ORS 342</w:t>
        </w:r>
      </w:hyperlink>
      <w:r w:rsidR="00374AB4" w:rsidRPr="002B299C">
        <w:t>.120</w:t>
      </w:r>
    </w:p>
    <w:p w14:paraId="1158C481" w14:textId="77777777" w:rsidR="00374AB4" w:rsidRPr="002B299C" w:rsidRDefault="00374AB4" w:rsidP="00374AB4">
      <w:pPr>
        <w:pStyle w:val="PolicyReferences"/>
      </w:pPr>
    </w:p>
    <w:p w14:paraId="1577367F" w14:textId="57734FF0" w:rsidR="00374AB4" w:rsidRPr="002B299C" w:rsidRDefault="00374AB4" w:rsidP="00374AB4">
      <w:pPr>
        <w:pStyle w:val="PolicyReferences"/>
      </w:pPr>
      <w:r w:rsidRPr="002B299C">
        <w:t>Consolidated Omnibus Budget Reconciliation Act of 1985, 29 U.S.C. §§ 1161-1169 (</w:t>
      </w:r>
      <w:r w:rsidR="00484F83" w:rsidRPr="002B299C">
        <w:t>201</w:t>
      </w:r>
      <w:r w:rsidR="006F0BFB" w:rsidRPr="002B299C">
        <w:t>8</w:t>
      </w:r>
      <w:r w:rsidRPr="002B299C">
        <w:t>).</w:t>
      </w:r>
    </w:p>
    <w:p w14:paraId="1972715E" w14:textId="75C5DC8F" w:rsidR="00374AB4" w:rsidRPr="002B299C" w:rsidRDefault="00374AB4" w:rsidP="00374AB4">
      <w:pPr>
        <w:pStyle w:val="PolicyReferences"/>
      </w:pPr>
      <w:r w:rsidRPr="002B299C">
        <w:t>Employee Retirement Income Security Act of 1974, 29 U.S.C. §§ 1001-1461 (</w:t>
      </w:r>
      <w:r w:rsidR="00484F83" w:rsidRPr="002B299C">
        <w:t>201</w:t>
      </w:r>
      <w:r w:rsidR="006F0BFB" w:rsidRPr="002B299C">
        <w:t>8</w:t>
      </w:r>
      <w:r w:rsidRPr="002B299C">
        <w:t>).</w:t>
      </w:r>
    </w:p>
    <w:p w14:paraId="5673E4B6" w14:textId="77777777" w:rsidR="00374AB4" w:rsidRPr="002B299C" w:rsidRDefault="00374AB4" w:rsidP="00374AB4">
      <w:pPr>
        <w:pStyle w:val="PolicyReferences"/>
      </w:pPr>
      <w:r w:rsidRPr="002B299C">
        <w:rPr>
          <w:smallCaps/>
        </w:rPr>
        <w:t>Or. Const.,</w:t>
      </w:r>
      <w:r w:rsidRPr="002B299C">
        <w:t xml:space="preserve"> art. IX, §§ 10-13.</w:t>
      </w:r>
      <w:bookmarkStart w:id="2" w:name="LawsEnd"/>
      <w:bookmarkEnd w:id="2"/>
    </w:p>
    <w:p w14:paraId="1EA66741" w14:textId="77777777" w:rsidR="00917E08" w:rsidRDefault="00917E08" w:rsidP="00E10732">
      <w:pPr>
        <w:pStyle w:val="PolicyReferences"/>
      </w:pPr>
      <w:bookmarkStart w:id="3" w:name="_Hlk142479162"/>
    </w:p>
    <w:bookmarkEnd w:id="3"/>
    <w:sectPr w:rsidR="00917E08" w:rsidSect="00374AB4">
      <w:footerReference w:type="default" r:id="rId19"/>
      <w:type w:val="continuous"/>
      <w:pgSz w:w="12240" w:h="15840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10498B" w14:textId="77777777" w:rsidR="00374AB4" w:rsidRDefault="00374AB4" w:rsidP="00FC3907">
      <w:r>
        <w:separator/>
      </w:r>
    </w:p>
  </w:endnote>
  <w:endnote w:type="continuationSeparator" w:id="0">
    <w:p w14:paraId="402F2613" w14:textId="77777777" w:rsidR="00374AB4" w:rsidRDefault="00374AB4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12247" w14:textId="77777777" w:rsidR="00417D71" w:rsidRDefault="00417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17E08" w14:paraId="15BD329A" w14:textId="77777777" w:rsidTr="004616AD">
      <w:tc>
        <w:tcPr>
          <w:tcW w:w="2340" w:type="dxa"/>
        </w:tcPr>
        <w:p w14:paraId="3087C134" w14:textId="77777777" w:rsidR="00917E08" w:rsidRDefault="00917E0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677F1D4" w14:textId="600176B2" w:rsidR="00917E08" w:rsidRDefault="00917E08" w:rsidP="004616AD">
          <w:pPr>
            <w:pStyle w:val="Footer"/>
            <w:jc w:val="right"/>
          </w:pPr>
          <w:r>
            <w:t>Retirement of Staff – GCPC/GDPC</w:t>
          </w:r>
        </w:p>
        <w:p w14:paraId="12850FD6" w14:textId="77777777" w:rsidR="00917E08" w:rsidRDefault="00917E0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64AF7B8" w14:textId="77777777" w:rsidR="00917E08" w:rsidRPr="00782930" w:rsidRDefault="00917E0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99573" w14:textId="77777777" w:rsidR="00417D71" w:rsidRDefault="00417D7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17E08" w14:paraId="67F3D092" w14:textId="77777777" w:rsidTr="004616AD">
      <w:tc>
        <w:tcPr>
          <w:tcW w:w="2340" w:type="dxa"/>
        </w:tcPr>
        <w:p w14:paraId="1E51791C" w14:textId="77777777" w:rsidR="00917E08" w:rsidRDefault="00917E0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8/30/23│SL</w:t>
          </w:r>
        </w:p>
        <w:p w14:paraId="154CEF66" w14:textId="369FFBC4" w:rsidR="00917E08" w:rsidRDefault="00917E08" w:rsidP="004616AD">
          <w:pPr>
            <w:pStyle w:val="Footer"/>
            <w:rPr>
              <w:noProof/>
              <w:sz w:val="20"/>
            </w:rPr>
          </w:pPr>
        </w:p>
        <w:p w14:paraId="0B9636F7" w14:textId="77777777" w:rsidR="00917E08" w:rsidRDefault="00917E0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388C75D" w14:textId="33427352" w:rsidR="00917E08" w:rsidRDefault="00917E08" w:rsidP="004616AD">
          <w:pPr>
            <w:pStyle w:val="Footer"/>
            <w:jc w:val="right"/>
          </w:pPr>
          <w:r>
            <w:t>Retirement of Staff – GCPC/GDPC</w:t>
          </w:r>
        </w:p>
        <w:p w14:paraId="7155142C" w14:textId="77777777" w:rsidR="00917E08" w:rsidRDefault="00917E0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0F956328" w14:textId="77777777" w:rsidR="00917E08" w:rsidRPr="00782930" w:rsidRDefault="00917E08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917E08" w14:paraId="7BD46AB7" w14:textId="77777777" w:rsidTr="004616AD">
      <w:tc>
        <w:tcPr>
          <w:tcW w:w="2340" w:type="dxa"/>
        </w:tcPr>
        <w:p w14:paraId="448A27C4" w14:textId="77777777" w:rsidR="00917E08" w:rsidRDefault="00917E0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8/30/23│SL</w:t>
          </w:r>
        </w:p>
        <w:p w14:paraId="1B0E52DD" w14:textId="03246818" w:rsidR="00917E08" w:rsidRDefault="00917E08" w:rsidP="004616AD">
          <w:pPr>
            <w:pStyle w:val="Footer"/>
            <w:rPr>
              <w:noProof/>
              <w:sz w:val="20"/>
            </w:rPr>
          </w:pPr>
        </w:p>
        <w:p w14:paraId="27AC31F4" w14:textId="77777777" w:rsidR="00917E08" w:rsidRDefault="00917E0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F8DA37B" w14:textId="4D8A4EE7" w:rsidR="00917E08" w:rsidRDefault="00917E08" w:rsidP="004616AD">
          <w:pPr>
            <w:pStyle w:val="Footer"/>
            <w:jc w:val="right"/>
          </w:pPr>
          <w:r>
            <w:t>Retirement of Staff – GCPC/GDPC</w:t>
          </w:r>
        </w:p>
        <w:p w14:paraId="47C56C31" w14:textId="77777777" w:rsidR="00917E08" w:rsidRDefault="00917E0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F0EE34C" w14:textId="77777777" w:rsidR="00917E08" w:rsidRPr="00782930" w:rsidRDefault="00917E0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9F17C" w14:textId="77777777" w:rsidR="00374AB4" w:rsidRDefault="00374AB4" w:rsidP="00FC3907">
      <w:r>
        <w:separator/>
      </w:r>
    </w:p>
  </w:footnote>
  <w:footnote w:type="continuationSeparator" w:id="0">
    <w:p w14:paraId="580852D8" w14:textId="77777777" w:rsidR="00374AB4" w:rsidRDefault="00374AB4" w:rsidP="00FC3907">
      <w:r>
        <w:continuationSeparator/>
      </w:r>
    </w:p>
  </w:footnote>
  <w:footnote w:id="1">
    <w:p w14:paraId="45D52607" w14:textId="77777777" w:rsidR="00071F81" w:rsidRDefault="00071F81" w:rsidP="00071F8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B299C">
        <w:t>There must be a break in service for retired employees returning to work.</w:t>
      </w:r>
    </w:p>
  </w:footnote>
  <w:footnote w:id="2">
    <w:p w14:paraId="596C416B" w14:textId="77777777" w:rsidR="00967D25" w:rsidRDefault="00967D25" w:rsidP="00967D25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B299C">
        <w:t>There must be a break in service for retired employees returning to work.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549E" w14:textId="77777777" w:rsidR="00417D71" w:rsidRPr="001209A7" w:rsidRDefault="00417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AF0B2" w14:textId="77777777" w:rsidR="00417D71" w:rsidRDefault="00417D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8857C" w14:textId="77777777" w:rsidR="00417D71" w:rsidRDefault="00417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164052168">
    <w:abstractNumId w:val="7"/>
  </w:num>
  <w:num w:numId="2" w16cid:durableId="987320277">
    <w:abstractNumId w:val="4"/>
  </w:num>
  <w:num w:numId="3" w16cid:durableId="1626815332">
    <w:abstractNumId w:val="4"/>
  </w:num>
  <w:num w:numId="4" w16cid:durableId="566914959">
    <w:abstractNumId w:val="3"/>
  </w:num>
  <w:num w:numId="5" w16cid:durableId="906695207">
    <w:abstractNumId w:val="3"/>
  </w:num>
  <w:num w:numId="6" w16cid:durableId="796681962">
    <w:abstractNumId w:val="2"/>
  </w:num>
  <w:num w:numId="7" w16cid:durableId="745803290">
    <w:abstractNumId w:val="2"/>
  </w:num>
  <w:num w:numId="8" w16cid:durableId="613486830">
    <w:abstractNumId w:val="1"/>
  </w:num>
  <w:num w:numId="9" w16cid:durableId="1780031752">
    <w:abstractNumId w:val="1"/>
  </w:num>
  <w:num w:numId="10" w16cid:durableId="1733842615">
    <w:abstractNumId w:val="0"/>
  </w:num>
  <w:num w:numId="11" w16cid:durableId="1512798180">
    <w:abstractNumId w:val="0"/>
  </w:num>
  <w:num w:numId="12" w16cid:durableId="593906360">
    <w:abstractNumId w:val="6"/>
  </w:num>
  <w:num w:numId="13" w16cid:durableId="1861509454">
    <w:abstractNumId w:val="9"/>
  </w:num>
  <w:num w:numId="14" w16cid:durableId="1181626639">
    <w:abstractNumId w:val="8"/>
  </w:num>
  <w:num w:numId="15" w16cid:durableId="9175927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421C1"/>
    <w:rsid w:val="000511CD"/>
    <w:rsid w:val="00052BE8"/>
    <w:rsid w:val="000577C7"/>
    <w:rsid w:val="000617BB"/>
    <w:rsid w:val="0007087A"/>
    <w:rsid w:val="00071808"/>
    <w:rsid w:val="00071F81"/>
    <w:rsid w:val="00074380"/>
    <w:rsid w:val="00082DFD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C1B33"/>
    <w:rsid w:val="000D522B"/>
    <w:rsid w:val="000F261A"/>
    <w:rsid w:val="000F30CA"/>
    <w:rsid w:val="000F710F"/>
    <w:rsid w:val="000F7910"/>
    <w:rsid w:val="001209A7"/>
    <w:rsid w:val="00123136"/>
    <w:rsid w:val="00125E1F"/>
    <w:rsid w:val="00137065"/>
    <w:rsid w:val="001479B1"/>
    <w:rsid w:val="00151EC6"/>
    <w:rsid w:val="00156EA7"/>
    <w:rsid w:val="00176981"/>
    <w:rsid w:val="0018025F"/>
    <w:rsid w:val="00192B7C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93508"/>
    <w:rsid w:val="002A7657"/>
    <w:rsid w:val="002B299C"/>
    <w:rsid w:val="002C77C7"/>
    <w:rsid w:val="002F4D33"/>
    <w:rsid w:val="002F7C67"/>
    <w:rsid w:val="00305489"/>
    <w:rsid w:val="00306B03"/>
    <w:rsid w:val="00311B2D"/>
    <w:rsid w:val="003233D7"/>
    <w:rsid w:val="003234E0"/>
    <w:rsid w:val="003414B0"/>
    <w:rsid w:val="00346329"/>
    <w:rsid w:val="00354BAF"/>
    <w:rsid w:val="00355C5E"/>
    <w:rsid w:val="00363573"/>
    <w:rsid w:val="00363AE7"/>
    <w:rsid w:val="003654F3"/>
    <w:rsid w:val="00367B06"/>
    <w:rsid w:val="00374AB4"/>
    <w:rsid w:val="003804C0"/>
    <w:rsid w:val="00385E10"/>
    <w:rsid w:val="00387883"/>
    <w:rsid w:val="003915B0"/>
    <w:rsid w:val="003B3329"/>
    <w:rsid w:val="003C5AE8"/>
    <w:rsid w:val="003E6E0C"/>
    <w:rsid w:val="003F7B66"/>
    <w:rsid w:val="00415660"/>
    <w:rsid w:val="00415A69"/>
    <w:rsid w:val="00417D71"/>
    <w:rsid w:val="004347FA"/>
    <w:rsid w:val="00440997"/>
    <w:rsid w:val="00443C38"/>
    <w:rsid w:val="00453EF5"/>
    <w:rsid w:val="00455739"/>
    <w:rsid w:val="00456577"/>
    <w:rsid w:val="00472B26"/>
    <w:rsid w:val="00484B66"/>
    <w:rsid w:val="00484F83"/>
    <w:rsid w:val="00490A75"/>
    <w:rsid w:val="0049277F"/>
    <w:rsid w:val="00494174"/>
    <w:rsid w:val="004963EC"/>
    <w:rsid w:val="004C1EE4"/>
    <w:rsid w:val="004C2F7D"/>
    <w:rsid w:val="004E3582"/>
    <w:rsid w:val="004F53EB"/>
    <w:rsid w:val="005130E3"/>
    <w:rsid w:val="0051750D"/>
    <w:rsid w:val="00521859"/>
    <w:rsid w:val="00524F11"/>
    <w:rsid w:val="00527A1C"/>
    <w:rsid w:val="005332D7"/>
    <w:rsid w:val="005342BD"/>
    <w:rsid w:val="00536354"/>
    <w:rsid w:val="00543474"/>
    <w:rsid w:val="00557E6B"/>
    <w:rsid w:val="0056389F"/>
    <w:rsid w:val="00566714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5F3411"/>
    <w:rsid w:val="0060463A"/>
    <w:rsid w:val="0061388D"/>
    <w:rsid w:val="0061672C"/>
    <w:rsid w:val="00620A00"/>
    <w:rsid w:val="00621D2B"/>
    <w:rsid w:val="0062603D"/>
    <w:rsid w:val="00634B0E"/>
    <w:rsid w:val="00635E18"/>
    <w:rsid w:val="00641AFB"/>
    <w:rsid w:val="00645006"/>
    <w:rsid w:val="00652588"/>
    <w:rsid w:val="00660AC5"/>
    <w:rsid w:val="00662E7C"/>
    <w:rsid w:val="00664A52"/>
    <w:rsid w:val="006705C2"/>
    <w:rsid w:val="006728D3"/>
    <w:rsid w:val="00684386"/>
    <w:rsid w:val="00685AAF"/>
    <w:rsid w:val="00687462"/>
    <w:rsid w:val="00695030"/>
    <w:rsid w:val="00695431"/>
    <w:rsid w:val="0069687A"/>
    <w:rsid w:val="006A0245"/>
    <w:rsid w:val="006B088B"/>
    <w:rsid w:val="006C3746"/>
    <w:rsid w:val="006E544D"/>
    <w:rsid w:val="006E5941"/>
    <w:rsid w:val="006E71CD"/>
    <w:rsid w:val="006F0BFB"/>
    <w:rsid w:val="006F4F73"/>
    <w:rsid w:val="006F7990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229F"/>
    <w:rsid w:val="00781849"/>
    <w:rsid w:val="00782930"/>
    <w:rsid w:val="0078377B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0F6C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17E08"/>
    <w:rsid w:val="00923DFB"/>
    <w:rsid w:val="009317A1"/>
    <w:rsid w:val="00940E79"/>
    <w:rsid w:val="0094353B"/>
    <w:rsid w:val="009510E8"/>
    <w:rsid w:val="009510FB"/>
    <w:rsid w:val="00963266"/>
    <w:rsid w:val="00967D25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1C92"/>
    <w:rsid w:val="009C4D2A"/>
    <w:rsid w:val="009D427B"/>
    <w:rsid w:val="009D6C26"/>
    <w:rsid w:val="009F1DAF"/>
    <w:rsid w:val="009F2011"/>
    <w:rsid w:val="009F24C0"/>
    <w:rsid w:val="009F4F41"/>
    <w:rsid w:val="009F694C"/>
    <w:rsid w:val="009F7274"/>
    <w:rsid w:val="00A10EA5"/>
    <w:rsid w:val="00A15392"/>
    <w:rsid w:val="00A20986"/>
    <w:rsid w:val="00A268EF"/>
    <w:rsid w:val="00A312B5"/>
    <w:rsid w:val="00A61DAA"/>
    <w:rsid w:val="00A7204A"/>
    <w:rsid w:val="00A8245B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55B65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433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843B2"/>
    <w:rsid w:val="00C913E9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25C9"/>
    <w:rsid w:val="00D05298"/>
    <w:rsid w:val="00D07014"/>
    <w:rsid w:val="00D33F63"/>
    <w:rsid w:val="00D37878"/>
    <w:rsid w:val="00D4493C"/>
    <w:rsid w:val="00D470C8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10732"/>
    <w:rsid w:val="00E34F37"/>
    <w:rsid w:val="00E56759"/>
    <w:rsid w:val="00E60543"/>
    <w:rsid w:val="00E636D8"/>
    <w:rsid w:val="00E67AB7"/>
    <w:rsid w:val="00E70BB8"/>
    <w:rsid w:val="00E71A63"/>
    <w:rsid w:val="00E727A4"/>
    <w:rsid w:val="00E80682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704CA"/>
    <w:rsid w:val="00F748A5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2DFA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109E32A8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customStyle="1" w:styleId="WatermarkSample">
    <w:name w:val="_WatermarkSample"/>
    <w:basedOn w:val="Normal"/>
    <w:rsid w:val="006F7990"/>
    <w:rPr>
      <w:rFonts w:ascii="Arial Black" w:hAnsi="Arial Black" w:cstheme="minorBidi"/>
      <w:b/>
      <w:color w:val="969696"/>
      <w:spacing w:val="60"/>
      <w:sz w:val="148"/>
    </w:rPr>
  </w:style>
  <w:style w:type="character" w:styleId="Hyperlink">
    <w:name w:val="Hyperlink"/>
    <w:basedOn w:val="DefaultParagraphFont"/>
    <w:uiPriority w:val="99"/>
    <w:unhideWhenUsed/>
    <w:rsid w:val="006F0BF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0BF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10732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342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24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chapter-238a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chapter-2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B3B6A-E08D-4147-9E28-BA00C8D91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GCPC/GDPC - Retirement of Staff *</vt:lpstr>
    </vt:vector>
  </TitlesOfParts>
  <Company>OSBA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GCPC/GDPC - Retirement of Staff</dc:title>
  <dc:subject>Lourdes Board Policy</dc:subject>
  <dc:creator>Oregon School Boards Association</dc:creator>
  <cp:keywords/>
  <dc:description/>
  <cp:lastModifiedBy>Colleen Allen</cp:lastModifiedBy>
  <cp:revision>36</cp:revision>
  <dcterms:created xsi:type="dcterms:W3CDTF">2018-03-09T20:04:00Z</dcterms:created>
  <dcterms:modified xsi:type="dcterms:W3CDTF">2025-05-22T15:06:00Z</dcterms:modified>
</cp:coreProperties>
</file>