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99546" w14:textId="77777777" w:rsidR="005C5C1B" w:rsidRPr="00976D56" w:rsidRDefault="005C5C1B" w:rsidP="001E1260">
      <w:pPr>
        <w:pStyle w:val="PolicyTitleBox"/>
      </w:pPr>
      <w:r>
        <w:t>Lourdes Public Charter School</w:t>
      </w:r>
    </w:p>
    <w:p w14:paraId="0D7E76D8" w14:textId="77777777" w:rsidR="00CC7D46" w:rsidRDefault="00CC7D46" w:rsidP="00CC7D46"/>
    <w:p w14:paraId="47A1F304" w14:textId="77777777" w:rsidR="001E1260" w:rsidRDefault="001E1260" w:rsidP="001E1260">
      <w:pPr>
        <w:pStyle w:val="PolicyCode"/>
      </w:pPr>
      <w:r>
        <w:t>Code:</w:t>
      </w:r>
      <w:r>
        <w:tab/>
      </w:r>
      <w:r w:rsidR="00FB19FD">
        <w:t>GCA</w:t>
      </w:r>
    </w:p>
    <w:p w14:paraId="2AF4C349" w14:textId="40D271F9" w:rsidR="001E1260" w:rsidRDefault="001E1260" w:rsidP="001E1260">
      <w:pPr>
        <w:pStyle w:val="PolicyCode"/>
      </w:pPr>
      <w:r>
        <w:t>Adopted:</w:t>
      </w:r>
      <w:r>
        <w:tab/>
      </w:r>
      <w:r w:rsidR="0065364C">
        <w:t>4/28/25</w:t>
      </w:r>
    </w:p>
    <w:p w14:paraId="637AD3A3" w14:textId="77777777" w:rsidR="001E1260" w:rsidRPr="001E1260" w:rsidRDefault="001E1260" w:rsidP="00CC7D46"/>
    <w:p w14:paraId="7A160F65" w14:textId="77777777" w:rsidR="00EF573E" w:rsidRDefault="00FB19FD" w:rsidP="00EF573E">
      <w:pPr>
        <w:pStyle w:val="PolicyTitle"/>
      </w:pPr>
      <w:r>
        <w:t>License Requirements</w:t>
      </w:r>
    </w:p>
    <w:p w14:paraId="73CA1BF9" w14:textId="77777777" w:rsidR="00EF573E" w:rsidRDefault="00EF573E" w:rsidP="00EF573E"/>
    <w:p w14:paraId="2BA0135F" w14:textId="304CE825" w:rsidR="00FB19FD" w:rsidRDefault="00FB19FD" w:rsidP="00FB19FD">
      <w:pPr>
        <w:pStyle w:val="PolicyBodyText"/>
      </w:pPr>
      <w:r>
        <w:t>The Board, in adhering to Oregon Revised Statutes, shall require all applicants selected for employment for positions that require licensing, to hold a valid Oregon license issued by the Teacher Standards and Practices Commission (TSPC) as a condition of employment. The public charter school must be able to verify the current license of applicants offered employment before the Board will consider approving their employment.</w:t>
      </w:r>
    </w:p>
    <w:p w14:paraId="3713FD5A" w14:textId="77777777" w:rsidR="00FB19FD" w:rsidRDefault="00FB19FD" w:rsidP="00FB19FD">
      <w:pPr>
        <w:pStyle w:val="PolicyBodyText"/>
      </w:pPr>
    </w:p>
    <w:p w14:paraId="14EB375F" w14:textId="3B6C3EBA" w:rsidR="00FB19FD" w:rsidRDefault="00FB19FD" w:rsidP="00FB19FD">
      <w:pPr>
        <w:pStyle w:val="PolicyBodyText"/>
      </w:pPr>
      <w:r>
        <w:t>If an applicant</w:t>
      </w:r>
      <w:r w:rsidR="00391342">
        <w:t>’</w:t>
      </w:r>
      <w:r>
        <w:t>s teaching license application with the TSPC is pending, the applicant may teach with Board approval for 90 calendar days after the date of submission of the application, if the applicant has:</w:t>
      </w:r>
    </w:p>
    <w:p w14:paraId="1EB7EA8A" w14:textId="77777777" w:rsidR="00FB19FD" w:rsidRDefault="00FB19FD" w:rsidP="00FB19FD">
      <w:pPr>
        <w:pStyle w:val="PolicyBodyText"/>
      </w:pPr>
    </w:p>
    <w:p w14:paraId="10AD7E5C" w14:textId="77777777" w:rsidR="00FB19FD" w:rsidRDefault="00FB19FD" w:rsidP="00FB19FD">
      <w:pPr>
        <w:pStyle w:val="Level1"/>
      </w:pPr>
      <w:r>
        <w:t>Submitted an application in the manner and form required by the TSPC, including payment of all required fees;</w:t>
      </w:r>
    </w:p>
    <w:p w14:paraId="6AD55B2C" w14:textId="77777777" w:rsidR="00FB19FD" w:rsidRDefault="00FB19FD" w:rsidP="00FB19FD">
      <w:pPr>
        <w:pStyle w:val="Level1"/>
      </w:pPr>
      <w:r>
        <w:t>Completed a background clearance conducted by the TSPC that includes having:</w:t>
      </w:r>
    </w:p>
    <w:p w14:paraId="16179954" w14:textId="77777777" w:rsidR="00FB19FD" w:rsidRDefault="00FB19FD" w:rsidP="00FB19FD">
      <w:pPr>
        <w:pStyle w:val="Level2"/>
      </w:pPr>
      <w:r>
        <w:t>Furnished fingerprints, if required;</w:t>
      </w:r>
    </w:p>
    <w:p w14:paraId="2261E630" w14:textId="77777777" w:rsidR="00FB19FD" w:rsidRDefault="00FB19FD" w:rsidP="00FB19FD">
      <w:pPr>
        <w:pStyle w:val="Level2"/>
      </w:pPr>
      <w:r>
        <w:t>Provided satisfactory responses to character questions in the form and manner required by the TSPC; and</w:t>
      </w:r>
    </w:p>
    <w:p w14:paraId="20C87B88" w14:textId="77777777" w:rsidR="00FB19FD" w:rsidRDefault="00FB19FD" w:rsidP="00FB19FD">
      <w:pPr>
        <w:pStyle w:val="Level2"/>
      </w:pPr>
      <w:r>
        <w:t>Completed a criminal records check pursuant to state law and a background check through the interstate clearinghouse for revoked or suspended licenses, and is eligible for a teaching license.</w:t>
      </w:r>
    </w:p>
    <w:p w14:paraId="4637DDCF" w14:textId="55A80D44" w:rsidR="00FB19FD" w:rsidRDefault="00FB19FD" w:rsidP="00FB19FD">
      <w:pPr>
        <w:pStyle w:val="PolicyBodyText"/>
      </w:pPr>
      <w:r>
        <w:t>The public charter school will complete a review of the applicant</w:t>
      </w:r>
      <w:r w:rsidR="00391342">
        <w:t>’</w:t>
      </w:r>
      <w:r>
        <w:t>s employment history prior to beginning employment.</w:t>
      </w:r>
    </w:p>
    <w:p w14:paraId="68451A06" w14:textId="77777777" w:rsidR="00FB19FD" w:rsidRDefault="00FB19FD" w:rsidP="00FB19FD">
      <w:pPr>
        <w:pStyle w:val="PolicyBodyText"/>
      </w:pPr>
    </w:p>
    <w:p w14:paraId="3E04517D" w14:textId="6719940A" w:rsidR="00FB19FD" w:rsidRDefault="00FB19FD" w:rsidP="00FB19FD">
      <w:pPr>
        <w:pStyle w:val="PolicyBodyText"/>
      </w:pPr>
      <w:r>
        <w:t>The public charter school will verify the employee is properly licensed on the 91st calendar day after the application was submitted to the TSPC, if the employee</w:t>
      </w:r>
      <w:r w:rsidR="00391342">
        <w:t>’</w:t>
      </w:r>
      <w:r>
        <w:t>s license application is pending and the employee is teaching in the public charter school.</w:t>
      </w:r>
    </w:p>
    <w:p w14:paraId="46B7052C" w14:textId="77777777" w:rsidR="00FB19FD" w:rsidRDefault="00FB19FD" w:rsidP="00FB19FD">
      <w:pPr>
        <w:pStyle w:val="PolicyBodyText"/>
      </w:pPr>
    </w:p>
    <w:p w14:paraId="0CE27EC3" w14:textId="6AE92CEF" w:rsidR="00FB19FD" w:rsidRDefault="00FB19FD" w:rsidP="00FB19FD">
      <w:pPr>
        <w:pStyle w:val="PolicyBodyText"/>
      </w:pPr>
      <w:r>
        <w:t>The verification of licensure includes all license endorsements. It shall be each licensed staff member</w:t>
      </w:r>
      <w:r w:rsidR="00391342">
        <w:t>’</w:t>
      </w:r>
      <w:r>
        <w:t>s responsibility to keep all endorsements current and to submit them to the administrator</w:t>
      </w:r>
      <w:r w:rsidR="00391342">
        <w:t>’</w:t>
      </w:r>
      <w:r>
        <w:t>s office.</w:t>
      </w:r>
    </w:p>
    <w:p w14:paraId="6825B456" w14:textId="77777777" w:rsidR="00FB19FD" w:rsidRDefault="00FB19FD" w:rsidP="00FB19FD">
      <w:pPr>
        <w:pStyle w:val="PolicyBodyText"/>
      </w:pPr>
    </w:p>
    <w:p w14:paraId="09843B9C" w14:textId="77777777" w:rsidR="00FB19FD" w:rsidRDefault="00FB19FD" w:rsidP="00FB19FD">
      <w:pPr>
        <w:pStyle w:val="PolicyBodyText"/>
      </w:pPr>
      <w:r>
        <w:t>END OF POLICY</w:t>
      </w:r>
    </w:p>
    <w:p w14:paraId="30EF8685" w14:textId="77777777" w:rsidR="00FB19FD" w:rsidRDefault="00FB19FD" w:rsidP="00FB19FD">
      <w:pPr>
        <w:pStyle w:val="PolicyLine"/>
      </w:pPr>
    </w:p>
    <w:p w14:paraId="700874A7" w14:textId="77777777" w:rsidR="00FB19FD" w:rsidRPr="00E35BFD" w:rsidRDefault="00FB19FD" w:rsidP="001E0CCE">
      <w:pPr>
        <w:pStyle w:val="PolicyReferencesHeading"/>
      </w:pPr>
      <w:r w:rsidRPr="00FB19FD">
        <w:t>Legal Reference(s):</w:t>
      </w:r>
    </w:p>
    <w:p w14:paraId="0F7030CB" w14:textId="77777777" w:rsidR="00FB19FD" w:rsidRDefault="00FB19FD" w:rsidP="00FB19FD">
      <w:pPr>
        <w:pStyle w:val="PolicyReferences"/>
      </w:pPr>
    </w:p>
    <w:p w14:paraId="5E0C949D" w14:textId="77777777" w:rsidR="00FB19FD" w:rsidRDefault="00FB19FD" w:rsidP="00FB19FD">
      <w:pPr>
        <w:pStyle w:val="PolicyReferences"/>
        <w:sectPr w:rsidR="00FB19FD" w:rsidSect="00FB19FD">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02464B9C" w14:textId="71177B2F" w:rsidR="00E22B4C" w:rsidRPr="00E22B4C" w:rsidRDefault="00E22B4C" w:rsidP="00E22B4C">
      <w:pPr>
        <w:pStyle w:val="PolicyReferences"/>
      </w:pPr>
      <w:r>
        <w:fldChar w:fldCharType="begin"/>
      </w:r>
      <w:r>
        <w:instrText xml:space="preserve"> HYPERLINK "http://policy.osba.org/orsredir.asp?ors=ors-338" </w:instrText>
      </w:r>
      <w:r>
        <w:fldChar w:fldCharType="separate"/>
      </w:r>
      <w:r>
        <w:rPr>
          <w:rStyle w:val="Hyperlink"/>
        </w:rPr>
        <w:t>ORS 338</w:t>
      </w:r>
      <w:r>
        <w:fldChar w:fldCharType="end"/>
      </w:r>
      <w:r w:rsidRPr="00E22B4C">
        <w:t>.115</w:t>
      </w:r>
    </w:p>
    <w:p w14:paraId="23AE4612" w14:textId="5DC12BB1" w:rsidR="00FB19FD" w:rsidRDefault="00E22B4C" w:rsidP="00FB19FD">
      <w:pPr>
        <w:pStyle w:val="PolicyReferences"/>
      </w:pPr>
      <w:hyperlink r:id="rId14" w:history="1">
        <w:r>
          <w:rPr>
            <w:rStyle w:val="Hyperlink"/>
          </w:rPr>
          <w:t>ORS 339</w:t>
        </w:r>
      </w:hyperlink>
      <w:r w:rsidR="00FB19FD">
        <w:t>.374</w:t>
      </w:r>
    </w:p>
    <w:p w14:paraId="6FC2DDC1" w14:textId="0CC77264" w:rsidR="00FB19FD" w:rsidRDefault="00E22B4C" w:rsidP="00FB19FD">
      <w:pPr>
        <w:pStyle w:val="PolicyReferences"/>
      </w:pPr>
      <w:hyperlink r:id="rId15" w:history="1">
        <w:r>
          <w:rPr>
            <w:rStyle w:val="Hyperlink"/>
          </w:rPr>
          <w:t>ORS 342</w:t>
        </w:r>
      </w:hyperlink>
      <w:r w:rsidR="00FB19FD">
        <w:t>.120 -</w:t>
      </w:r>
      <w:r w:rsidR="00921C50">
        <w:t xml:space="preserve"> </w:t>
      </w:r>
      <w:r w:rsidR="00FB19FD">
        <w:t>342.203</w:t>
      </w:r>
    </w:p>
    <w:bookmarkStart w:id="2" w:name="OAR"/>
    <w:bookmarkEnd w:id="2"/>
    <w:p w14:paraId="21C21E51" w14:textId="049578F1" w:rsidR="00FB19FD" w:rsidRDefault="00921C50" w:rsidP="00FB19FD">
      <w:pPr>
        <w:pStyle w:val="PolicyReferences"/>
      </w:pPr>
      <w:r>
        <w:rPr>
          <w:rStyle w:val="SYSHYPERTEXT"/>
        </w:rPr>
        <w:fldChar w:fldCharType="begin"/>
      </w:r>
      <w:r>
        <w:rPr>
          <w:rStyle w:val="SYSHYPERTEXT"/>
        </w:rPr>
        <w:instrText xml:space="preserve"> HYPERLINK "http://policy.osba.org/orsredir.asp?ors=oar-584-050" </w:instrText>
      </w:r>
      <w:r>
        <w:rPr>
          <w:rStyle w:val="SYSHYPERTEXT"/>
        </w:rPr>
      </w:r>
      <w:r>
        <w:rPr>
          <w:rStyle w:val="SYSHYPERTEXT"/>
        </w:rPr>
        <w:fldChar w:fldCharType="separate"/>
      </w:r>
      <w:r>
        <w:rPr>
          <w:rStyle w:val="Hyperlink"/>
        </w:rPr>
        <w:t>OAR 584-050</w:t>
      </w:r>
      <w:r>
        <w:rPr>
          <w:rStyle w:val="SYSHYPERTEXT"/>
        </w:rPr>
        <w:fldChar w:fldCharType="end"/>
      </w:r>
      <w:r w:rsidR="00FB19FD">
        <w:t>-0035</w:t>
      </w:r>
    </w:p>
    <w:p w14:paraId="2F11BDCD" w14:textId="02FFDF17" w:rsidR="00FB19FD" w:rsidRDefault="00921C50" w:rsidP="00FB19FD">
      <w:pPr>
        <w:pStyle w:val="PolicyReferences"/>
        <w:sectPr w:rsidR="00FB19FD" w:rsidSect="00FB19FD">
          <w:footerReference w:type="default" r:id="rId16"/>
          <w:type w:val="continuous"/>
          <w:pgSz w:w="12240" w:h="15838"/>
          <w:pgMar w:top="936" w:right="720" w:bottom="720" w:left="1224" w:header="432" w:footer="720" w:gutter="0"/>
          <w:cols w:num="3" w:space="360" w:equalWidth="0">
            <w:col w:w="3192" w:space="360"/>
            <w:col w:w="3192" w:space="360"/>
            <w:col w:w="3192"/>
          </w:cols>
          <w:docGrid w:linePitch="326"/>
        </w:sectPr>
      </w:pPr>
      <w:hyperlink r:id="rId17" w:history="1">
        <w:r>
          <w:rPr>
            <w:rStyle w:val="Hyperlink"/>
          </w:rPr>
          <w:t>OAR 584-200</w:t>
        </w:r>
      </w:hyperlink>
      <w:r w:rsidR="00FB19FD">
        <w:t>-0020</w:t>
      </w:r>
    </w:p>
    <w:p w14:paraId="0F8548D3" w14:textId="77777777" w:rsidR="001A10DE" w:rsidRDefault="001A10DE" w:rsidP="00FB19FD">
      <w:pPr>
        <w:pStyle w:val="PolicyReferences"/>
      </w:pPr>
      <w:bookmarkStart w:id="3" w:name="LawsEnd"/>
      <w:bookmarkEnd w:id="3"/>
    </w:p>
    <w:sectPr w:rsidR="001A10DE" w:rsidSect="00FB19FD">
      <w:footerReference w:type="default" r:id="rId18"/>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8A4F5" w14:textId="77777777" w:rsidR="00FB19FD" w:rsidRDefault="00FB19FD" w:rsidP="00FC3907">
      <w:r>
        <w:separator/>
      </w:r>
    </w:p>
  </w:endnote>
  <w:endnote w:type="continuationSeparator" w:id="0">
    <w:p w14:paraId="3DC36D86" w14:textId="77777777" w:rsidR="00FB19FD" w:rsidRDefault="00FB19F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77EACA" w14:textId="77777777" w:rsidR="0065364C" w:rsidRDefault="00653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B19FD" w14:paraId="4A35FD57" w14:textId="77777777" w:rsidTr="004616AD">
      <w:tc>
        <w:tcPr>
          <w:tcW w:w="2340" w:type="dxa"/>
        </w:tcPr>
        <w:p w14:paraId="5A2FA52A" w14:textId="6F50CFE3" w:rsidR="00FB19FD" w:rsidRDefault="00FB19FD" w:rsidP="004616AD">
          <w:pPr>
            <w:pStyle w:val="Footer"/>
            <w:rPr>
              <w:noProof/>
              <w:sz w:val="20"/>
            </w:rPr>
          </w:pPr>
        </w:p>
      </w:tc>
      <w:tc>
        <w:tcPr>
          <w:tcW w:w="7956" w:type="dxa"/>
        </w:tcPr>
        <w:p w14:paraId="70E010C6" w14:textId="77777777" w:rsidR="00FB19FD" w:rsidRDefault="00FB19FD" w:rsidP="004616AD">
          <w:pPr>
            <w:pStyle w:val="Footer"/>
            <w:jc w:val="right"/>
          </w:pPr>
          <w:r>
            <w:t>License Requirements – GCA</w:t>
          </w:r>
        </w:p>
        <w:p w14:paraId="5EF077EF" w14:textId="77777777" w:rsidR="00FB19FD" w:rsidRDefault="00FB19F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444D391" w14:textId="77777777" w:rsidR="00FB19FD" w:rsidRPr="00782930" w:rsidRDefault="00FB19FD"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69722" w14:textId="77777777" w:rsidR="0065364C" w:rsidRDefault="006536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B19FD" w14:paraId="3C10B981" w14:textId="77777777" w:rsidTr="004616AD">
      <w:tc>
        <w:tcPr>
          <w:tcW w:w="2340" w:type="dxa"/>
        </w:tcPr>
        <w:p w14:paraId="4894EE0D" w14:textId="77777777" w:rsidR="00FB19FD" w:rsidRDefault="00FB19FD" w:rsidP="004616AD">
          <w:pPr>
            <w:pStyle w:val="Footer"/>
            <w:rPr>
              <w:noProof/>
              <w:sz w:val="20"/>
            </w:rPr>
          </w:pPr>
          <w:r>
            <w:rPr>
              <w:noProof/>
              <w:sz w:val="20"/>
            </w:rPr>
            <w:t>9/28/17│PH</w:t>
          </w:r>
        </w:p>
      </w:tc>
      <w:tc>
        <w:tcPr>
          <w:tcW w:w="7956" w:type="dxa"/>
        </w:tcPr>
        <w:p w14:paraId="147D4C75" w14:textId="77777777" w:rsidR="00FB19FD" w:rsidRDefault="00FB19FD" w:rsidP="004616AD">
          <w:pPr>
            <w:pStyle w:val="Footer"/>
            <w:jc w:val="right"/>
          </w:pPr>
          <w:r>
            <w:t>License Requirements – GCA</w:t>
          </w:r>
        </w:p>
        <w:p w14:paraId="25EACEEA" w14:textId="77777777" w:rsidR="00FB19FD" w:rsidRDefault="00FB19F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8A9632D" w14:textId="77777777" w:rsidR="00FB19FD" w:rsidRPr="00782930" w:rsidRDefault="00FB19FD"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B19FD" w14:paraId="24F47E2C" w14:textId="77777777" w:rsidTr="004616AD">
      <w:tc>
        <w:tcPr>
          <w:tcW w:w="2340" w:type="dxa"/>
        </w:tcPr>
        <w:p w14:paraId="74CED3F7" w14:textId="77777777" w:rsidR="00FB19FD" w:rsidRDefault="00FB19FD" w:rsidP="004616AD">
          <w:pPr>
            <w:pStyle w:val="Footer"/>
            <w:rPr>
              <w:noProof/>
              <w:sz w:val="20"/>
            </w:rPr>
          </w:pPr>
          <w:r>
            <w:rPr>
              <w:noProof/>
              <w:sz w:val="20"/>
            </w:rPr>
            <w:t>9/28/17│PH</w:t>
          </w:r>
        </w:p>
      </w:tc>
      <w:tc>
        <w:tcPr>
          <w:tcW w:w="7956" w:type="dxa"/>
        </w:tcPr>
        <w:p w14:paraId="3DA69CB2" w14:textId="77777777" w:rsidR="00FB19FD" w:rsidRDefault="00FB19FD" w:rsidP="004616AD">
          <w:pPr>
            <w:pStyle w:val="Footer"/>
            <w:jc w:val="right"/>
          </w:pPr>
          <w:r>
            <w:t>License Requirements – GCA</w:t>
          </w:r>
        </w:p>
        <w:p w14:paraId="3BD63D25" w14:textId="77777777" w:rsidR="00FB19FD" w:rsidRDefault="00FB19FD"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2992DA2" w14:textId="77777777" w:rsidR="00FB19FD" w:rsidRPr="00782930" w:rsidRDefault="00FB19FD"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DE5FF0" w14:textId="77777777" w:rsidR="00FB19FD" w:rsidRDefault="00FB19FD" w:rsidP="00FC3907">
      <w:r>
        <w:separator/>
      </w:r>
    </w:p>
  </w:footnote>
  <w:footnote w:type="continuationSeparator" w:id="0">
    <w:p w14:paraId="38BA90B8" w14:textId="77777777" w:rsidR="00FB19FD" w:rsidRDefault="00FB19FD"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84DC3" w14:textId="77777777" w:rsidR="0065364C" w:rsidRPr="00391342" w:rsidRDefault="00653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189A6" w14:textId="77777777" w:rsidR="0065364C" w:rsidRDefault="006536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63C68" w14:textId="77777777" w:rsidR="0065364C" w:rsidRDefault="006536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24152058">
    <w:abstractNumId w:val="7"/>
  </w:num>
  <w:num w:numId="2" w16cid:durableId="914049472">
    <w:abstractNumId w:val="4"/>
  </w:num>
  <w:num w:numId="3" w16cid:durableId="347296946">
    <w:abstractNumId w:val="4"/>
  </w:num>
  <w:num w:numId="4" w16cid:durableId="1138955725">
    <w:abstractNumId w:val="3"/>
  </w:num>
  <w:num w:numId="5" w16cid:durableId="1797336585">
    <w:abstractNumId w:val="3"/>
  </w:num>
  <w:num w:numId="6" w16cid:durableId="1365902663">
    <w:abstractNumId w:val="2"/>
  </w:num>
  <w:num w:numId="7" w16cid:durableId="1258560086">
    <w:abstractNumId w:val="2"/>
  </w:num>
  <w:num w:numId="8" w16cid:durableId="1883595532">
    <w:abstractNumId w:val="1"/>
  </w:num>
  <w:num w:numId="9" w16cid:durableId="1711957550">
    <w:abstractNumId w:val="1"/>
  </w:num>
  <w:num w:numId="10" w16cid:durableId="763918674">
    <w:abstractNumId w:val="0"/>
  </w:num>
  <w:num w:numId="11" w16cid:durableId="1773285119">
    <w:abstractNumId w:val="0"/>
  </w:num>
  <w:num w:numId="12" w16cid:durableId="1943687089">
    <w:abstractNumId w:val="6"/>
  </w:num>
  <w:num w:numId="13" w16cid:durableId="2146392000">
    <w:abstractNumId w:val="9"/>
  </w:num>
  <w:num w:numId="14" w16cid:durableId="2044162538">
    <w:abstractNumId w:val="8"/>
  </w:num>
  <w:num w:numId="15" w16cid:durableId="196732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A10DE"/>
    <w:rsid w:val="001C1D43"/>
    <w:rsid w:val="001C3978"/>
    <w:rsid w:val="001C5C15"/>
    <w:rsid w:val="001E0CCE"/>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26287"/>
    <w:rsid w:val="00346329"/>
    <w:rsid w:val="00354BAF"/>
    <w:rsid w:val="00355C5E"/>
    <w:rsid w:val="00363573"/>
    <w:rsid w:val="00363AE7"/>
    <w:rsid w:val="00366F6F"/>
    <w:rsid w:val="00367B06"/>
    <w:rsid w:val="003804C0"/>
    <w:rsid w:val="00383540"/>
    <w:rsid w:val="00385E10"/>
    <w:rsid w:val="00391342"/>
    <w:rsid w:val="003915B0"/>
    <w:rsid w:val="00397F52"/>
    <w:rsid w:val="003B3329"/>
    <w:rsid w:val="003D16FD"/>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28DE"/>
    <w:rsid w:val="004E3582"/>
    <w:rsid w:val="004F53EB"/>
    <w:rsid w:val="005130E3"/>
    <w:rsid w:val="00515A82"/>
    <w:rsid w:val="0051750D"/>
    <w:rsid w:val="00524F11"/>
    <w:rsid w:val="005342BD"/>
    <w:rsid w:val="00536354"/>
    <w:rsid w:val="00543474"/>
    <w:rsid w:val="00557E6B"/>
    <w:rsid w:val="00573A5C"/>
    <w:rsid w:val="005A0A48"/>
    <w:rsid w:val="005A4EEB"/>
    <w:rsid w:val="005A6BFA"/>
    <w:rsid w:val="005B5E10"/>
    <w:rsid w:val="005C1564"/>
    <w:rsid w:val="005C5C1B"/>
    <w:rsid w:val="005E06B3"/>
    <w:rsid w:val="005E3F0A"/>
    <w:rsid w:val="005F3316"/>
    <w:rsid w:val="0060463A"/>
    <w:rsid w:val="0061672C"/>
    <w:rsid w:val="00620A00"/>
    <w:rsid w:val="00621D2B"/>
    <w:rsid w:val="0062603D"/>
    <w:rsid w:val="00634B0E"/>
    <w:rsid w:val="00645006"/>
    <w:rsid w:val="0065364C"/>
    <w:rsid w:val="00660AC5"/>
    <w:rsid w:val="00662E7C"/>
    <w:rsid w:val="006705C2"/>
    <w:rsid w:val="006728D3"/>
    <w:rsid w:val="00684386"/>
    <w:rsid w:val="00685AAF"/>
    <w:rsid w:val="00695030"/>
    <w:rsid w:val="00695431"/>
    <w:rsid w:val="0069687A"/>
    <w:rsid w:val="006A0245"/>
    <w:rsid w:val="006B088B"/>
    <w:rsid w:val="006E544D"/>
    <w:rsid w:val="006E5941"/>
    <w:rsid w:val="006E71CD"/>
    <w:rsid w:val="006E78D9"/>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0F6C"/>
    <w:rsid w:val="008A156E"/>
    <w:rsid w:val="008A2D8F"/>
    <w:rsid w:val="008A3BAF"/>
    <w:rsid w:val="008B0925"/>
    <w:rsid w:val="008B6FAC"/>
    <w:rsid w:val="008B730B"/>
    <w:rsid w:val="008D663E"/>
    <w:rsid w:val="008E1CAE"/>
    <w:rsid w:val="008F0608"/>
    <w:rsid w:val="008F4D57"/>
    <w:rsid w:val="00907FA5"/>
    <w:rsid w:val="00912BAC"/>
    <w:rsid w:val="00921C50"/>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E18"/>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27434"/>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20DD"/>
    <w:rsid w:val="00D4493C"/>
    <w:rsid w:val="00D55ABF"/>
    <w:rsid w:val="00D65180"/>
    <w:rsid w:val="00D7233F"/>
    <w:rsid w:val="00D7490B"/>
    <w:rsid w:val="00D82C4F"/>
    <w:rsid w:val="00D85D37"/>
    <w:rsid w:val="00D87B51"/>
    <w:rsid w:val="00DE0C18"/>
    <w:rsid w:val="00DF0AE6"/>
    <w:rsid w:val="00DF464B"/>
    <w:rsid w:val="00E009DD"/>
    <w:rsid w:val="00E07338"/>
    <w:rsid w:val="00E22B4C"/>
    <w:rsid w:val="00E34F37"/>
    <w:rsid w:val="00E56759"/>
    <w:rsid w:val="00E60543"/>
    <w:rsid w:val="00E66948"/>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366A5"/>
    <w:rsid w:val="00F45027"/>
    <w:rsid w:val="00F45D0D"/>
    <w:rsid w:val="00F704CA"/>
    <w:rsid w:val="00F748A5"/>
    <w:rsid w:val="00F774CC"/>
    <w:rsid w:val="00F80E45"/>
    <w:rsid w:val="00F91523"/>
    <w:rsid w:val="00F94BBC"/>
    <w:rsid w:val="00FA3606"/>
    <w:rsid w:val="00FA481C"/>
    <w:rsid w:val="00FB19FD"/>
    <w:rsid w:val="00FB3011"/>
    <w:rsid w:val="00FB52F8"/>
    <w:rsid w:val="00FC3907"/>
    <w:rsid w:val="00FD60A2"/>
    <w:rsid w:val="00FE0740"/>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B4E5CC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FB19FD"/>
    <w:rPr>
      <w:color w:val="0000FF"/>
      <w:u w:val="single"/>
    </w:rPr>
  </w:style>
  <w:style w:type="character" w:styleId="Hyperlink">
    <w:name w:val="Hyperlink"/>
    <w:basedOn w:val="DefaultParagraphFont"/>
    <w:uiPriority w:val="99"/>
    <w:unhideWhenUsed/>
    <w:rsid w:val="00921C50"/>
    <w:rPr>
      <w:color w:val="0563C1" w:themeColor="hyperlink"/>
      <w:u w:val="single"/>
    </w:rPr>
  </w:style>
  <w:style w:type="character" w:styleId="UnresolvedMention">
    <w:name w:val="Unresolved Mention"/>
    <w:basedOn w:val="DefaultParagraphFont"/>
    <w:uiPriority w:val="99"/>
    <w:semiHidden/>
    <w:unhideWhenUsed/>
    <w:rsid w:val="00921C50"/>
    <w:rPr>
      <w:color w:val="605E5C"/>
      <w:shd w:val="clear" w:color="auto" w:fill="E1DFDD"/>
    </w:rPr>
  </w:style>
  <w:style w:type="paragraph" w:styleId="Revision">
    <w:name w:val="Revision"/>
    <w:hidden/>
    <w:uiPriority w:val="99"/>
    <w:semiHidden/>
    <w:rsid w:val="008F0608"/>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4-200"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42"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2C5C0-DA17-49D0-92AA-9F1F9D722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Policy - License Requirements</vt:lpstr>
    </vt:vector>
  </TitlesOfParts>
  <Company>OSBA</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GCA - License Requirements</dc:title>
  <dc:subject>Lourdes Board Policy</dc:subject>
  <dc:creator>Oregon School Boards Association</dc:creator>
  <cp:keywords/>
  <dc:description/>
  <cp:lastModifiedBy>Colleen Allen</cp:lastModifiedBy>
  <cp:revision>17</cp:revision>
  <dcterms:created xsi:type="dcterms:W3CDTF">2018-03-09T22:18:00Z</dcterms:created>
  <dcterms:modified xsi:type="dcterms:W3CDTF">2025-05-22T15:08:00Z</dcterms:modified>
</cp:coreProperties>
</file>