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68839" w14:textId="77777777" w:rsidR="00544E55" w:rsidRPr="00976D56" w:rsidRDefault="00544E55" w:rsidP="001E1260">
      <w:pPr>
        <w:pStyle w:val="PolicyTitleBox"/>
      </w:pPr>
      <w:r>
        <w:t>Lourdes Public Charter School</w:t>
      </w:r>
    </w:p>
    <w:p w14:paraId="3CB7AAAD" w14:textId="77777777" w:rsidR="00CC7D46" w:rsidRDefault="00CC7D46" w:rsidP="00CC7D46"/>
    <w:p w14:paraId="6D1B8FCD" w14:textId="77777777" w:rsidR="001E1260" w:rsidRDefault="001E1260" w:rsidP="001E1260">
      <w:pPr>
        <w:pStyle w:val="PolicyCode"/>
      </w:pPr>
      <w:r>
        <w:t>Code:</w:t>
      </w:r>
      <w:r>
        <w:tab/>
      </w:r>
      <w:r w:rsidR="005F6B11">
        <w:t>GCL</w:t>
      </w:r>
    </w:p>
    <w:p w14:paraId="5568AD53" w14:textId="4FB541D8" w:rsidR="001E1260" w:rsidRDefault="001E1260" w:rsidP="001E1260">
      <w:pPr>
        <w:pStyle w:val="PolicyCode"/>
      </w:pPr>
      <w:r>
        <w:t>Adopted:</w:t>
      </w:r>
      <w:r>
        <w:tab/>
      </w:r>
      <w:r w:rsidR="00761D8D">
        <w:t>4/28/25</w:t>
      </w:r>
    </w:p>
    <w:p w14:paraId="1CE50A2C" w14:textId="77777777" w:rsidR="001E1260" w:rsidRPr="001E1260" w:rsidRDefault="001E1260" w:rsidP="00CC7D46"/>
    <w:p w14:paraId="19C40C55" w14:textId="7D73E898" w:rsidR="00EF573E" w:rsidRDefault="005F6B11" w:rsidP="00EF573E">
      <w:pPr>
        <w:pStyle w:val="PolicyTitle"/>
      </w:pPr>
      <w:r>
        <w:t>Staff Development - Licensed</w:t>
      </w:r>
    </w:p>
    <w:p w14:paraId="77982271" w14:textId="789691B0" w:rsidR="00EF573E" w:rsidRPr="002032E6" w:rsidRDefault="00EF573E" w:rsidP="002032E6"/>
    <w:p w14:paraId="226E4210" w14:textId="77777777" w:rsidR="005F6B11" w:rsidRDefault="005F6B11" w:rsidP="005F6B11">
      <w:pPr>
        <w:pStyle w:val="PolicyBodyText"/>
      </w:pPr>
      <w:r>
        <w:t>The Board recognizes the importance of continued educational experiences and other professional growth activities as a means to improve job performance. Continual work toward professional growth will be expected of all licensed staff members.</w:t>
      </w:r>
    </w:p>
    <w:p w14:paraId="7AE920C6" w14:textId="77777777" w:rsidR="005F6B11" w:rsidRDefault="005F6B11" w:rsidP="005F6B11">
      <w:pPr>
        <w:pStyle w:val="PolicyBodyText"/>
      </w:pPr>
    </w:p>
    <w:p w14:paraId="5C9B3846" w14:textId="77777777" w:rsidR="005F6B11" w:rsidRDefault="005F6B11" w:rsidP="005F6B11">
      <w:pPr>
        <w:pStyle w:val="PolicyBodyText"/>
      </w:pPr>
      <w:r>
        <w:t>Professional development activities may include, but are not limited to, college courses, workshops, curriculum planning, research, travel, supervision of teacher trainees and other activities approved by the supervisor. Professional development offerings from the public charter school may be planned to help licensed employees meet the requirements of their licenses. The public charter school will provide appropriate, reasonable accommodations to ensure such training, whether provided by the public charter school or through public charter school contracts with third parties, is made available for qualified employees with disabilities.</w:t>
      </w:r>
    </w:p>
    <w:p w14:paraId="49CAC872" w14:textId="77777777" w:rsidR="005F6B11" w:rsidRDefault="005F6B11" w:rsidP="005F6B11">
      <w:pPr>
        <w:pStyle w:val="PolicyBodyText"/>
      </w:pPr>
    </w:p>
    <w:p w14:paraId="0378904A" w14:textId="5F1F2BE6" w:rsidR="005F6B11" w:rsidRDefault="005F6B11" w:rsidP="005F6B11">
      <w:pPr>
        <w:pStyle w:val="PolicyBodyText"/>
      </w:pPr>
      <w:r>
        <w:t>Requests for release time for attendance at meetings or conferences may be approved by the administrator as deemed appropriate by the public charter school and with the stipulation that:</w:t>
      </w:r>
    </w:p>
    <w:p w14:paraId="43441650" w14:textId="77777777" w:rsidR="005F6B11" w:rsidRDefault="005F6B11" w:rsidP="005F6B11">
      <w:pPr>
        <w:pStyle w:val="PolicyBodyText"/>
      </w:pPr>
    </w:p>
    <w:p w14:paraId="2618D414" w14:textId="48E3405B" w:rsidR="005F6B11" w:rsidRDefault="005F6B11" w:rsidP="005F6B11">
      <w:pPr>
        <w:pStyle w:val="Level1"/>
      </w:pPr>
      <w:r>
        <w:t>Requests are to be submitted sufficiently in advance to permit administrator consideration; and</w:t>
      </w:r>
    </w:p>
    <w:p w14:paraId="218CD504" w14:textId="77777777" w:rsidR="005F6B11" w:rsidRDefault="005F6B11" w:rsidP="005F6B11">
      <w:pPr>
        <w:pStyle w:val="Level1"/>
      </w:pPr>
      <w:r>
        <w:t>Where release time is granted, a written report will be submitted to the administration after such meeting or conference. Where such meetings or conferences are devoted primarily or exclusively to organizational or business affairs of associations of teachers, political workshops, training sessions for consultation committees and like activities, it is not considered appropriate for the Board to expend public charter school funds.</w:t>
      </w:r>
    </w:p>
    <w:p w14:paraId="32D4B473" w14:textId="5B809DF8" w:rsidR="005F6B11" w:rsidRDefault="005F6B11" w:rsidP="005F6B11">
      <w:pPr>
        <w:pStyle w:val="PolicyBodyText"/>
      </w:pPr>
      <w:r>
        <w:t>Each individual licensed employee is solely responsible for ensuring accurate completion of the professional development required for licensure. Once a licensed employee completes licensure requirements, the employee must submit evidence to the employee</w:t>
      </w:r>
      <w:r w:rsidR="00FE7659">
        <w:t>’</w:t>
      </w:r>
      <w:r>
        <w:t>s supervisor [or administrator], who will verify that the licensed employee has successfully completed the professional development requirements to the administrator, on the Teacher Standards and Practices Commission (TSPC) Professional Educational Experience Report (PEER) form.</w:t>
      </w:r>
    </w:p>
    <w:p w14:paraId="251B69E2" w14:textId="77777777" w:rsidR="005F6B11" w:rsidRDefault="005F6B11" w:rsidP="005F6B11">
      <w:pPr>
        <w:pStyle w:val="PolicyBodyText"/>
      </w:pPr>
    </w:p>
    <w:p w14:paraId="27B9CF3B" w14:textId="77777777" w:rsidR="005F6B11" w:rsidRDefault="005F6B11" w:rsidP="005F6B11">
      <w:pPr>
        <w:pStyle w:val="PolicyBodyText"/>
      </w:pPr>
      <w:r>
        <w:t>END OF POLICY</w:t>
      </w:r>
    </w:p>
    <w:p w14:paraId="1E4FD2E4" w14:textId="77777777" w:rsidR="005F6B11" w:rsidRDefault="005F6B11" w:rsidP="005F6B11">
      <w:pPr>
        <w:pStyle w:val="PolicyLine"/>
      </w:pPr>
    </w:p>
    <w:p w14:paraId="775A411A" w14:textId="77777777" w:rsidR="005F6B11" w:rsidRPr="00635E22" w:rsidRDefault="005F6B11" w:rsidP="00373D1E">
      <w:pPr>
        <w:pStyle w:val="PolicyReferencesHeading"/>
      </w:pPr>
      <w:r w:rsidRPr="005F6B11">
        <w:t>Legal Reference(s):</w:t>
      </w:r>
    </w:p>
    <w:p w14:paraId="5C807F33" w14:textId="77777777" w:rsidR="005F6B11" w:rsidRDefault="005F6B11" w:rsidP="005F6B11">
      <w:pPr>
        <w:pStyle w:val="PolicyReferences"/>
      </w:pPr>
    </w:p>
    <w:p w14:paraId="489CB200" w14:textId="77777777" w:rsidR="005F6B11" w:rsidRDefault="005F6B11" w:rsidP="005F6B11">
      <w:pPr>
        <w:pStyle w:val="PolicyReferences"/>
        <w:sectPr w:rsidR="005F6B11" w:rsidSect="005F6B11">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0" w:name="Laws"/>
    <w:bookmarkStart w:id="1" w:name="ORS"/>
    <w:bookmarkEnd w:id="0"/>
    <w:bookmarkEnd w:id="1"/>
    <w:p w14:paraId="3E65881C" w14:textId="77777777" w:rsidR="005F6B11" w:rsidRDefault="005F6B11" w:rsidP="005F6B11">
      <w:pPr>
        <w:pStyle w:val="PolicyReferences"/>
      </w:pPr>
      <w:r>
        <w:fldChar w:fldCharType="begin"/>
      </w:r>
      <w:r>
        <w:instrText xml:space="preserve">   HYPERLINK "http://policy.osba.org/orsredir.asp?ors=ors-338" </w:instrText>
      </w:r>
      <w:r>
        <w:fldChar w:fldCharType="separate"/>
      </w:r>
      <w:r>
        <w:rPr>
          <w:rStyle w:val="SYSHYPERTEXT"/>
        </w:rPr>
        <w:t>ORS 338</w:t>
      </w:r>
      <w:r>
        <w:fldChar w:fldCharType="end"/>
      </w:r>
      <w:r>
        <w:t>.115(2)</w:t>
      </w:r>
    </w:p>
    <w:p w14:paraId="58237968" w14:textId="77777777" w:rsidR="005F6B11" w:rsidRDefault="005F6B11" w:rsidP="005F6B11">
      <w:pPr>
        <w:pStyle w:val="PolicyReferences"/>
      </w:pPr>
      <w:hyperlink r:id="rId14" w:history="1">
        <w:r>
          <w:rPr>
            <w:rStyle w:val="SYSHYPERTEXT"/>
          </w:rPr>
          <w:t>ORS 342</w:t>
        </w:r>
      </w:hyperlink>
      <w:r>
        <w:t>.138(3)</w:t>
      </w:r>
    </w:p>
    <w:p w14:paraId="63F55F73" w14:textId="77777777" w:rsidR="005F6B11" w:rsidRDefault="005F6B11" w:rsidP="005F6B11">
      <w:pPr>
        <w:pStyle w:val="PolicyReferences"/>
      </w:pPr>
      <w:hyperlink r:id="rId15" w:history="1">
        <w:r>
          <w:rPr>
            <w:rStyle w:val="SYSHYPERTEXT"/>
          </w:rPr>
          <w:t>ORS 342</w:t>
        </w:r>
      </w:hyperlink>
      <w:r>
        <w:t>.856</w:t>
      </w:r>
    </w:p>
    <w:p w14:paraId="575BA25B" w14:textId="77777777" w:rsidR="005F6B11" w:rsidRDefault="005F6B11" w:rsidP="005F6B11">
      <w:pPr>
        <w:pStyle w:val="PolicyReferences"/>
      </w:pPr>
    </w:p>
    <w:p w14:paraId="71706641" w14:textId="77777777" w:rsidR="005F6B11" w:rsidRDefault="005F6B11" w:rsidP="005F6B11">
      <w:pPr>
        <w:pStyle w:val="PolicyReferences"/>
      </w:pPr>
      <w:hyperlink r:id="rId16" w:history="1">
        <w:r>
          <w:rPr>
            <w:rStyle w:val="SYSHYPERTEXT"/>
          </w:rPr>
          <w:t>OAR 584-018</w:t>
        </w:r>
      </w:hyperlink>
      <w:r>
        <w:t>-0205</w:t>
      </w:r>
    </w:p>
    <w:p w14:paraId="000FCCB8" w14:textId="77777777" w:rsidR="005F6B11" w:rsidRDefault="005F6B11" w:rsidP="005F6B11">
      <w:pPr>
        <w:pStyle w:val="PolicyReferences"/>
        <w:sectPr w:rsidR="005F6B11" w:rsidSect="005F6B11">
          <w:footerReference w:type="default" r:id="rId17"/>
          <w:type w:val="continuous"/>
          <w:pgSz w:w="12240" w:h="15838"/>
          <w:pgMar w:top="936" w:right="720" w:bottom="720" w:left="1224" w:header="432" w:footer="720" w:gutter="0"/>
          <w:cols w:num="3" w:space="360" w:equalWidth="0">
            <w:col w:w="3192" w:space="360"/>
            <w:col w:w="3192" w:space="360"/>
            <w:col w:w="3192"/>
          </w:cols>
          <w:docGrid w:linePitch="326"/>
        </w:sectPr>
      </w:pPr>
      <w:hyperlink r:id="rId18" w:history="1">
        <w:r>
          <w:rPr>
            <w:rStyle w:val="SYSHYPERTEXT"/>
          </w:rPr>
          <w:t>OAR 584-255</w:t>
        </w:r>
      </w:hyperlink>
      <w:r>
        <w:t>-0010 to -0030</w:t>
      </w:r>
    </w:p>
    <w:p w14:paraId="792D611E" w14:textId="77777777" w:rsidR="005F6B11" w:rsidRDefault="005F6B11" w:rsidP="005F6B11">
      <w:pPr>
        <w:pStyle w:val="PolicyReferences"/>
      </w:pPr>
    </w:p>
    <w:p w14:paraId="5CF3B788" w14:textId="77777777" w:rsidR="005F6B11" w:rsidRDefault="005F6B11" w:rsidP="005F6B11">
      <w:pPr>
        <w:pStyle w:val="PolicyReferences"/>
      </w:pPr>
      <w:r>
        <w:t>Americans with Disabilities Act of 1990, 42 U.S.C. §§ 12101-12213; 29 C.F.R. Part 1630 (2017); 28 C.F.R. Part 35 (2017).</w:t>
      </w:r>
    </w:p>
    <w:p w14:paraId="2DBE4898" w14:textId="77777777" w:rsidR="002032E6" w:rsidRDefault="005F6B11" w:rsidP="005F6B11">
      <w:pPr>
        <w:pStyle w:val="PolicyReferences"/>
      </w:pPr>
      <w:r>
        <w:t>Americans with Disabilities Act Amendments Act of 2008.</w:t>
      </w:r>
      <w:bookmarkStart w:id="2" w:name="LawsEnd"/>
      <w:bookmarkEnd w:id="2"/>
    </w:p>
    <w:sectPr w:rsidR="002032E6" w:rsidSect="005F6B11">
      <w:footerReference w:type="default" r:id="rId19"/>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85D425" w14:textId="77777777" w:rsidR="005F6B11" w:rsidRDefault="005F6B11" w:rsidP="00FC3907">
      <w:r>
        <w:separator/>
      </w:r>
    </w:p>
  </w:endnote>
  <w:endnote w:type="continuationSeparator" w:id="0">
    <w:p w14:paraId="3A358909" w14:textId="77777777" w:rsidR="005F6B11" w:rsidRDefault="005F6B1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D339E" w14:textId="77777777" w:rsidR="00761D8D" w:rsidRDefault="00761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032E6" w14:paraId="401C462C" w14:textId="77777777" w:rsidTr="004616AD">
      <w:tc>
        <w:tcPr>
          <w:tcW w:w="2340" w:type="dxa"/>
        </w:tcPr>
        <w:p w14:paraId="192D6EBF" w14:textId="446D6D1E" w:rsidR="002032E6" w:rsidRDefault="002032E6" w:rsidP="004616AD">
          <w:pPr>
            <w:pStyle w:val="Footer"/>
            <w:rPr>
              <w:noProof/>
              <w:sz w:val="20"/>
            </w:rPr>
          </w:pPr>
        </w:p>
      </w:tc>
      <w:tc>
        <w:tcPr>
          <w:tcW w:w="7956" w:type="dxa"/>
        </w:tcPr>
        <w:p w14:paraId="7EFE4437" w14:textId="62AF1AF5" w:rsidR="002032E6" w:rsidRDefault="002032E6" w:rsidP="004616AD">
          <w:pPr>
            <w:pStyle w:val="Footer"/>
            <w:jc w:val="right"/>
          </w:pPr>
          <w:r>
            <w:t>Staff Development - Licensed – GCL</w:t>
          </w:r>
        </w:p>
        <w:p w14:paraId="7B8BDFF9" w14:textId="77777777" w:rsidR="002032E6" w:rsidRDefault="002032E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7BCE36C" w14:textId="77777777" w:rsidR="002032E6" w:rsidRPr="00782930" w:rsidRDefault="002032E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816A4" w14:textId="77777777" w:rsidR="00761D8D" w:rsidRDefault="00761D8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032E6" w14:paraId="5C154CE2" w14:textId="77777777" w:rsidTr="004616AD">
      <w:tc>
        <w:tcPr>
          <w:tcW w:w="2340" w:type="dxa"/>
        </w:tcPr>
        <w:p w14:paraId="42096E29" w14:textId="77777777" w:rsidR="002032E6" w:rsidRDefault="002032E6" w:rsidP="004616AD">
          <w:pPr>
            <w:pStyle w:val="Footer"/>
            <w:rPr>
              <w:noProof/>
              <w:sz w:val="20"/>
            </w:rPr>
          </w:pPr>
          <w:r>
            <w:rPr>
              <w:noProof/>
              <w:sz w:val="20"/>
            </w:rPr>
            <w:t>1/31/17│SL</w:t>
          </w:r>
        </w:p>
        <w:p w14:paraId="303E6F54" w14:textId="24CC05DB" w:rsidR="002032E6" w:rsidRDefault="002032E6" w:rsidP="004616AD">
          <w:pPr>
            <w:pStyle w:val="Footer"/>
            <w:rPr>
              <w:noProof/>
              <w:sz w:val="20"/>
            </w:rPr>
          </w:pPr>
        </w:p>
      </w:tc>
      <w:tc>
        <w:tcPr>
          <w:tcW w:w="7956" w:type="dxa"/>
        </w:tcPr>
        <w:p w14:paraId="6641BEDB" w14:textId="3F82EFBC" w:rsidR="002032E6" w:rsidRDefault="002032E6" w:rsidP="004616AD">
          <w:pPr>
            <w:pStyle w:val="Footer"/>
            <w:jc w:val="right"/>
          </w:pPr>
          <w:r>
            <w:t>Staff Development - Licensed * – GCL</w:t>
          </w:r>
        </w:p>
        <w:p w14:paraId="0343D37E" w14:textId="77777777" w:rsidR="002032E6" w:rsidRDefault="002032E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8335837" w14:textId="77777777" w:rsidR="002032E6" w:rsidRPr="00782930" w:rsidRDefault="002032E6"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032E6" w14:paraId="67394D78" w14:textId="77777777" w:rsidTr="004616AD">
      <w:tc>
        <w:tcPr>
          <w:tcW w:w="2340" w:type="dxa"/>
        </w:tcPr>
        <w:p w14:paraId="3746DD13" w14:textId="77777777" w:rsidR="002032E6" w:rsidRDefault="002032E6" w:rsidP="004616AD">
          <w:pPr>
            <w:pStyle w:val="Footer"/>
            <w:rPr>
              <w:noProof/>
              <w:sz w:val="20"/>
            </w:rPr>
          </w:pPr>
          <w:r>
            <w:rPr>
              <w:noProof/>
              <w:sz w:val="20"/>
            </w:rPr>
            <w:t>1/31/17│SL</w:t>
          </w:r>
        </w:p>
        <w:p w14:paraId="7086108D" w14:textId="5A48D601" w:rsidR="002032E6" w:rsidRDefault="002032E6" w:rsidP="004616AD">
          <w:pPr>
            <w:pStyle w:val="Footer"/>
            <w:rPr>
              <w:noProof/>
              <w:sz w:val="20"/>
            </w:rPr>
          </w:pPr>
        </w:p>
      </w:tc>
      <w:tc>
        <w:tcPr>
          <w:tcW w:w="7956" w:type="dxa"/>
        </w:tcPr>
        <w:p w14:paraId="6235F219" w14:textId="22F71F2E" w:rsidR="002032E6" w:rsidRDefault="002032E6" w:rsidP="004616AD">
          <w:pPr>
            <w:pStyle w:val="Footer"/>
            <w:jc w:val="right"/>
          </w:pPr>
          <w:r>
            <w:t>Staff Development - Licensed * – GCL</w:t>
          </w:r>
        </w:p>
        <w:p w14:paraId="4A95931B" w14:textId="77777777" w:rsidR="002032E6" w:rsidRDefault="002032E6"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C5DEC8E" w14:textId="77777777" w:rsidR="002032E6" w:rsidRPr="00782930" w:rsidRDefault="002032E6"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21C29" w14:textId="77777777" w:rsidR="005F6B11" w:rsidRDefault="005F6B11" w:rsidP="00FC3907">
      <w:r>
        <w:separator/>
      </w:r>
    </w:p>
  </w:footnote>
  <w:footnote w:type="continuationSeparator" w:id="0">
    <w:p w14:paraId="5EC5A9B9" w14:textId="77777777" w:rsidR="005F6B11" w:rsidRDefault="005F6B11"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64E26" w14:textId="77777777" w:rsidR="00761D8D" w:rsidRPr="00FE7659" w:rsidRDefault="00761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9F09E" w14:textId="77777777" w:rsidR="00761D8D" w:rsidRDefault="00761D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F313F" w14:textId="77777777" w:rsidR="00761D8D" w:rsidRDefault="00761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75211170">
    <w:abstractNumId w:val="7"/>
  </w:num>
  <w:num w:numId="2" w16cid:durableId="920136891">
    <w:abstractNumId w:val="4"/>
  </w:num>
  <w:num w:numId="3" w16cid:durableId="774400230">
    <w:abstractNumId w:val="4"/>
  </w:num>
  <w:num w:numId="4" w16cid:durableId="1882592227">
    <w:abstractNumId w:val="3"/>
  </w:num>
  <w:num w:numId="5" w16cid:durableId="1950891407">
    <w:abstractNumId w:val="3"/>
  </w:num>
  <w:num w:numId="6" w16cid:durableId="1015497058">
    <w:abstractNumId w:val="2"/>
  </w:num>
  <w:num w:numId="7" w16cid:durableId="918095745">
    <w:abstractNumId w:val="2"/>
  </w:num>
  <w:num w:numId="8" w16cid:durableId="11688394">
    <w:abstractNumId w:val="1"/>
  </w:num>
  <w:num w:numId="9" w16cid:durableId="1484538689">
    <w:abstractNumId w:val="1"/>
  </w:num>
  <w:num w:numId="10" w16cid:durableId="1879077990">
    <w:abstractNumId w:val="0"/>
  </w:num>
  <w:num w:numId="11" w16cid:durableId="504587702">
    <w:abstractNumId w:val="0"/>
  </w:num>
  <w:num w:numId="12" w16cid:durableId="351031901">
    <w:abstractNumId w:val="6"/>
  </w:num>
  <w:num w:numId="13" w16cid:durableId="492574358">
    <w:abstractNumId w:val="9"/>
  </w:num>
  <w:num w:numId="14" w16cid:durableId="335301887">
    <w:abstractNumId w:val="8"/>
  </w:num>
  <w:num w:numId="15" w16cid:durableId="20495242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D703F"/>
    <w:rsid w:val="000F261A"/>
    <w:rsid w:val="000F30CA"/>
    <w:rsid w:val="000F710F"/>
    <w:rsid w:val="000F7910"/>
    <w:rsid w:val="001030CD"/>
    <w:rsid w:val="00123136"/>
    <w:rsid w:val="00125E1F"/>
    <w:rsid w:val="00137065"/>
    <w:rsid w:val="001479B1"/>
    <w:rsid w:val="00151EC6"/>
    <w:rsid w:val="00156EA7"/>
    <w:rsid w:val="00176981"/>
    <w:rsid w:val="0018025F"/>
    <w:rsid w:val="001C1D43"/>
    <w:rsid w:val="001C3978"/>
    <w:rsid w:val="001C5C15"/>
    <w:rsid w:val="001E1260"/>
    <w:rsid w:val="001E7AE7"/>
    <w:rsid w:val="001F464F"/>
    <w:rsid w:val="001F4D2D"/>
    <w:rsid w:val="002032E6"/>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73D1E"/>
    <w:rsid w:val="003804C0"/>
    <w:rsid w:val="00385E10"/>
    <w:rsid w:val="003915B0"/>
    <w:rsid w:val="003B3329"/>
    <w:rsid w:val="003E6E0C"/>
    <w:rsid w:val="003F7B66"/>
    <w:rsid w:val="00404051"/>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44E55"/>
    <w:rsid w:val="00557E6B"/>
    <w:rsid w:val="00573A5C"/>
    <w:rsid w:val="005A0A48"/>
    <w:rsid w:val="005A4EEB"/>
    <w:rsid w:val="005A6BFA"/>
    <w:rsid w:val="005B5E10"/>
    <w:rsid w:val="005C1564"/>
    <w:rsid w:val="005E06B3"/>
    <w:rsid w:val="005E3F0A"/>
    <w:rsid w:val="005F3316"/>
    <w:rsid w:val="005F6B11"/>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A75FE"/>
    <w:rsid w:val="006B088B"/>
    <w:rsid w:val="006C452D"/>
    <w:rsid w:val="006D081F"/>
    <w:rsid w:val="006E544D"/>
    <w:rsid w:val="006E5941"/>
    <w:rsid w:val="006E71CD"/>
    <w:rsid w:val="00700E92"/>
    <w:rsid w:val="0073390E"/>
    <w:rsid w:val="00734CF6"/>
    <w:rsid w:val="00737933"/>
    <w:rsid w:val="007405D2"/>
    <w:rsid w:val="007443E2"/>
    <w:rsid w:val="007519A6"/>
    <w:rsid w:val="00752B2D"/>
    <w:rsid w:val="00754B98"/>
    <w:rsid w:val="00761D8D"/>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2170"/>
    <w:rsid w:val="00844CD8"/>
    <w:rsid w:val="00850A44"/>
    <w:rsid w:val="00870BED"/>
    <w:rsid w:val="00882C0D"/>
    <w:rsid w:val="00890313"/>
    <w:rsid w:val="008A0F6C"/>
    <w:rsid w:val="008A156E"/>
    <w:rsid w:val="008A2D8F"/>
    <w:rsid w:val="008A3BAF"/>
    <w:rsid w:val="008B0925"/>
    <w:rsid w:val="008B6FAC"/>
    <w:rsid w:val="008B730B"/>
    <w:rsid w:val="008D663E"/>
    <w:rsid w:val="008E1CAE"/>
    <w:rsid w:val="008F4D57"/>
    <w:rsid w:val="00907FA5"/>
    <w:rsid w:val="00912BAC"/>
    <w:rsid w:val="009232D5"/>
    <w:rsid w:val="00923DFB"/>
    <w:rsid w:val="00930A71"/>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01D31"/>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471AF"/>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74A00"/>
    <w:rsid w:val="00D82C4F"/>
    <w:rsid w:val="00D85D37"/>
    <w:rsid w:val="00D87B51"/>
    <w:rsid w:val="00DC677A"/>
    <w:rsid w:val="00DC763C"/>
    <w:rsid w:val="00DE0C18"/>
    <w:rsid w:val="00DF0AE6"/>
    <w:rsid w:val="00DF464B"/>
    <w:rsid w:val="00E009DD"/>
    <w:rsid w:val="00E0623E"/>
    <w:rsid w:val="00E07338"/>
    <w:rsid w:val="00E34F37"/>
    <w:rsid w:val="00E56759"/>
    <w:rsid w:val="00E60543"/>
    <w:rsid w:val="00E67AB7"/>
    <w:rsid w:val="00E70BB8"/>
    <w:rsid w:val="00E71A63"/>
    <w:rsid w:val="00E727A4"/>
    <w:rsid w:val="00E81CDD"/>
    <w:rsid w:val="00E81F69"/>
    <w:rsid w:val="00E908E7"/>
    <w:rsid w:val="00E9130E"/>
    <w:rsid w:val="00EA05AE"/>
    <w:rsid w:val="00EA3062"/>
    <w:rsid w:val="00EC519B"/>
    <w:rsid w:val="00EE49D0"/>
    <w:rsid w:val="00EF573E"/>
    <w:rsid w:val="00F166D4"/>
    <w:rsid w:val="00F16CA1"/>
    <w:rsid w:val="00F45027"/>
    <w:rsid w:val="00F45D0D"/>
    <w:rsid w:val="00F704CA"/>
    <w:rsid w:val="00F748A5"/>
    <w:rsid w:val="00F774CC"/>
    <w:rsid w:val="00F80E45"/>
    <w:rsid w:val="00F91523"/>
    <w:rsid w:val="00F94BBC"/>
    <w:rsid w:val="00FA481C"/>
    <w:rsid w:val="00FB3011"/>
    <w:rsid w:val="00FB52F8"/>
    <w:rsid w:val="00FC3907"/>
    <w:rsid w:val="00FD60A2"/>
    <w:rsid w:val="00FE7659"/>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2E6CC2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F6B11"/>
    <w:rPr>
      <w:color w:val="0000FF"/>
      <w:u w:val="single"/>
    </w:rPr>
  </w:style>
  <w:style w:type="paragraph" w:styleId="Revision">
    <w:name w:val="Revision"/>
    <w:hidden/>
    <w:uiPriority w:val="99"/>
    <w:semiHidden/>
    <w:rsid w:val="006C452D"/>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4-25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ar-584-01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4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50821-4419-49E1-AE54-4D6ED4FBD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Policy - Staff Development - Licensed *</vt:lpstr>
    </vt:vector>
  </TitlesOfParts>
  <Company>OSBA</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GCL - Staff Development - Licensed</dc:title>
  <dc:subject>Lourdes Board Policy</dc:subject>
  <dc:creator>Oregon School Boards Association</dc:creator>
  <cp:keywords/>
  <dc:description/>
  <cp:lastModifiedBy>Colleen Allen</cp:lastModifiedBy>
  <cp:revision>16</cp:revision>
  <dcterms:created xsi:type="dcterms:W3CDTF">2018-03-09T22:20:00Z</dcterms:created>
  <dcterms:modified xsi:type="dcterms:W3CDTF">2025-05-22T15:07:00Z</dcterms:modified>
</cp:coreProperties>
</file>