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9E5A5" w14:textId="77777777" w:rsidR="00165DBF" w:rsidRPr="00976D56" w:rsidRDefault="00165DBF" w:rsidP="001E1260">
      <w:pPr>
        <w:pStyle w:val="PolicyTitleBox"/>
      </w:pPr>
      <w:r>
        <w:t>Lourdes Public Charter School</w:t>
      </w:r>
    </w:p>
    <w:p w14:paraId="1AA4B039" w14:textId="77777777" w:rsidR="00CC7D46" w:rsidRPr="00A71290" w:rsidRDefault="00CC7D46" w:rsidP="00A71290">
      <w:pPr>
        <w:shd w:val="clear" w:color="000000" w:fill="auto"/>
      </w:pPr>
    </w:p>
    <w:p w14:paraId="3B0927F7" w14:textId="77777777" w:rsidR="001E1260" w:rsidRPr="00A71290" w:rsidRDefault="001E1260" w:rsidP="00A71290">
      <w:pPr>
        <w:pStyle w:val="PolicyCode"/>
        <w:shd w:val="clear" w:color="000000" w:fill="auto"/>
      </w:pPr>
      <w:r w:rsidRPr="00A71290">
        <w:t>Code:</w:t>
      </w:r>
      <w:r w:rsidRPr="00A71290">
        <w:tab/>
      </w:r>
      <w:r w:rsidR="00551AAC" w:rsidRPr="00A71290">
        <w:t>IL</w:t>
      </w:r>
    </w:p>
    <w:p w14:paraId="694EFD7A" w14:textId="17DC3D0B" w:rsidR="001E1260" w:rsidRPr="00A71290" w:rsidRDefault="001E1260" w:rsidP="00A71290">
      <w:pPr>
        <w:pStyle w:val="PolicyCode"/>
        <w:shd w:val="clear" w:color="000000" w:fill="auto"/>
      </w:pPr>
      <w:r w:rsidRPr="00A71290">
        <w:t>Adopted:</w:t>
      </w:r>
      <w:r w:rsidRPr="00A71290">
        <w:tab/>
      </w:r>
      <w:r w:rsidR="00170C13">
        <w:t>4/28/25</w:t>
      </w:r>
    </w:p>
    <w:p w14:paraId="165F2DDB" w14:textId="77777777" w:rsidR="001E1260" w:rsidRPr="00A71290" w:rsidRDefault="001E1260" w:rsidP="00A71290">
      <w:pPr>
        <w:shd w:val="clear" w:color="000000" w:fill="auto"/>
      </w:pPr>
    </w:p>
    <w:p w14:paraId="5C6ED9B0" w14:textId="77777777" w:rsidR="00EF573E" w:rsidRPr="00A71290" w:rsidRDefault="00551AAC" w:rsidP="00A71290">
      <w:pPr>
        <w:pStyle w:val="PolicyTitle"/>
        <w:shd w:val="clear" w:color="000000" w:fill="auto"/>
      </w:pPr>
      <w:r w:rsidRPr="00A71290">
        <w:t>Assessment Program**</w:t>
      </w:r>
    </w:p>
    <w:p w14:paraId="6FEF6E03" w14:textId="77777777" w:rsidR="00EF573E" w:rsidRPr="00A71290" w:rsidRDefault="00EF573E" w:rsidP="00A71290">
      <w:pPr>
        <w:shd w:val="clear" w:color="000000" w:fill="auto"/>
      </w:pPr>
    </w:p>
    <w:p w14:paraId="6B0A5E09" w14:textId="5668C325" w:rsidR="00551AAC" w:rsidRPr="00A71290" w:rsidRDefault="00551AAC" w:rsidP="00A71290">
      <w:pPr>
        <w:pStyle w:val="PolicyBodyText"/>
        <w:shd w:val="clear" w:color="000000" w:fill="auto"/>
        <w:spacing w:after="240"/>
      </w:pPr>
      <w:r w:rsidRPr="00A71290">
        <w:t>Assessments shall be used to measure the academic content standards and to identify students who meet or exceed the performance standards adopted by the State Board of Education.</w:t>
      </w:r>
    </w:p>
    <w:p w14:paraId="1C707524" w14:textId="5BD6928A" w:rsidR="00551AAC" w:rsidRPr="00A71290" w:rsidRDefault="00551AAC" w:rsidP="00A71290">
      <w:pPr>
        <w:pStyle w:val="PolicyBodyText"/>
        <w:shd w:val="clear" w:color="000000" w:fill="auto"/>
        <w:spacing w:after="240"/>
      </w:pPr>
      <w:r w:rsidRPr="00A71290">
        <w:t>It is the intent of the Board that progress be measured in a manner that clearly enables the student and parents to know whether the student is making progress toward meeting or exceeding academic content standards. School and individual results shall be reported to the Board, parents and the community, as prescribed by law.</w:t>
      </w:r>
    </w:p>
    <w:p w14:paraId="4B743EEA" w14:textId="6B836F98" w:rsidR="00551AAC" w:rsidRPr="00A71290" w:rsidRDefault="00551AAC" w:rsidP="00A71290">
      <w:pPr>
        <w:pStyle w:val="PolicyBodyText"/>
        <w:shd w:val="clear" w:color="000000" w:fill="auto"/>
        <w:spacing w:after="240"/>
      </w:pPr>
      <w:bookmarkStart w:id="0" w:name="_Hlk77153267"/>
      <w:bookmarkStart w:id="1" w:name="_Hlk83216684"/>
      <w:bookmarkEnd w:id="0"/>
      <w:r w:rsidRPr="00A71290">
        <w:t xml:space="preserve">A </w:t>
      </w:r>
      <w:r w:rsidR="009E4A50" w:rsidRPr="00A71290">
        <w:t xml:space="preserve">parent on behalf of their student or an adult </w:t>
      </w:r>
      <w:r w:rsidRPr="00A71290">
        <w:t xml:space="preserve">student may </w:t>
      </w:r>
      <w:r w:rsidR="00760C16" w:rsidRPr="00A71290">
        <w:t xml:space="preserve">annually </w:t>
      </w:r>
      <w:r w:rsidRPr="00A71290">
        <w:t xml:space="preserve">opt-out of </w:t>
      </w:r>
      <w:r w:rsidR="00760C16" w:rsidRPr="00A71290">
        <w:t>taking a statewide summative assessment</w:t>
      </w:r>
      <w:r w:rsidR="004100A7" w:rsidRPr="00A71290">
        <w:t xml:space="preserve"> in language arts and/or mathematics</w:t>
      </w:r>
      <w:r w:rsidR="00760C16" w:rsidRPr="00A71290">
        <w:t xml:space="preserve"> </w:t>
      </w:r>
      <w:r w:rsidR="0065162E" w:rsidRPr="00A71290">
        <w:t>by completing</w:t>
      </w:r>
      <w:r w:rsidR="00760C16" w:rsidRPr="00A71290">
        <w:t xml:space="preserve"> and submitting</w:t>
      </w:r>
      <w:r w:rsidR="0065162E" w:rsidRPr="00A71290">
        <w:t xml:space="preserve"> ODE</w:t>
      </w:r>
      <w:r w:rsidR="00A427C0">
        <w:t>’</w:t>
      </w:r>
      <w:r w:rsidR="0065162E" w:rsidRPr="00A71290">
        <w:t>s opt-out form</w:t>
      </w:r>
      <w:r w:rsidR="0065162E" w:rsidRPr="00A71290">
        <w:rPr>
          <w:vertAlign w:val="superscript"/>
        </w:rPr>
        <w:footnoteReference w:id="1"/>
      </w:r>
      <w:r w:rsidR="0065162E" w:rsidRPr="00A71290">
        <w:t xml:space="preserve"> to the </w:t>
      </w:r>
      <w:r w:rsidR="00E14767" w:rsidRPr="00A71290">
        <w:t xml:space="preserve">public charter </w:t>
      </w:r>
      <w:r w:rsidR="0065162E" w:rsidRPr="00A71290">
        <w:t>school</w:t>
      </w:r>
      <w:r w:rsidRPr="00A71290">
        <w:t>. The school shall provide supervised study time for students who are excused from participating in the assessment. A student may be excused from the Oregon Statewide Assessment Program for disability or religious reasons. Parents and adult students will be provided the required notices</w:t>
      </w:r>
      <w:r w:rsidRPr="00A71290">
        <w:rPr>
          <w:rStyle w:val="FootnoteReference"/>
        </w:rPr>
        <w:footnoteReference w:id="2"/>
      </w:r>
      <w:r w:rsidRPr="00A71290">
        <w:t xml:space="preserve"> </w:t>
      </w:r>
      <w:r w:rsidR="0065162E" w:rsidRPr="00A71290">
        <w:t xml:space="preserve">and access to forms </w:t>
      </w:r>
      <w:r w:rsidR="00ED6ECA" w:rsidRPr="00A71290">
        <w:t xml:space="preserve">by the school </w:t>
      </w:r>
      <w:r w:rsidRPr="00A71290">
        <w:t>that include a time frame in which statewide assessments will take place, and an adult student</w:t>
      </w:r>
      <w:r w:rsidR="00A427C0">
        <w:t>’</w:t>
      </w:r>
      <w:r w:rsidRPr="00A71290">
        <w:t>s or parent</w:t>
      </w:r>
      <w:r w:rsidR="00A427C0">
        <w:t>’</w:t>
      </w:r>
      <w:r w:rsidRPr="00A71290">
        <w:t>s right to request an exemption from taking the statewide summative assessments.</w:t>
      </w:r>
    </w:p>
    <w:p w14:paraId="694812EB" w14:textId="1EFEE34D" w:rsidR="00551AAC" w:rsidRPr="00A71290" w:rsidRDefault="005F631D" w:rsidP="00A71290">
      <w:pPr>
        <w:pStyle w:val="PolicyBodyText"/>
        <w:shd w:val="clear" w:color="000000" w:fill="auto"/>
        <w:spacing w:after="240"/>
      </w:pPr>
      <w:bookmarkStart w:id="3" w:name="_Hlk77246367"/>
      <w:bookmarkEnd w:id="1"/>
      <w:r w:rsidRPr="00A71290">
        <w:t xml:space="preserve">The act of student-initiated test impropriety is prohibited. A student that participates in an act of student-initiated test impropriety will be subject to discipline. </w:t>
      </w:r>
      <w:bookmarkEnd w:id="3"/>
      <w:r w:rsidR="00A427C0">
        <w:t>“</w:t>
      </w:r>
      <w:r w:rsidR="00551AAC" w:rsidRPr="00A71290">
        <w:t>Student-initiated test impropriety</w:t>
      </w:r>
      <w:r w:rsidR="00A427C0">
        <w:t>”</w:t>
      </w:r>
      <w:r w:rsidR="00551AAC" w:rsidRPr="00A71290">
        <w:t xml:space="preserve"> means student conduct that is inconsistent with the </w:t>
      </w:r>
      <w:r w:rsidR="00551AAC" w:rsidRPr="00A71290">
        <w:rPr>
          <w:i/>
        </w:rPr>
        <w:t>Test Administration Manual</w:t>
      </w:r>
      <w:r w:rsidR="00551AAC" w:rsidRPr="00A71290">
        <w:t xml:space="preserve"> or accompanying guidance; or results in a score that is invalid.</w:t>
      </w:r>
    </w:p>
    <w:p w14:paraId="54F6FAE1" w14:textId="30CB6A2B" w:rsidR="00F54C97" w:rsidRPr="00A71290" w:rsidRDefault="00F54C97" w:rsidP="00A71290">
      <w:pPr>
        <w:pStyle w:val="PolicyBodyText"/>
        <w:shd w:val="clear" w:color="000000" w:fill="auto"/>
        <w:spacing w:after="240"/>
      </w:pPr>
      <w:r w:rsidRPr="00A71290">
        <w:t>Parents or guardians of students with a documented history of an inability to maintain grade level achievement due to significant learning and instructional barriers, or a documented history of a medical condition that creates a barrier to achievement, must be annually provided the following information:</w:t>
      </w:r>
    </w:p>
    <w:p w14:paraId="49BD3DA3" w14:textId="77777777" w:rsidR="00F54C97" w:rsidRPr="00A71290" w:rsidRDefault="00F54C97" w:rsidP="00A71290">
      <w:pPr>
        <w:pStyle w:val="Level1"/>
        <w:numPr>
          <w:ilvl w:val="0"/>
          <w:numId w:val="17"/>
        </w:numPr>
        <w:shd w:val="clear" w:color="000000" w:fill="auto"/>
      </w:pPr>
      <w:r w:rsidRPr="00A71290">
        <w:t>Information about the availability of high school diplomas, modified diplomas and the requirements for such diplomas; and</w:t>
      </w:r>
    </w:p>
    <w:p w14:paraId="62DA58E2" w14:textId="06B4D15C" w:rsidR="00B16846" w:rsidRPr="00A71290" w:rsidRDefault="00F54C97" w:rsidP="00A71290">
      <w:pPr>
        <w:pStyle w:val="Level1"/>
        <w:shd w:val="clear" w:color="000000" w:fill="auto"/>
      </w:pPr>
      <w:r w:rsidRPr="00A71290">
        <w:t xml:space="preserve">A disclosure that students awarded a certificate of attendance will not be counted as a high school graduate in any reporting for the State or </w:t>
      </w:r>
      <w:r w:rsidR="004100A7" w:rsidRPr="00A71290">
        <w:t>the school</w:t>
      </w:r>
      <w:r w:rsidRPr="00A71290">
        <w:t xml:space="preserve"> and that such students awarded a certificate of attendance may not indicate that the student received a high school diploma on applications for employment, military service, financial aid, admittance to an institution of higher education or any other purpose.</w:t>
      </w:r>
    </w:p>
    <w:p w14:paraId="520EB2F4" w14:textId="77777777" w:rsidR="00551AAC" w:rsidRPr="00A71290" w:rsidRDefault="00551AAC" w:rsidP="00A71290">
      <w:pPr>
        <w:pStyle w:val="PolicyBodyText"/>
        <w:shd w:val="clear" w:color="000000" w:fill="auto"/>
      </w:pPr>
      <w:r w:rsidRPr="00A71290">
        <w:t>END OF POLICY</w:t>
      </w:r>
    </w:p>
    <w:p w14:paraId="18F42E7C" w14:textId="77777777" w:rsidR="00551AAC" w:rsidRPr="00A71290" w:rsidRDefault="00551AAC" w:rsidP="00A71290">
      <w:pPr>
        <w:pStyle w:val="PolicyLine"/>
        <w:shd w:val="clear" w:color="000000" w:fill="auto"/>
      </w:pPr>
    </w:p>
    <w:p w14:paraId="4E870D09" w14:textId="77777777" w:rsidR="00A427C0" w:rsidRDefault="00A427C0">
      <w:pPr>
        <w:suppressAutoHyphens w:val="0"/>
        <w:spacing w:after="160" w:line="259" w:lineRule="auto"/>
        <w:rPr>
          <w:rFonts w:ascii="Times New Roman Bold" w:hAnsi="Times New Roman Bold"/>
          <w:b/>
          <w:sz w:val="20"/>
        </w:rPr>
      </w:pPr>
      <w:r>
        <w:br w:type="page"/>
      </w:r>
    </w:p>
    <w:p w14:paraId="6AA7F77A" w14:textId="18A00907" w:rsidR="00551AAC" w:rsidRPr="00A71290" w:rsidRDefault="00551AAC" w:rsidP="00A71290">
      <w:pPr>
        <w:pStyle w:val="PolicyReferencesHeading"/>
        <w:spacing w:after="0"/>
      </w:pPr>
      <w:r w:rsidRPr="00A71290">
        <w:t>Legal Reference(s):</w:t>
      </w:r>
    </w:p>
    <w:p w14:paraId="48CDF882" w14:textId="77777777" w:rsidR="00551AAC" w:rsidRPr="00A71290" w:rsidRDefault="00551AAC" w:rsidP="00A71290">
      <w:pPr>
        <w:pStyle w:val="PolicyReferences"/>
      </w:pPr>
    </w:p>
    <w:p w14:paraId="20C3705D" w14:textId="77777777" w:rsidR="00551AAC" w:rsidRPr="00A71290" w:rsidRDefault="00551AAC" w:rsidP="00A71290">
      <w:pPr>
        <w:pStyle w:val="PolicyReferences"/>
        <w:sectPr w:rsidR="00551AAC" w:rsidRPr="00A71290" w:rsidSect="00551AAC">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4" w:name="Laws"/>
    <w:bookmarkStart w:id="5" w:name="ORS"/>
    <w:bookmarkEnd w:id="4"/>
    <w:bookmarkEnd w:id="5"/>
    <w:p w14:paraId="04BA7129" w14:textId="7DF561C9" w:rsidR="00551AAC" w:rsidRPr="00A71290" w:rsidRDefault="00503EE1" w:rsidP="00A71290">
      <w:pPr>
        <w:pStyle w:val="PolicyReferences"/>
      </w:pPr>
      <w:r w:rsidRPr="00A71290">
        <w:rPr>
          <w:rStyle w:val="SYSHYPERTEXT"/>
        </w:rPr>
        <w:fldChar w:fldCharType="begin"/>
      </w:r>
      <w:r w:rsidRPr="00A71290">
        <w:rPr>
          <w:rStyle w:val="SYSHYPERTEXT"/>
        </w:rPr>
        <w:instrText xml:space="preserve"> HYPERLINK "http://policy.osba.org/orsredir.asp?ors=ors-40" </w:instrText>
      </w:r>
      <w:r w:rsidRPr="00A71290">
        <w:rPr>
          <w:rStyle w:val="SYSHYPERTEXT"/>
        </w:rPr>
      </w:r>
      <w:r w:rsidRPr="00A71290">
        <w:rPr>
          <w:rStyle w:val="SYSHYPERTEXT"/>
        </w:rPr>
        <w:fldChar w:fldCharType="separate"/>
      </w:r>
      <w:r w:rsidRPr="00A71290">
        <w:rPr>
          <w:rStyle w:val="Hyperlink"/>
        </w:rPr>
        <w:t>ORS 40</w:t>
      </w:r>
      <w:r w:rsidRPr="00A71290">
        <w:rPr>
          <w:rStyle w:val="SYSHYPERTEXT"/>
        </w:rPr>
        <w:fldChar w:fldCharType="end"/>
      </w:r>
      <w:r w:rsidR="00551AAC" w:rsidRPr="00A71290">
        <w:t>.245</w:t>
      </w:r>
    </w:p>
    <w:p w14:paraId="7F93EF68" w14:textId="06CA6A0D" w:rsidR="00551AAC" w:rsidRPr="00A71290" w:rsidRDefault="00503EE1" w:rsidP="00A71290">
      <w:pPr>
        <w:pStyle w:val="PolicyReferences"/>
      </w:pPr>
      <w:hyperlink r:id="rId14" w:history="1">
        <w:r w:rsidRPr="00A71290">
          <w:rPr>
            <w:rStyle w:val="Hyperlink"/>
          </w:rPr>
          <w:t>ORS 326</w:t>
        </w:r>
      </w:hyperlink>
      <w:r w:rsidR="00551AAC" w:rsidRPr="00A71290">
        <w:t>.565</w:t>
      </w:r>
    </w:p>
    <w:p w14:paraId="69546DDA" w14:textId="651F9261" w:rsidR="00551AAC" w:rsidRPr="00A71290" w:rsidRDefault="00503EE1" w:rsidP="00A71290">
      <w:pPr>
        <w:pStyle w:val="PolicyReferences"/>
      </w:pPr>
      <w:hyperlink r:id="rId15" w:history="1">
        <w:r w:rsidRPr="00A71290">
          <w:rPr>
            <w:rStyle w:val="Hyperlink"/>
          </w:rPr>
          <w:t>ORS 326</w:t>
        </w:r>
      </w:hyperlink>
      <w:r w:rsidR="00551AAC" w:rsidRPr="00A71290">
        <w:t>.575</w:t>
      </w:r>
    </w:p>
    <w:p w14:paraId="54317926" w14:textId="1B094B56" w:rsidR="00B16846" w:rsidRPr="00A71290" w:rsidRDefault="00503EE1" w:rsidP="00A71290">
      <w:pPr>
        <w:pStyle w:val="PolicyReferences"/>
      </w:pPr>
      <w:hyperlink r:id="rId16" w:history="1">
        <w:r w:rsidRPr="00A71290">
          <w:rPr>
            <w:rStyle w:val="Hyperlink"/>
          </w:rPr>
          <w:t>ORS 329</w:t>
        </w:r>
      </w:hyperlink>
      <w:r w:rsidR="00B16846" w:rsidRPr="00A71290">
        <w:t>.451</w:t>
      </w:r>
    </w:p>
    <w:p w14:paraId="670734CF" w14:textId="763E871C" w:rsidR="00551AAC" w:rsidRPr="00A71290" w:rsidRDefault="00503EE1" w:rsidP="00A71290">
      <w:pPr>
        <w:pStyle w:val="PolicyReferences"/>
      </w:pPr>
      <w:hyperlink r:id="rId17" w:history="1">
        <w:r w:rsidRPr="00A71290">
          <w:rPr>
            <w:rStyle w:val="Hyperlink"/>
          </w:rPr>
          <w:t>ORS 329</w:t>
        </w:r>
      </w:hyperlink>
      <w:r w:rsidR="00551AAC" w:rsidRPr="00A71290">
        <w:t>.479</w:t>
      </w:r>
    </w:p>
    <w:p w14:paraId="1A81E9A1" w14:textId="10A51788" w:rsidR="00551AAC" w:rsidRPr="00A71290" w:rsidRDefault="00503EE1" w:rsidP="00A71290">
      <w:pPr>
        <w:pStyle w:val="PolicyReferences"/>
      </w:pPr>
      <w:hyperlink r:id="rId18" w:history="1">
        <w:r w:rsidRPr="00A71290">
          <w:rPr>
            <w:rStyle w:val="Hyperlink"/>
          </w:rPr>
          <w:t>ORS 329</w:t>
        </w:r>
      </w:hyperlink>
      <w:r w:rsidR="00551AAC" w:rsidRPr="00A71290">
        <w:t>.485</w:t>
      </w:r>
    </w:p>
    <w:p w14:paraId="4946489C" w14:textId="08ED78AC" w:rsidR="000A0A77" w:rsidRPr="00A71290" w:rsidRDefault="00503EE1" w:rsidP="00A71290">
      <w:pPr>
        <w:pStyle w:val="PolicyReferences"/>
      </w:pPr>
      <w:hyperlink r:id="rId19" w:history="1">
        <w:r w:rsidRPr="00A71290">
          <w:rPr>
            <w:rStyle w:val="Hyperlink"/>
          </w:rPr>
          <w:t>ORS 336</w:t>
        </w:r>
      </w:hyperlink>
      <w:r w:rsidR="00551AAC" w:rsidRPr="00A71290">
        <w:t>.187</w:t>
      </w:r>
    </w:p>
    <w:p w14:paraId="16D93339" w14:textId="79A2EE11" w:rsidR="00551AAC" w:rsidRPr="00A71290" w:rsidRDefault="00503EE1" w:rsidP="00A71290">
      <w:pPr>
        <w:pStyle w:val="PolicyReferences"/>
      </w:pPr>
      <w:hyperlink r:id="rId20" w:history="1">
        <w:r w:rsidRPr="00A71290">
          <w:rPr>
            <w:rStyle w:val="Hyperlink"/>
          </w:rPr>
          <w:t>ORS 338</w:t>
        </w:r>
      </w:hyperlink>
      <w:r w:rsidR="00551AAC" w:rsidRPr="00A71290">
        <w:t>.115</w:t>
      </w:r>
      <w:r w:rsidR="00AC1E70" w:rsidRPr="00A71290">
        <w:t>(1)</w:t>
      </w:r>
    </w:p>
    <w:p w14:paraId="64324330" w14:textId="6A373510" w:rsidR="00DB3270" w:rsidRPr="00A71290" w:rsidRDefault="00503EE1" w:rsidP="00A71290">
      <w:pPr>
        <w:pStyle w:val="PolicyReferences"/>
      </w:pPr>
      <w:hyperlink r:id="rId21" w:history="1">
        <w:r w:rsidRPr="00A71290">
          <w:rPr>
            <w:rStyle w:val="Hyperlink"/>
          </w:rPr>
          <w:t>ORS 659</w:t>
        </w:r>
      </w:hyperlink>
      <w:r w:rsidR="00DB3270" w:rsidRPr="00A71290">
        <w:t>.850</w:t>
      </w:r>
    </w:p>
    <w:p w14:paraId="258ED2E6" w14:textId="77777777" w:rsidR="00551AAC" w:rsidRPr="00A71290" w:rsidRDefault="00551AAC" w:rsidP="00A71290">
      <w:pPr>
        <w:pStyle w:val="PolicyReferences"/>
      </w:pPr>
    </w:p>
    <w:bookmarkStart w:id="6" w:name="OAR"/>
    <w:bookmarkEnd w:id="6"/>
    <w:p w14:paraId="733D8194" w14:textId="7C46BBE3" w:rsidR="00551AAC" w:rsidRPr="00A71290" w:rsidRDefault="00503EE1" w:rsidP="00A71290">
      <w:pPr>
        <w:pStyle w:val="PolicyReferences"/>
      </w:pPr>
      <w:r w:rsidRPr="00A71290">
        <w:fldChar w:fldCharType="begin"/>
      </w:r>
      <w:r w:rsidRPr="00A71290">
        <w:instrText xml:space="preserve"> HYPERLINK "http://policy.osba.org/orsredir.asp?ors=oar-581" </w:instrText>
      </w:r>
      <w:r w:rsidRPr="00A71290">
        <w:fldChar w:fldCharType="separate"/>
      </w:r>
      <w:r w:rsidRPr="00A71290">
        <w:rPr>
          <w:rStyle w:val="Hyperlink"/>
        </w:rPr>
        <w:t>OAR 581</w:t>
      </w:r>
      <w:r w:rsidRPr="00A71290">
        <w:fldChar w:fldCharType="end"/>
      </w:r>
      <w:r w:rsidR="00551AAC" w:rsidRPr="00A71290">
        <w:t>-021-0030</w:t>
      </w:r>
    </w:p>
    <w:p w14:paraId="59B0EB6F" w14:textId="4B5D58C2" w:rsidR="00B16846" w:rsidRPr="00A71290" w:rsidRDefault="00503EE1" w:rsidP="00A71290">
      <w:pPr>
        <w:pStyle w:val="PolicyReferences"/>
      </w:pPr>
      <w:hyperlink r:id="rId22" w:history="1">
        <w:r w:rsidRPr="00A71290">
          <w:rPr>
            <w:rStyle w:val="Hyperlink"/>
          </w:rPr>
          <w:t>OAR 581</w:t>
        </w:r>
      </w:hyperlink>
      <w:r w:rsidR="00B16846" w:rsidRPr="00A71290">
        <w:t>-022-2010</w:t>
      </w:r>
    </w:p>
    <w:p w14:paraId="7344F922" w14:textId="17757AF1" w:rsidR="00B16846" w:rsidRPr="00A71290" w:rsidRDefault="00503EE1" w:rsidP="00A71290">
      <w:pPr>
        <w:pStyle w:val="PolicyReferences"/>
      </w:pPr>
      <w:hyperlink r:id="rId23" w:history="1">
        <w:r w:rsidRPr="00A71290">
          <w:rPr>
            <w:rStyle w:val="Hyperlink"/>
          </w:rPr>
          <w:t>OAR 581</w:t>
        </w:r>
      </w:hyperlink>
      <w:r w:rsidR="00B16846" w:rsidRPr="00A71290">
        <w:t>-022-2015</w:t>
      </w:r>
    </w:p>
    <w:p w14:paraId="38167833" w14:textId="76D8356D" w:rsidR="00B16846" w:rsidRPr="00A71290" w:rsidRDefault="00503EE1" w:rsidP="00A71290">
      <w:pPr>
        <w:pStyle w:val="PolicyReferences"/>
      </w:pPr>
      <w:hyperlink r:id="rId24" w:history="1">
        <w:r w:rsidRPr="00A71290">
          <w:rPr>
            <w:rStyle w:val="Hyperlink"/>
          </w:rPr>
          <w:t>OAR 581</w:t>
        </w:r>
      </w:hyperlink>
      <w:r w:rsidR="00B16846" w:rsidRPr="00A71290">
        <w:t>-022-2020</w:t>
      </w:r>
    </w:p>
    <w:p w14:paraId="19A0FFEB" w14:textId="5839D2A9" w:rsidR="00551AAC" w:rsidRPr="00A71290" w:rsidRDefault="00503EE1" w:rsidP="00A71290">
      <w:pPr>
        <w:pStyle w:val="PolicyReferences"/>
      </w:pPr>
      <w:hyperlink r:id="rId25" w:history="1">
        <w:r w:rsidRPr="00A71290">
          <w:rPr>
            <w:rStyle w:val="Hyperlink"/>
          </w:rPr>
          <w:t>OAR 581</w:t>
        </w:r>
      </w:hyperlink>
      <w:r w:rsidR="00551AAC" w:rsidRPr="00A71290">
        <w:t>-022-2030</w:t>
      </w:r>
    </w:p>
    <w:p w14:paraId="5086A0E1" w14:textId="67828F19" w:rsidR="00551AAC" w:rsidRPr="00A71290" w:rsidRDefault="00503EE1" w:rsidP="00A71290">
      <w:pPr>
        <w:pStyle w:val="PolicyReferences"/>
      </w:pPr>
      <w:hyperlink r:id="rId26" w:history="1">
        <w:r w:rsidRPr="00A71290">
          <w:rPr>
            <w:rStyle w:val="Hyperlink"/>
          </w:rPr>
          <w:t>OAR 581</w:t>
        </w:r>
      </w:hyperlink>
      <w:r w:rsidR="00551AAC" w:rsidRPr="00A71290">
        <w:t>-022-2060</w:t>
      </w:r>
    </w:p>
    <w:p w14:paraId="57D6AEA7" w14:textId="41ED5B38" w:rsidR="00551AAC" w:rsidRPr="00A71290" w:rsidRDefault="00503EE1" w:rsidP="00A71290">
      <w:pPr>
        <w:pStyle w:val="PolicyReferences"/>
      </w:pPr>
      <w:hyperlink r:id="rId27" w:history="1">
        <w:r w:rsidRPr="00A71290">
          <w:rPr>
            <w:rStyle w:val="Hyperlink"/>
          </w:rPr>
          <w:t>OAR 581</w:t>
        </w:r>
      </w:hyperlink>
      <w:r w:rsidR="00551AAC" w:rsidRPr="00A71290">
        <w:t>-022-2100</w:t>
      </w:r>
    </w:p>
    <w:p w14:paraId="467571A5" w14:textId="53CD0D30" w:rsidR="00B16846" w:rsidRPr="00A71290" w:rsidRDefault="00503EE1" w:rsidP="00A71290">
      <w:pPr>
        <w:pStyle w:val="PolicyReferences"/>
      </w:pPr>
      <w:hyperlink r:id="rId28" w:history="1">
        <w:r w:rsidRPr="00A71290">
          <w:rPr>
            <w:rStyle w:val="Hyperlink"/>
          </w:rPr>
          <w:t>OAR 581</w:t>
        </w:r>
      </w:hyperlink>
      <w:r w:rsidR="00B16846" w:rsidRPr="00A71290">
        <w:t>-022-2115</w:t>
      </w:r>
    </w:p>
    <w:p w14:paraId="61F7317B" w14:textId="02094285" w:rsidR="00551AAC" w:rsidRPr="00A71290" w:rsidRDefault="00503EE1" w:rsidP="00A71290">
      <w:pPr>
        <w:pStyle w:val="PolicyReferences"/>
      </w:pPr>
      <w:hyperlink r:id="rId29" w:history="1">
        <w:r w:rsidRPr="00A71290">
          <w:rPr>
            <w:rStyle w:val="Hyperlink"/>
          </w:rPr>
          <w:t>OAR 581</w:t>
        </w:r>
      </w:hyperlink>
      <w:r w:rsidR="00551AAC" w:rsidRPr="00A71290">
        <w:t>-022-2250</w:t>
      </w:r>
    </w:p>
    <w:p w14:paraId="63321C57" w14:textId="663B3B48" w:rsidR="00551AAC" w:rsidRPr="00A71290" w:rsidRDefault="00503EE1" w:rsidP="00A71290">
      <w:pPr>
        <w:pStyle w:val="PolicyReferences"/>
      </w:pPr>
      <w:hyperlink r:id="rId30" w:history="1">
        <w:r w:rsidRPr="00A71290">
          <w:rPr>
            <w:rStyle w:val="Hyperlink"/>
          </w:rPr>
          <w:t>OAR 581</w:t>
        </w:r>
      </w:hyperlink>
      <w:r w:rsidR="00551AAC" w:rsidRPr="00A71290">
        <w:t>-022-2270</w:t>
      </w:r>
    </w:p>
    <w:p w14:paraId="14761B96" w14:textId="68391030" w:rsidR="00EE76E4" w:rsidRPr="00A71290" w:rsidRDefault="00503EE1" w:rsidP="00A71290">
      <w:pPr>
        <w:pStyle w:val="PolicyReferences"/>
        <w:sectPr w:rsidR="00EE76E4" w:rsidRPr="00A71290" w:rsidSect="00551AAC">
          <w:footerReference w:type="default" r:id="rId31"/>
          <w:type w:val="continuous"/>
          <w:pgSz w:w="12240" w:h="15840"/>
          <w:pgMar w:top="936" w:right="720" w:bottom="720" w:left="1224" w:header="432" w:footer="720" w:gutter="0"/>
          <w:cols w:num="3" w:space="360" w:equalWidth="0">
            <w:col w:w="3154" w:space="360"/>
            <w:col w:w="3190" w:space="360"/>
            <w:col w:w="3190"/>
          </w:cols>
          <w:noEndnote/>
          <w:docGrid w:linePitch="326"/>
        </w:sectPr>
      </w:pPr>
      <w:hyperlink r:id="rId32" w:history="1">
        <w:r w:rsidRPr="00A71290">
          <w:rPr>
            <w:rStyle w:val="Hyperlink"/>
          </w:rPr>
          <w:t>OAR 581</w:t>
        </w:r>
      </w:hyperlink>
      <w:r w:rsidR="00551AAC" w:rsidRPr="00A71290">
        <w:t>-022-2310</w:t>
      </w:r>
    </w:p>
    <w:p w14:paraId="120D0523" w14:textId="77777777" w:rsidR="00551AAC" w:rsidRPr="00A71290" w:rsidRDefault="00551AAC" w:rsidP="00A71290">
      <w:pPr>
        <w:pStyle w:val="PolicyReferences"/>
      </w:pPr>
    </w:p>
    <w:p w14:paraId="188AD9AC" w14:textId="1B8C9EF3" w:rsidR="00551AAC" w:rsidRPr="00A71290" w:rsidRDefault="00551AAC" w:rsidP="00A71290">
      <w:pPr>
        <w:pStyle w:val="PolicyReferences"/>
      </w:pPr>
      <w:r w:rsidRPr="00A71290">
        <w:t>Family Educational Rights and Privacy Act of 1974, 20 U.S.C. § 1232g (</w:t>
      </w:r>
      <w:r w:rsidR="00D739AA" w:rsidRPr="00A71290">
        <w:t>2018</w:t>
      </w:r>
      <w:r w:rsidRPr="00A71290">
        <w:t>); Family Educational Rights and Privacy, 34 C.F.R. Part 99 (</w:t>
      </w:r>
      <w:r w:rsidR="00D739AA" w:rsidRPr="00A71290">
        <w:t>2020</w:t>
      </w:r>
      <w:r w:rsidRPr="00A71290">
        <w:t>).</w:t>
      </w:r>
    </w:p>
    <w:p w14:paraId="21CD59AD" w14:textId="1D823094" w:rsidR="00551AAC" w:rsidRPr="00A71290" w:rsidRDefault="00551AAC" w:rsidP="00A71290">
      <w:pPr>
        <w:pStyle w:val="PolicyReferences"/>
      </w:pPr>
      <w:r w:rsidRPr="00A71290">
        <w:t>Protection of Pupil Rights, 20 U.S.C. § 1232h (</w:t>
      </w:r>
      <w:r w:rsidR="00D739AA" w:rsidRPr="00A71290">
        <w:t>2018</w:t>
      </w:r>
      <w:r w:rsidRPr="00A71290">
        <w:t>); Student Rights in Research, Experimental Programs and Testing, 34 C.F.R. Part 98 (</w:t>
      </w:r>
      <w:r w:rsidR="00D739AA" w:rsidRPr="00A71290">
        <w:t>2020</w:t>
      </w:r>
      <w:r w:rsidRPr="00A71290">
        <w:t>).</w:t>
      </w:r>
    </w:p>
    <w:p w14:paraId="5DF6128B" w14:textId="268E4DF2" w:rsidR="00551AAC" w:rsidRPr="00A71290" w:rsidRDefault="00551AAC" w:rsidP="00A71290">
      <w:pPr>
        <w:pStyle w:val="PolicyReferences"/>
      </w:pPr>
      <w:r w:rsidRPr="00A71290">
        <w:t>Individuals with Disabilities Education Act (IDEA), 20 U.S.C. §§ 1400-14</w:t>
      </w:r>
      <w:r w:rsidR="00716D20" w:rsidRPr="00A71290">
        <w:t>19</w:t>
      </w:r>
      <w:r w:rsidRPr="00A71290">
        <w:t xml:space="preserve"> (</w:t>
      </w:r>
      <w:r w:rsidR="00D739AA" w:rsidRPr="00A71290">
        <w:t>2018</w:t>
      </w:r>
      <w:r w:rsidRPr="00A71290">
        <w:t>).</w:t>
      </w:r>
    </w:p>
    <w:p w14:paraId="44325063" w14:textId="3C510EE3" w:rsidR="00551AAC" w:rsidRPr="00A71290" w:rsidRDefault="00551AAC" w:rsidP="00A71290">
      <w:pPr>
        <w:pStyle w:val="PolicyReferences"/>
      </w:pPr>
      <w:r w:rsidRPr="00A71290">
        <w:t>Every Student Succeeds Act, 20 U.S.C. §§ 6311-6322 (</w:t>
      </w:r>
      <w:r w:rsidR="00D739AA" w:rsidRPr="00A71290">
        <w:t>2018</w:t>
      </w:r>
      <w:r w:rsidRPr="00A71290">
        <w:t>).</w:t>
      </w:r>
      <w:bookmarkStart w:id="7" w:name="LawsEnd"/>
      <w:bookmarkEnd w:id="7"/>
    </w:p>
    <w:p w14:paraId="0ED5F655" w14:textId="36011481" w:rsidR="0052600D" w:rsidRPr="00A71290" w:rsidRDefault="0052600D" w:rsidP="00A71290">
      <w:pPr>
        <w:pStyle w:val="PolicyReferences"/>
        <w:rPr>
          <w:smallCaps/>
        </w:rPr>
      </w:pPr>
      <w:r w:rsidRPr="00A71290">
        <w:rPr>
          <w:i/>
          <w:iCs/>
        </w:rPr>
        <w:t>Test Administration Manual</w:t>
      </w:r>
      <w:r w:rsidRPr="00A71290">
        <w:t xml:space="preserve">, published by the </w:t>
      </w:r>
      <w:r w:rsidRPr="00A71290">
        <w:rPr>
          <w:smallCaps/>
        </w:rPr>
        <w:t>Oregon Department of Education.</w:t>
      </w:r>
    </w:p>
    <w:p w14:paraId="470654D6" w14:textId="77777777" w:rsidR="00C17D13" w:rsidRPr="00C17D13" w:rsidRDefault="00C17D13" w:rsidP="00C17D13">
      <w:pPr>
        <w:pStyle w:val="PolicyReferences"/>
      </w:pPr>
      <w:bookmarkStart w:id="8" w:name="XREFS"/>
      <w:bookmarkEnd w:id="8"/>
    </w:p>
    <w:sectPr w:rsidR="00C17D13" w:rsidRPr="00C17D13" w:rsidSect="00551AAC">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A0976" w14:textId="77777777" w:rsidR="00551AAC" w:rsidRDefault="00551AAC" w:rsidP="00FC3907">
      <w:r>
        <w:separator/>
      </w:r>
    </w:p>
  </w:endnote>
  <w:endnote w:type="continuationSeparator" w:id="0">
    <w:p w14:paraId="061EB72B" w14:textId="77777777" w:rsidR="00551AAC" w:rsidRDefault="00551AA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7C020" w14:textId="77777777" w:rsidR="00170C13" w:rsidRDefault="00170C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520"/>
      <w:gridCol w:w="7776"/>
    </w:tblGrid>
    <w:tr w:rsidR="00551AAC" w:rsidRPr="00A71290" w14:paraId="2B0B0F1B" w14:textId="77777777" w:rsidTr="00AE07A7">
      <w:tc>
        <w:tcPr>
          <w:tcW w:w="2520" w:type="dxa"/>
        </w:tcPr>
        <w:p w14:paraId="6FD58F13" w14:textId="2E18A860" w:rsidR="00551AAC" w:rsidRPr="00A71290" w:rsidRDefault="00551AAC" w:rsidP="0065162E">
          <w:pPr>
            <w:pStyle w:val="Footer"/>
            <w:rPr>
              <w:noProof/>
              <w:sz w:val="20"/>
            </w:rPr>
          </w:pPr>
        </w:p>
      </w:tc>
      <w:tc>
        <w:tcPr>
          <w:tcW w:w="7776" w:type="dxa"/>
        </w:tcPr>
        <w:p w14:paraId="6EDEBCF7" w14:textId="77777777" w:rsidR="00551AAC" w:rsidRPr="00A71290" w:rsidRDefault="00551AAC" w:rsidP="004616AD">
          <w:pPr>
            <w:pStyle w:val="Footer"/>
            <w:jc w:val="right"/>
          </w:pPr>
          <w:r w:rsidRPr="00A71290">
            <w:t>Assessment Program** – IL</w:t>
          </w:r>
        </w:p>
        <w:p w14:paraId="720453AD" w14:textId="77777777" w:rsidR="00551AAC" w:rsidRPr="00A71290" w:rsidRDefault="00551AAC" w:rsidP="004616AD">
          <w:pPr>
            <w:pStyle w:val="Footer"/>
            <w:jc w:val="right"/>
            <w:rPr>
              <w:sz w:val="20"/>
            </w:rPr>
          </w:pPr>
          <w:r w:rsidRPr="00A71290">
            <w:rPr>
              <w:bCs/>
              <w:noProof/>
            </w:rPr>
            <w:fldChar w:fldCharType="begin"/>
          </w:r>
          <w:r w:rsidRPr="00A71290">
            <w:rPr>
              <w:bCs/>
              <w:noProof/>
            </w:rPr>
            <w:instrText xml:space="preserve"> PAGE  \* Arabic  \* MERGEFORMAT </w:instrText>
          </w:r>
          <w:r w:rsidRPr="00A71290">
            <w:rPr>
              <w:bCs/>
              <w:noProof/>
            </w:rPr>
            <w:fldChar w:fldCharType="separate"/>
          </w:r>
          <w:r w:rsidR="00FE748D" w:rsidRPr="00A71290">
            <w:rPr>
              <w:bCs/>
              <w:noProof/>
            </w:rPr>
            <w:t>1</w:t>
          </w:r>
          <w:r w:rsidRPr="00A71290">
            <w:rPr>
              <w:bCs/>
              <w:noProof/>
            </w:rPr>
            <w:fldChar w:fldCharType="end"/>
          </w:r>
          <w:r w:rsidRPr="00A71290">
            <w:rPr>
              <w:noProof/>
            </w:rPr>
            <w:t>-</w:t>
          </w:r>
          <w:r w:rsidRPr="00A71290">
            <w:rPr>
              <w:bCs/>
              <w:noProof/>
            </w:rPr>
            <w:fldChar w:fldCharType="begin"/>
          </w:r>
          <w:r w:rsidRPr="00A71290">
            <w:rPr>
              <w:bCs/>
              <w:noProof/>
            </w:rPr>
            <w:instrText xml:space="preserve"> NUMPAGES  \* Arabic  \* MERGEFORMAT </w:instrText>
          </w:r>
          <w:r w:rsidRPr="00A71290">
            <w:rPr>
              <w:bCs/>
              <w:noProof/>
            </w:rPr>
            <w:fldChar w:fldCharType="separate"/>
          </w:r>
          <w:r w:rsidR="00FE748D" w:rsidRPr="00A71290">
            <w:rPr>
              <w:bCs/>
              <w:noProof/>
            </w:rPr>
            <w:t>2</w:t>
          </w:r>
          <w:r w:rsidRPr="00A71290">
            <w:rPr>
              <w:bCs/>
              <w:noProof/>
            </w:rPr>
            <w:fldChar w:fldCharType="end"/>
          </w:r>
        </w:p>
      </w:tc>
    </w:tr>
  </w:tbl>
  <w:p w14:paraId="624F5101" w14:textId="77777777" w:rsidR="00551AAC" w:rsidRPr="00A71290" w:rsidRDefault="00551AA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1EE1D" w14:textId="77777777" w:rsidR="00170C13" w:rsidRDefault="00170C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51AAC" w:rsidRPr="00A71290" w14:paraId="438DB53D" w14:textId="77777777" w:rsidTr="004616AD">
      <w:tc>
        <w:tcPr>
          <w:tcW w:w="2340" w:type="dxa"/>
        </w:tcPr>
        <w:p w14:paraId="099300B5" w14:textId="77777777" w:rsidR="00551AAC" w:rsidRPr="00A71290" w:rsidRDefault="00551AAC" w:rsidP="004616AD">
          <w:pPr>
            <w:pStyle w:val="Footer"/>
            <w:rPr>
              <w:noProof/>
              <w:sz w:val="20"/>
            </w:rPr>
          </w:pPr>
          <w:r w:rsidRPr="00A71290">
            <w:rPr>
              <w:noProof/>
              <w:sz w:val="20"/>
            </w:rPr>
            <w:t>HR7/01/17│PH</w:t>
          </w:r>
        </w:p>
      </w:tc>
      <w:tc>
        <w:tcPr>
          <w:tcW w:w="7956" w:type="dxa"/>
        </w:tcPr>
        <w:p w14:paraId="678EC6DD" w14:textId="77777777" w:rsidR="00551AAC" w:rsidRPr="00A71290" w:rsidRDefault="00551AAC" w:rsidP="004616AD">
          <w:pPr>
            <w:pStyle w:val="Footer"/>
            <w:jc w:val="right"/>
          </w:pPr>
          <w:r w:rsidRPr="00A71290">
            <w:t>Assessment Program** – IL</w:t>
          </w:r>
        </w:p>
        <w:p w14:paraId="6B700571" w14:textId="77777777" w:rsidR="00551AAC" w:rsidRPr="00A71290" w:rsidRDefault="00551AAC" w:rsidP="004616AD">
          <w:pPr>
            <w:pStyle w:val="Footer"/>
            <w:jc w:val="right"/>
            <w:rPr>
              <w:sz w:val="20"/>
            </w:rPr>
          </w:pPr>
          <w:r w:rsidRPr="00A71290">
            <w:rPr>
              <w:bCs/>
              <w:noProof/>
            </w:rPr>
            <w:fldChar w:fldCharType="begin"/>
          </w:r>
          <w:r w:rsidRPr="00A71290">
            <w:rPr>
              <w:bCs/>
              <w:noProof/>
            </w:rPr>
            <w:instrText xml:space="preserve"> PAGE  \* Arabic  \* MERGEFORMAT </w:instrText>
          </w:r>
          <w:r w:rsidRPr="00A71290">
            <w:rPr>
              <w:bCs/>
              <w:noProof/>
            </w:rPr>
            <w:fldChar w:fldCharType="separate"/>
          </w:r>
          <w:r w:rsidRPr="00A71290">
            <w:rPr>
              <w:bCs/>
              <w:noProof/>
            </w:rPr>
            <w:t>1</w:t>
          </w:r>
          <w:r w:rsidRPr="00A71290">
            <w:rPr>
              <w:bCs/>
              <w:noProof/>
            </w:rPr>
            <w:fldChar w:fldCharType="end"/>
          </w:r>
          <w:r w:rsidRPr="00A71290">
            <w:rPr>
              <w:noProof/>
            </w:rPr>
            <w:t>-</w:t>
          </w:r>
          <w:r w:rsidRPr="00A71290">
            <w:rPr>
              <w:bCs/>
              <w:noProof/>
            </w:rPr>
            <w:fldChar w:fldCharType="begin"/>
          </w:r>
          <w:r w:rsidRPr="00A71290">
            <w:rPr>
              <w:bCs/>
              <w:noProof/>
            </w:rPr>
            <w:instrText xml:space="preserve"> NUMPAGES  \* Arabic  \* MERGEFORMAT </w:instrText>
          </w:r>
          <w:r w:rsidRPr="00A71290">
            <w:rPr>
              <w:bCs/>
              <w:noProof/>
            </w:rPr>
            <w:fldChar w:fldCharType="separate"/>
          </w:r>
          <w:r w:rsidRPr="00A71290">
            <w:rPr>
              <w:bCs/>
              <w:noProof/>
            </w:rPr>
            <w:t>1</w:t>
          </w:r>
          <w:r w:rsidRPr="00A71290">
            <w:rPr>
              <w:bCs/>
              <w:noProof/>
            </w:rPr>
            <w:fldChar w:fldCharType="end"/>
          </w:r>
        </w:p>
      </w:tc>
    </w:tr>
  </w:tbl>
  <w:p w14:paraId="2E6EC24C" w14:textId="77777777" w:rsidR="00551AAC" w:rsidRPr="00A71290" w:rsidRDefault="00551AAC"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2C366" w14:textId="77777777" w:rsidR="00551AAC" w:rsidRDefault="00551AAC" w:rsidP="00FC3907">
      <w:r>
        <w:separator/>
      </w:r>
    </w:p>
  </w:footnote>
  <w:footnote w:type="continuationSeparator" w:id="0">
    <w:p w14:paraId="00BE165F" w14:textId="77777777" w:rsidR="00551AAC" w:rsidRDefault="00551AAC" w:rsidP="00FC3907">
      <w:r>
        <w:continuationSeparator/>
      </w:r>
    </w:p>
  </w:footnote>
  <w:footnote w:id="1">
    <w:p w14:paraId="04FE6156" w14:textId="41D6F652" w:rsidR="0065162E" w:rsidRDefault="0065162E" w:rsidP="0065162E">
      <w:pPr>
        <w:pStyle w:val="FootnoteText"/>
      </w:pPr>
      <w:r w:rsidRPr="00733876">
        <w:rPr>
          <w:rStyle w:val="FootnoteReference"/>
        </w:rPr>
        <w:footnoteRef/>
      </w:r>
      <w:r w:rsidRPr="00733876">
        <w:t xml:space="preserve"> </w:t>
      </w:r>
      <w:bookmarkStart w:id="2" w:name="_Hlk78364685"/>
      <w:r w:rsidR="008719E5" w:rsidRPr="00A71290">
        <w:t xml:space="preserve">Oregon Department of Education page for: </w:t>
      </w:r>
      <w:hyperlink r:id="rId1" w:history="1">
        <w:r w:rsidR="008719E5" w:rsidRPr="00A71290">
          <w:rPr>
            <w:rStyle w:val="Hyperlink"/>
          </w:rPr>
          <w:t>30-day notice and opt-out form</w:t>
        </w:r>
      </w:hyperlink>
      <w:bookmarkEnd w:id="2"/>
    </w:p>
  </w:footnote>
  <w:footnote w:id="2">
    <w:p w14:paraId="2D430307" w14:textId="123BAB09" w:rsidR="00551AAC" w:rsidRDefault="00551AAC">
      <w:pPr>
        <w:pStyle w:val="FootnoteText"/>
      </w:pPr>
      <w:r>
        <w:rPr>
          <w:rStyle w:val="FootnoteReference"/>
        </w:rPr>
        <w:footnoteRef/>
      </w:r>
      <w:r>
        <w:t xml:space="preserve"> </w:t>
      </w:r>
      <w:r w:rsidRPr="00A71290">
        <w:t>Public charter schools are required to provide notice twice each year: once at the beginning of the year and second time at least 30 days prior to the administration of the test.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B519B" w14:textId="77777777" w:rsidR="00170C13" w:rsidRPr="00A427C0" w:rsidRDefault="00170C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AA9FE" w14:textId="77777777" w:rsidR="00170C13" w:rsidRDefault="00170C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FD86B" w14:textId="77777777" w:rsidR="00170C13" w:rsidRDefault="00170C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461E3229"/>
    <w:multiLevelType w:val="multilevel"/>
    <w:tmpl w:val="E92CE730"/>
    <w:lvl w:ilvl="0">
      <w:start w:val="1"/>
      <w:numFmt w:val="decimal"/>
      <w:lvlText w:val="%1."/>
      <w:lvlJc w:val="left"/>
      <w:pPr>
        <w:tabs>
          <w:tab w:val="num" w:pos="720"/>
        </w:tabs>
        <w:ind w:left="576" w:hanging="576"/>
      </w:pPr>
      <w:rPr>
        <w:b w:val="0"/>
        <w:i w:val="0"/>
        <w:caps w:val="0"/>
        <w:strike w:val="0"/>
        <w:dstrike w:val="0"/>
        <w:u w:val="none"/>
        <w:effect w:val="none"/>
      </w:rPr>
    </w:lvl>
    <w:lvl w:ilvl="1">
      <w:start w:val="1"/>
      <w:numFmt w:val="lowerLetter"/>
      <w:lvlText w:val="%2."/>
      <w:lvlJc w:val="left"/>
      <w:pPr>
        <w:tabs>
          <w:tab w:val="num" w:pos="1440"/>
        </w:tabs>
        <w:ind w:left="1152" w:hanging="576"/>
      </w:pPr>
      <w:rPr>
        <w:b w:val="0"/>
        <w:i w:val="0"/>
        <w:caps w:val="0"/>
        <w:strike w:val="0"/>
        <w:dstrike w:val="0"/>
        <w:u w:val="none"/>
        <w:effect w:val="none"/>
      </w:rPr>
    </w:lvl>
    <w:lvl w:ilvl="2">
      <w:start w:val="1"/>
      <w:numFmt w:val="decimal"/>
      <w:lvlText w:val="(%3)"/>
      <w:lvlJc w:val="left"/>
      <w:pPr>
        <w:tabs>
          <w:tab w:val="num" w:pos="2160"/>
        </w:tabs>
        <w:ind w:left="1728" w:hanging="576"/>
      </w:pPr>
      <w:rPr>
        <w:b w:val="0"/>
        <w:i w:val="0"/>
        <w:caps w:val="0"/>
        <w:strike w:val="0"/>
        <w:dstrike w:val="0"/>
        <w:u w:val="none"/>
        <w:effect w:val="none"/>
      </w:rPr>
    </w:lvl>
    <w:lvl w:ilvl="3">
      <w:start w:val="1"/>
      <w:numFmt w:val="lowerLetter"/>
      <w:lvlText w:val="(%4)"/>
      <w:lvlJc w:val="left"/>
      <w:pPr>
        <w:tabs>
          <w:tab w:val="num" w:pos="2880"/>
        </w:tabs>
        <w:ind w:left="2304" w:hanging="576"/>
      </w:pPr>
      <w:rPr>
        <w:b w:val="0"/>
        <w:i w:val="0"/>
        <w:caps w:val="0"/>
        <w:strike w:val="0"/>
        <w:dstrike w:val="0"/>
        <w:u w:val="none"/>
        <w:effect w:val="none"/>
      </w:rPr>
    </w:lvl>
    <w:lvl w:ilvl="4">
      <w:start w:val="1"/>
      <w:numFmt w:val="lowerRoman"/>
      <w:lvlText w:val="(%5)"/>
      <w:lvlJc w:val="left"/>
      <w:pPr>
        <w:tabs>
          <w:tab w:val="num" w:pos="3600"/>
        </w:tabs>
        <w:ind w:left="2880" w:hanging="576"/>
      </w:pPr>
      <w:rPr>
        <w:b w:val="0"/>
        <w:i w:val="0"/>
        <w:caps w:val="0"/>
        <w:strike w:val="0"/>
        <w:dstrike w:val="0"/>
        <w:u w:val="none"/>
        <w:effect w:val="none"/>
      </w:rPr>
    </w:lvl>
    <w:lvl w:ilvl="5">
      <w:start w:val="1"/>
      <w:numFmt w:val="decimal"/>
      <w:lvlText w:val="%6)"/>
      <w:lvlJc w:val="left"/>
      <w:pPr>
        <w:tabs>
          <w:tab w:val="num" w:pos="4320"/>
        </w:tabs>
        <w:ind w:left="3456" w:hanging="576"/>
      </w:pPr>
      <w:rPr>
        <w:b w:val="0"/>
        <w:i w:val="0"/>
        <w:caps w:val="0"/>
        <w:strike w:val="0"/>
        <w:dstrike w:val="0"/>
        <w:u w:val="none"/>
        <w:effect w:val="none"/>
      </w:rPr>
    </w:lvl>
    <w:lvl w:ilvl="6">
      <w:start w:val="1"/>
      <w:numFmt w:val="lowerLetter"/>
      <w:lvlText w:val="%7)"/>
      <w:lvlJc w:val="left"/>
      <w:pPr>
        <w:tabs>
          <w:tab w:val="num" w:pos="5040"/>
        </w:tabs>
        <w:ind w:left="4032" w:hanging="576"/>
      </w:pPr>
      <w:rPr>
        <w:b w:val="0"/>
        <w:i w:val="0"/>
        <w:caps w:val="0"/>
        <w:strike w:val="0"/>
        <w:dstrike w:val="0"/>
        <w:u w:val="none"/>
        <w:effect w:val="none"/>
      </w:rPr>
    </w:lvl>
    <w:lvl w:ilvl="7">
      <w:start w:val="1"/>
      <w:numFmt w:val="lowerRoman"/>
      <w:lvlText w:val="%8)"/>
      <w:lvlJc w:val="left"/>
      <w:pPr>
        <w:tabs>
          <w:tab w:val="num" w:pos="5760"/>
        </w:tabs>
        <w:ind w:left="4608" w:hanging="576"/>
      </w:pPr>
      <w:rPr>
        <w:b w:val="0"/>
        <w:i w:val="0"/>
        <w:caps w:val="0"/>
        <w:strike w:val="0"/>
        <w:dstrike w:val="0"/>
        <w:u w:val="none"/>
        <w:effect w:val="none"/>
      </w:rPr>
    </w:lvl>
    <w:lvl w:ilvl="8">
      <w:start w:val="1"/>
      <w:numFmt w:val="upperLetter"/>
      <w:lvlText w:val="%9)"/>
      <w:lvlJc w:val="left"/>
      <w:pPr>
        <w:tabs>
          <w:tab w:val="num" w:pos="6480"/>
        </w:tabs>
        <w:ind w:left="5184" w:hanging="576"/>
      </w:pPr>
      <w:rPr>
        <w:b w:val="0"/>
        <w:i w:val="0"/>
        <w:caps w:val="0"/>
        <w:strike w:val="0"/>
        <w:dstrike w:val="0"/>
        <w:color w:val="000000"/>
        <w:u w:val="none"/>
        <w:effect w:val="none"/>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74704537">
    <w:abstractNumId w:val="7"/>
  </w:num>
  <w:num w:numId="2" w16cid:durableId="808548462">
    <w:abstractNumId w:val="4"/>
  </w:num>
  <w:num w:numId="3" w16cid:durableId="1470513024">
    <w:abstractNumId w:val="4"/>
  </w:num>
  <w:num w:numId="4" w16cid:durableId="1531454987">
    <w:abstractNumId w:val="3"/>
  </w:num>
  <w:num w:numId="5" w16cid:durableId="1512601956">
    <w:abstractNumId w:val="3"/>
  </w:num>
  <w:num w:numId="6" w16cid:durableId="595986663">
    <w:abstractNumId w:val="2"/>
  </w:num>
  <w:num w:numId="7" w16cid:durableId="506405205">
    <w:abstractNumId w:val="2"/>
  </w:num>
  <w:num w:numId="8" w16cid:durableId="353001499">
    <w:abstractNumId w:val="1"/>
  </w:num>
  <w:num w:numId="9" w16cid:durableId="1312902383">
    <w:abstractNumId w:val="1"/>
  </w:num>
  <w:num w:numId="10" w16cid:durableId="1967345765">
    <w:abstractNumId w:val="0"/>
  </w:num>
  <w:num w:numId="11" w16cid:durableId="1752196439">
    <w:abstractNumId w:val="0"/>
  </w:num>
  <w:num w:numId="12" w16cid:durableId="228925208">
    <w:abstractNumId w:val="6"/>
  </w:num>
  <w:num w:numId="13" w16cid:durableId="323168162">
    <w:abstractNumId w:val="10"/>
  </w:num>
  <w:num w:numId="14" w16cid:durableId="1386445554">
    <w:abstractNumId w:val="8"/>
  </w:num>
  <w:num w:numId="15" w16cid:durableId="815338381">
    <w:abstractNumId w:val="5"/>
  </w:num>
  <w:num w:numId="16" w16cid:durableId="564609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14856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880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6D3F"/>
    <w:rsid w:val="000143A2"/>
    <w:rsid w:val="00017254"/>
    <w:rsid w:val="00026726"/>
    <w:rsid w:val="000376CE"/>
    <w:rsid w:val="0005062C"/>
    <w:rsid w:val="000511CD"/>
    <w:rsid w:val="00052BE8"/>
    <w:rsid w:val="000577C7"/>
    <w:rsid w:val="000617BB"/>
    <w:rsid w:val="00065075"/>
    <w:rsid w:val="0007087A"/>
    <w:rsid w:val="00074380"/>
    <w:rsid w:val="00083481"/>
    <w:rsid w:val="00093AF4"/>
    <w:rsid w:val="00093EC6"/>
    <w:rsid w:val="00095F9B"/>
    <w:rsid w:val="00096B9C"/>
    <w:rsid w:val="000A0A77"/>
    <w:rsid w:val="000A132A"/>
    <w:rsid w:val="000A2FE8"/>
    <w:rsid w:val="000A300E"/>
    <w:rsid w:val="000A6A9E"/>
    <w:rsid w:val="000B092A"/>
    <w:rsid w:val="000B75D8"/>
    <w:rsid w:val="000D522B"/>
    <w:rsid w:val="000F261A"/>
    <w:rsid w:val="000F30CA"/>
    <w:rsid w:val="000F710F"/>
    <w:rsid w:val="000F7910"/>
    <w:rsid w:val="00107A4B"/>
    <w:rsid w:val="00123136"/>
    <w:rsid w:val="001255CF"/>
    <w:rsid w:val="00125E1F"/>
    <w:rsid w:val="00137065"/>
    <w:rsid w:val="001479B1"/>
    <w:rsid w:val="00151EC6"/>
    <w:rsid w:val="00156EA7"/>
    <w:rsid w:val="00165DBF"/>
    <w:rsid w:val="00170C13"/>
    <w:rsid w:val="001744F2"/>
    <w:rsid w:val="0018025F"/>
    <w:rsid w:val="001A1E21"/>
    <w:rsid w:val="001C1D43"/>
    <w:rsid w:val="001C3978"/>
    <w:rsid w:val="001C5C15"/>
    <w:rsid w:val="001E1260"/>
    <w:rsid w:val="001E7AE7"/>
    <w:rsid w:val="001F4D2D"/>
    <w:rsid w:val="00200C68"/>
    <w:rsid w:val="0021369D"/>
    <w:rsid w:val="00213D17"/>
    <w:rsid w:val="00217190"/>
    <w:rsid w:val="00224022"/>
    <w:rsid w:val="00227AD8"/>
    <w:rsid w:val="002338BA"/>
    <w:rsid w:val="002345DA"/>
    <w:rsid w:val="00246025"/>
    <w:rsid w:val="0028031C"/>
    <w:rsid w:val="00280B93"/>
    <w:rsid w:val="002821D2"/>
    <w:rsid w:val="00284A5E"/>
    <w:rsid w:val="00286D2D"/>
    <w:rsid w:val="00292747"/>
    <w:rsid w:val="00296AEB"/>
    <w:rsid w:val="002A4C64"/>
    <w:rsid w:val="002A7657"/>
    <w:rsid w:val="002C77C7"/>
    <w:rsid w:val="002F4D33"/>
    <w:rsid w:val="002F7C67"/>
    <w:rsid w:val="00305489"/>
    <w:rsid w:val="00306B03"/>
    <w:rsid w:val="00311B2D"/>
    <w:rsid w:val="003135C6"/>
    <w:rsid w:val="003233D7"/>
    <w:rsid w:val="003234E0"/>
    <w:rsid w:val="00346329"/>
    <w:rsid w:val="00354BAF"/>
    <w:rsid w:val="00355C5E"/>
    <w:rsid w:val="00363573"/>
    <w:rsid w:val="00363AE7"/>
    <w:rsid w:val="00367B06"/>
    <w:rsid w:val="003804C0"/>
    <w:rsid w:val="00385E10"/>
    <w:rsid w:val="003915B0"/>
    <w:rsid w:val="00394E35"/>
    <w:rsid w:val="003B04C5"/>
    <w:rsid w:val="003B3329"/>
    <w:rsid w:val="003E6E0C"/>
    <w:rsid w:val="003F7B66"/>
    <w:rsid w:val="004100A7"/>
    <w:rsid w:val="00415660"/>
    <w:rsid w:val="00415A69"/>
    <w:rsid w:val="004347FA"/>
    <w:rsid w:val="00440997"/>
    <w:rsid w:val="00443C38"/>
    <w:rsid w:val="00453EF5"/>
    <w:rsid w:val="00455739"/>
    <w:rsid w:val="00456577"/>
    <w:rsid w:val="00472B26"/>
    <w:rsid w:val="00484B66"/>
    <w:rsid w:val="0048531A"/>
    <w:rsid w:val="00486DAC"/>
    <w:rsid w:val="00490A75"/>
    <w:rsid w:val="0049277F"/>
    <w:rsid w:val="00494174"/>
    <w:rsid w:val="00497163"/>
    <w:rsid w:val="004A65F5"/>
    <w:rsid w:val="004B003F"/>
    <w:rsid w:val="004C1EE4"/>
    <w:rsid w:val="004C2F7D"/>
    <w:rsid w:val="004E3582"/>
    <w:rsid w:val="004F53EB"/>
    <w:rsid w:val="00503EE1"/>
    <w:rsid w:val="005130E3"/>
    <w:rsid w:val="0051750D"/>
    <w:rsid w:val="00524F11"/>
    <w:rsid w:val="0052600D"/>
    <w:rsid w:val="005342BD"/>
    <w:rsid w:val="00535611"/>
    <w:rsid w:val="00536354"/>
    <w:rsid w:val="00543474"/>
    <w:rsid w:val="00543A76"/>
    <w:rsid w:val="00551AAC"/>
    <w:rsid w:val="00557E6B"/>
    <w:rsid w:val="00573A5C"/>
    <w:rsid w:val="005A0A48"/>
    <w:rsid w:val="005A4EEB"/>
    <w:rsid w:val="005A6BFA"/>
    <w:rsid w:val="005B213F"/>
    <w:rsid w:val="005B5E10"/>
    <w:rsid w:val="005C1564"/>
    <w:rsid w:val="005C160F"/>
    <w:rsid w:val="005E06B3"/>
    <w:rsid w:val="005E3F0A"/>
    <w:rsid w:val="005F3316"/>
    <w:rsid w:val="005F631D"/>
    <w:rsid w:val="0060463A"/>
    <w:rsid w:val="0061672C"/>
    <w:rsid w:val="00620A00"/>
    <w:rsid w:val="00621D2B"/>
    <w:rsid w:val="0062603D"/>
    <w:rsid w:val="00634B0E"/>
    <w:rsid w:val="00645006"/>
    <w:rsid w:val="0065162E"/>
    <w:rsid w:val="00660AC5"/>
    <w:rsid w:val="00662E7C"/>
    <w:rsid w:val="006705C2"/>
    <w:rsid w:val="006728D3"/>
    <w:rsid w:val="00684386"/>
    <w:rsid w:val="00685AAF"/>
    <w:rsid w:val="00691061"/>
    <w:rsid w:val="00695030"/>
    <w:rsid w:val="00695431"/>
    <w:rsid w:val="0069687A"/>
    <w:rsid w:val="006A0245"/>
    <w:rsid w:val="006B088B"/>
    <w:rsid w:val="006C29CB"/>
    <w:rsid w:val="006C6622"/>
    <w:rsid w:val="006D3FC2"/>
    <w:rsid w:val="006D45AB"/>
    <w:rsid w:val="006E46EC"/>
    <w:rsid w:val="006E544D"/>
    <w:rsid w:val="006E5941"/>
    <w:rsid w:val="006E71CD"/>
    <w:rsid w:val="006F0FA4"/>
    <w:rsid w:val="007006F3"/>
    <w:rsid w:val="00700E92"/>
    <w:rsid w:val="00714829"/>
    <w:rsid w:val="00716D20"/>
    <w:rsid w:val="00732F5C"/>
    <w:rsid w:val="00733876"/>
    <w:rsid w:val="0073390E"/>
    <w:rsid w:val="00734CF6"/>
    <w:rsid w:val="00737933"/>
    <w:rsid w:val="007405D2"/>
    <w:rsid w:val="007443E2"/>
    <w:rsid w:val="007519A6"/>
    <w:rsid w:val="00752B2D"/>
    <w:rsid w:val="00754B98"/>
    <w:rsid w:val="007569B2"/>
    <w:rsid w:val="00760C16"/>
    <w:rsid w:val="00763A99"/>
    <w:rsid w:val="00782930"/>
    <w:rsid w:val="00784DE2"/>
    <w:rsid w:val="007A0E9B"/>
    <w:rsid w:val="007A3694"/>
    <w:rsid w:val="007A7F92"/>
    <w:rsid w:val="007B228A"/>
    <w:rsid w:val="007B384B"/>
    <w:rsid w:val="007C35CA"/>
    <w:rsid w:val="007D02D3"/>
    <w:rsid w:val="007E3300"/>
    <w:rsid w:val="007E4701"/>
    <w:rsid w:val="007F0455"/>
    <w:rsid w:val="008073B2"/>
    <w:rsid w:val="008152CF"/>
    <w:rsid w:val="00824B84"/>
    <w:rsid w:val="00830ED8"/>
    <w:rsid w:val="00835AD6"/>
    <w:rsid w:val="00844CD8"/>
    <w:rsid w:val="00850A44"/>
    <w:rsid w:val="00854A83"/>
    <w:rsid w:val="008657F3"/>
    <w:rsid w:val="00870BED"/>
    <w:rsid w:val="008719E5"/>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277A"/>
    <w:rsid w:val="00963266"/>
    <w:rsid w:val="00972985"/>
    <w:rsid w:val="00976D56"/>
    <w:rsid w:val="00976F42"/>
    <w:rsid w:val="00977D62"/>
    <w:rsid w:val="009816CA"/>
    <w:rsid w:val="00982B4E"/>
    <w:rsid w:val="009854C4"/>
    <w:rsid w:val="009944FE"/>
    <w:rsid w:val="009A42F6"/>
    <w:rsid w:val="009A4826"/>
    <w:rsid w:val="009B1678"/>
    <w:rsid w:val="009C4D2A"/>
    <w:rsid w:val="009D427B"/>
    <w:rsid w:val="009D6C26"/>
    <w:rsid w:val="009E4A50"/>
    <w:rsid w:val="009E51CA"/>
    <w:rsid w:val="009F2011"/>
    <w:rsid w:val="009F24C0"/>
    <w:rsid w:val="009F4F41"/>
    <w:rsid w:val="009F694C"/>
    <w:rsid w:val="009F7274"/>
    <w:rsid w:val="00A15392"/>
    <w:rsid w:val="00A20986"/>
    <w:rsid w:val="00A268EF"/>
    <w:rsid w:val="00A312B5"/>
    <w:rsid w:val="00A33908"/>
    <w:rsid w:val="00A427C0"/>
    <w:rsid w:val="00A5516E"/>
    <w:rsid w:val="00A61DAA"/>
    <w:rsid w:val="00A71290"/>
    <w:rsid w:val="00A7204A"/>
    <w:rsid w:val="00A769BD"/>
    <w:rsid w:val="00A8686B"/>
    <w:rsid w:val="00A967F8"/>
    <w:rsid w:val="00A96EA0"/>
    <w:rsid w:val="00AB6083"/>
    <w:rsid w:val="00AC1E70"/>
    <w:rsid w:val="00AC3EDD"/>
    <w:rsid w:val="00AC5141"/>
    <w:rsid w:val="00AC6972"/>
    <w:rsid w:val="00AE07A7"/>
    <w:rsid w:val="00AE1154"/>
    <w:rsid w:val="00AE4300"/>
    <w:rsid w:val="00AE5378"/>
    <w:rsid w:val="00AF3E2F"/>
    <w:rsid w:val="00AF3E4D"/>
    <w:rsid w:val="00AF6F27"/>
    <w:rsid w:val="00B01ACE"/>
    <w:rsid w:val="00B04433"/>
    <w:rsid w:val="00B16846"/>
    <w:rsid w:val="00B239E5"/>
    <w:rsid w:val="00B24778"/>
    <w:rsid w:val="00B3442C"/>
    <w:rsid w:val="00B36427"/>
    <w:rsid w:val="00B4113F"/>
    <w:rsid w:val="00B43BC5"/>
    <w:rsid w:val="00B44352"/>
    <w:rsid w:val="00B637AA"/>
    <w:rsid w:val="00B659D3"/>
    <w:rsid w:val="00B70CD3"/>
    <w:rsid w:val="00B76A55"/>
    <w:rsid w:val="00B93330"/>
    <w:rsid w:val="00B935AE"/>
    <w:rsid w:val="00B94A90"/>
    <w:rsid w:val="00BA02CC"/>
    <w:rsid w:val="00BA54B2"/>
    <w:rsid w:val="00BB2371"/>
    <w:rsid w:val="00BC6D2F"/>
    <w:rsid w:val="00BD5085"/>
    <w:rsid w:val="00BD65DF"/>
    <w:rsid w:val="00BE44C8"/>
    <w:rsid w:val="00BE450C"/>
    <w:rsid w:val="00BE5ECB"/>
    <w:rsid w:val="00BF1386"/>
    <w:rsid w:val="00C04F63"/>
    <w:rsid w:val="00C17D13"/>
    <w:rsid w:val="00C21664"/>
    <w:rsid w:val="00C25368"/>
    <w:rsid w:val="00C33AB4"/>
    <w:rsid w:val="00C42489"/>
    <w:rsid w:val="00C430FD"/>
    <w:rsid w:val="00C518F6"/>
    <w:rsid w:val="00C64C27"/>
    <w:rsid w:val="00C71516"/>
    <w:rsid w:val="00C77F7A"/>
    <w:rsid w:val="00C82AB8"/>
    <w:rsid w:val="00CB18D4"/>
    <w:rsid w:val="00CB5D00"/>
    <w:rsid w:val="00CC11B1"/>
    <w:rsid w:val="00CC2690"/>
    <w:rsid w:val="00CC7D46"/>
    <w:rsid w:val="00CE23BC"/>
    <w:rsid w:val="00CE3549"/>
    <w:rsid w:val="00CE482D"/>
    <w:rsid w:val="00CF6EF5"/>
    <w:rsid w:val="00CF770F"/>
    <w:rsid w:val="00D01C38"/>
    <w:rsid w:val="00D07014"/>
    <w:rsid w:val="00D1112D"/>
    <w:rsid w:val="00D2401B"/>
    <w:rsid w:val="00D33F63"/>
    <w:rsid w:val="00D37878"/>
    <w:rsid w:val="00D4493C"/>
    <w:rsid w:val="00D55ABF"/>
    <w:rsid w:val="00D65180"/>
    <w:rsid w:val="00D7233F"/>
    <w:rsid w:val="00D739AA"/>
    <w:rsid w:val="00D7490B"/>
    <w:rsid w:val="00D82C4F"/>
    <w:rsid w:val="00D85D37"/>
    <w:rsid w:val="00D86C43"/>
    <w:rsid w:val="00D87B51"/>
    <w:rsid w:val="00DA4D54"/>
    <w:rsid w:val="00DB0469"/>
    <w:rsid w:val="00DB3270"/>
    <w:rsid w:val="00DB3EE5"/>
    <w:rsid w:val="00DE0C18"/>
    <w:rsid w:val="00DE333A"/>
    <w:rsid w:val="00DF0AE6"/>
    <w:rsid w:val="00DF464B"/>
    <w:rsid w:val="00E009DD"/>
    <w:rsid w:val="00E07338"/>
    <w:rsid w:val="00E14767"/>
    <w:rsid w:val="00E3483D"/>
    <w:rsid w:val="00E34F37"/>
    <w:rsid w:val="00E56759"/>
    <w:rsid w:val="00E60543"/>
    <w:rsid w:val="00E67AB7"/>
    <w:rsid w:val="00E70BB8"/>
    <w:rsid w:val="00E71A63"/>
    <w:rsid w:val="00E727A4"/>
    <w:rsid w:val="00E81F69"/>
    <w:rsid w:val="00E908E7"/>
    <w:rsid w:val="00E9130E"/>
    <w:rsid w:val="00EA05AE"/>
    <w:rsid w:val="00EA3062"/>
    <w:rsid w:val="00EB62DB"/>
    <w:rsid w:val="00EC519B"/>
    <w:rsid w:val="00ED6ECA"/>
    <w:rsid w:val="00EE0B08"/>
    <w:rsid w:val="00EE49D0"/>
    <w:rsid w:val="00EE76E4"/>
    <w:rsid w:val="00EF573E"/>
    <w:rsid w:val="00F166D4"/>
    <w:rsid w:val="00F16CA1"/>
    <w:rsid w:val="00F36863"/>
    <w:rsid w:val="00F45027"/>
    <w:rsid w:val="00F45D0D"/>
    <w:rsid w:val="00F54C97"/>
    <w:rsid w:val="00F704CA"/>
    <w:rsid w:val="00F774CC"/>
    <w:rsid w:val="00F80E45"/>
    <w:rsid w:val="00F91523"/>
    <w:rsid w:val="00F94BBC"/>
    <w:rsid w:val="00FA481C"/>
    <w:rsid w:val="00FB3011"/>
    <w:rsid w:val="00FB52F8"/>
    <w:rsid w:val="00FB688C"/>
    <w:rsid w:val="00FC3907"/>
    <w:rsid w:val="00FD1280"/>
    <w:rsid w:val="00FD16C8"/>
    <w:rsid w:val="00FD3C07"/>
    <w:rsid w:val="00FD60A2"/>
    <w:rsid w:val="00FE748D"/>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4E98AF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51AAC"/>
    <w:rPr>
      <w:color w:val="0000FF"/>
      <w:u w:val="single"/>
    </w:rPr>
  </w:style>
  <w:style w:type="character" w:styleId="CommentReference">
    <w:name w:val="annotation reference"/>
    <w:basedOn w:val="DefaultParagraphFont"/>
    <w:uiPriority w:val="99"/>
    <w:semiHidden/>
    <w:unhideWhenUsed/>
    <w:rsid w:val="00B16846"/>
    <w:rPr>
      <w:sz w:val="16"/>
      <w:szCs w:val="16"/>
    </w:rPr>
  </w:style>
  <w:style w:type="paragraph" w:styleId="CommentText">
    <w:name w:val="annotation text"/>
    <w:basedOn w:val="Normal"/>
    <w:link w:val="CommentTextChar"/>
    <w:uiPriority w:val="99"/>
    <w:unhideWhenUsed/>
    <w:rsid w:val="00B16846"/>
    <w:rPr>
      <w:sz w:val="20"/>
      <w:szCs w:val="20"/>
    </w:rPr>
  </w:style>
  <w:style w:type="character" w:customStyle="1" w:styleId="CommentTextChar">
    <w:name w:val="Comment Text Char"/>
    <w:basedOn w:val="DefaultParagraphFont"/>
    <w:link w:val="CommentText"/>
    <w:uiPriority w:val="99"/>
    <w:rsid w:val="00B16846"/>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B168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846"/>
    <w:rPr>
      <w:rFonts w:ascii="Segoe UI" w:hAnsi="Segoe UI" w:cs="Segoe UI"/>
      <w:sz w:val="18"/>
      <w:szCs w:val="18"/>
    </w:rPr>
  </w:style>
  <w:style w:type="character" w:styleId="Hyperlink">
    <w:name w:val="Hyperlink"/>
    <w:basedOn w:val="DefaultParagraphFont"/>
    <w:uiPriority w:val="99"/>
    <w:unhideWhenUsed/>
    <w:rsid w:val="00B1684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43BC5"/>
    <w:rPr>
      <w:b/>
      <w:bCs/>
    </w:rPr>
  </w:style>
  <w:style w:type="character" w:customStyle="1" w:styleId="CommentSubjectChar">
    <w:name w:val="Comment Subject Char"/>
    <w:basedOn w:val="CommentTextChar"/>
    <w:link w:val="CommentSubject"/>
    <w:uiPriority w:val="99"/>
    <w:semiHidden/>
    <w:rsid w:val="00B43BC5"/>
    <w:rPr>
      <w:rFonts w:ascii="Times New Roman" w:hAnsi="Times New Roman" w:cs="Times New Roman"/>
      <w:b/>
      <w:bCs/>
      <w:sz w:val="20"/>
      <w:szCs w:val="20"/>
    </w:rPr>
  </w:style>
  <w:style w:type="character" w:styleId="FollowedHyperlink">
    <w:name w:val="FollowedHyperlink"/>
    <w:basedOn w:val="DefaultParagraphFont"/>
    <w:uiPriority w:val="99"/>
    <w:semiHidden/>
    <w:unhideWhenUsed/>
    <w:rsid w:val="00EB62DB"/>
    <w:rPr>
      <w:color w:val="954F72" w:themeColor="followedHyperlink"/>
      <w:u w:val="single"/>
    </w:rPr>
  </w:style>
  <w:style w:type="character" w:customStyle="1" w:styleId="UnresolvedMention1">
    <w:name w:val="Unresolved Mention1"/>
    <w:basedOn w:val="DefaultParagraphFont"/>
    <w:uiPriority w:val="99"/>
    <w:semiHidden/>
    <w:unhideWhenUsed/>
    <w:rsid w:val="00FD1280"/>
    <w:rPr>
      <w:color w:val="605E5C"/>
      <w:shd w:val="clear" w:color="auto" w:fill="E1DFDD"/>
    </w:rPr>
  </w:style>
  <w:style w:type="paragraph" w:styleId="Revision">
    <w:name w:val="Revision"/>
    <w:hidden/>
    <w:uiPriority w:val="99"/>
    <w:semiHidden/>
    <w:rsid w:val="00F54C97"/>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688143">
      <w:bodyDiv w:val="1"/>
      <w:marLeft w:val="0"/>
      <w:marRight w:val="0"/>
      <w:marTop w:val="0"/>
      <w:marBottom w:val="0"/>
      <w:divBdr>
        <w:top w:val="none" w:sz="0" w:space="0" w:color="auto"/>
        <w:left w:val="none" w:sz="0" w:space="0" w:color="auto"/>
        <w:bottom w:val="none" w:sz="0" w:space="0" w:color="auto"/>
        <w:right w:val="none" w:sz="0" w:space="0" w:color="auto"/>
      </w:divBdr>
    </w:div>
    <w:div w:id="744759903">
      <w:bodyDiv w:val="1"/>
      <w:marLeft w:val="0"/>
      <w:marRight w:val="0"/>
      <w:marTop w:val="0"/>
      <w:marBottom w:val="0"/>
      <w:divBdr>
        <w:top w:val="none" w:sz="0" w:space="0" w:color="auto"/>
        <w:left w:val="none" w:sz="0" w:space="0" w:color="auto"/>
        <w:bottom w:val="none" w:sz="0" w:space="0" w:color="auto"/>
        <w:right w:val="none" w:sz="0" w:space="0" w:color="auto"/>
      </w:divBdr>
    </w:div>
    <w:div w:id="213440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29" TargetMode="External"/><Relationship Id="rId26"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hyperlink" Target="http://policy.osba.org/orsredir.asp?ors=ors-65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29" TargetMode="External"/><Relationship Id="rId25" Type="http://schemas.openxmlformats.org/officeDocument/2006/relationships/hyperlink" Target="http://policy.osba.org/orsredir.asp?ors=oar-58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29" TargetMode="External"/><Relationship Id="rId20" Type="http://schemas.openxmlformats.org/officeDocument/2006/relationships/hyperlink" Target="http://policy.osba.org/orsredir.asp?ors=ors-338" TargetMode="External"/><Relationship Id="rId29" Type="http://schemas.openxmlformats.org/officeDocument/2006/relationships/hyperlink" Target="http://policy.osba.org/orsredir.asp?ors=oar-5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32"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ar-581" TargetMode="External"/><Relationship Id="rId28" Type="http://schemas.openxmlformats.org/officeDocument/2006/relationships/hyperlink" Target="http://policy.osba.org/orsredir.asp?ors=oar-581" TargetMode="External"/><Relationship Id="rId10" Type="http://schemas.openxmlformats.org/officeDocument/2006/relationships/footer" Target="footer1.xml"/><Relationship Id="rId19" Type="http://schemas.openxmlformats.org/officeDocument/2006/relationships/hyperlink" Target="http://policy.osba.org/orsredir.asp?ors=ors-336"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6" TargetMode="External"/><Relationship Id="rId22" Type="http://schemas.openxmlformats.org/officeDocument/2006/relationships/hyperlink" Target="http://policy.osba.org/orsredir.asp?ors=oar-581" TargetMode="External"/><Relationship Id="rId27" Type="http://schemas.openxmlformats.org/officeDocument/2006/relationships/hyperlink" Target="http://policy.osba.org/orsredir.asp?ors=oar-581" TargetMode="External"/><Relationship Id="rId30" Type="http://schemas.openxmlformats.org/officeDocument/2006/relationships/hyperlink" Target="http://policy.osba.org/orsredir.asp?ors=oar-581" TargetMode="Externa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e/educator-resources/assessment/Pages/Assessment-Administratio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B253C-74F6-45D8-A532-C1FE9494E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IL - Assessment Program**</vt:lpstr>
    </vt:vector>
  </TitlesOfParts>
  <Company>OSBA</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 Assessment Program**</dc:title>
  <dc:subject>Lourdes Board Policy</dc:subject>
  <dc:creator>Oregon School Boards Association</dc:creator>
  <cp:keywords/>
  <dc:description/>
  <cp:lastModifiedBy>Colleen Allen</cp:lastModifiedBy>
  <cp:revision>59</cp:revision>
  <dcterms:created xsi:type="dcterms:W3CDTF">2018-03-09T23:16:00Z</dcterms:created>
  <dcterms:modified xsi:type="dcterms:W3CDTF">2025-05-22T15:32:00Z</dcterms:modified>
</cp:coreProperties>
</file>