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B13E7" w14:textId="77777777" w:rsidR="000B1704" w:rsidRPr="00976D56" w:rsidRDefault="000B1704" w:rsidP="001E1260">
      <w:pPr>
        <w:pStyle w:val="PolicyTitleBox"/>
      </w:pPr>
      <w:r>
        <w:t>Lourdes Public Charter School</w:t>
      </w:r>
    </w:p>
    <w:p w14:paraId="0275A678" w14:textId="77777777" w:rsidR="00CC7D46" w:rsidRPr="00CD7700" w:rsidRDefault="00CC7D46" w:rsidP="00CD7700">
      <w:pPr>
        <w:shd w:val="clear" w:color="000000" w:fill="auto"/>
      </w:pPr>
    </w:p>
    <w:p w14:paraId="76800323" w14:textId="77777777" w:rsidR="001E1260" w:rsidRPr="00CD7700" w:rsidRDefault="001E1260" w:rsidP="00CD7700">
      <w:pPr>
        <w:pStyle w:val="PolicyCode"/>
        <w:shd w:val="clear" w:color="000000" w:fill="auto"/>
      </w:pPr>
      <w:r w:rsidRPr="00CD7700">
        <w:t>Code:</w:t>
      </w:r>
      <w:r w:rsidRPr="00CD7700">
        <w:tab/>
      </w:r>
      <w:r w:rsidR="0017184E" w:rsidRPr="00CD7700">
        <w:t>BD/BDA</w:t>
      </w:r>
    </w:p>
    <w:p w14:paraId="280542BD" w14:textId="12BA0C48" w:rsidR="001E1260" w:rsidRPr="00CD7700" w:rsidRDefault="001E1260" w:rsidP="00CD7700">
      <w:pPr>
        <w:pStyle w:val="PolicyCode"/>
        <w:shd w:val="clear" w:color="000000" w:fill="auto"/>
      </w:pPr>
      <w:r w:rsidRPr="00CD7700">
        <w:t>Adopted:</w:t>
      </w:r>
      <w:r w:rsidRPr="00CD7700">
        <w:tab/>
      </w:r>
      <w:r w:rsidR="000C002A">
        <w:t>4/28/25</w:t>
      </w:r>
    </w:p>
    <w:p w14:paraId="20D115AD" w14:textId="77777777" w:rsidR="001E1260" w:rsidRPr="00CD7700" w:rsidRDefault="001E1260" w:rsidP="00CD7700">
      <w:pPr>
        <w:shd w:val="clear" w:color="000000" w:fill="auto"/>
      </w:pPr>
    </w:p>
    <w:p w14:paraId="103949B8" w14:textId="50C00CF3" w:rsidR="00EF573E" w:rsidRPr="00CD7700" w:rsidRDefault="00DB282F" w:rsidP="00CD7700">
      <w:pPr>
        <w:pStyle w:val="PolicyTitle"/>
        <w:shd w:val="clear" w:color="000000" w:fill="auto"/>
      </w:pPr>
      <w:r w:rsidRPr="00CD7700">
        <w:t>Board Meetings</w:t>
      </w:r>
    </w:p>
    <w:p w14:paraId="00CDD058" w14:textId="77777777" w:rsidR="00EF573E" w:rsidRPr="00CD7700" w:rsidRDefault="00EF573E" w:rsidP="00CD7700">
      <w:pPr>
        <w:shd w:val="clear" w:color="000000" w:fill="auto"/>
      </w:pPr>
    </w:p>
    <w:p w14:paraId="3FF3B0FF" w14:textId="44735EA0" w:rsidR="002C5A81" w:rsidRPr="00CD7700" w:rsidRDefault="0017184E" w:rsidP="00CD7700">
      <w:pPr>
        <w:pStyle w:val="PolicyBodyText"/>
        <w:shd w:val="clear" w:color="000000" w:fill="auto"/>
        <w:spacing w:after="240"/>
      </w:pPr>
      <w:r w:rsidRPr="00CD7700">
        <w:t xml:space="preserve">The Board has the authority to act only when a quorum is present at a duly called regular, special or emergency meeting. </w:t>
      </w:r>
      <w:r w:rsidR="00586441">
        <w:t>“</w:t>
      </w:r>
      <w:r w:rsidRPr="00CD7700">
        <w:t>Meeting</w:t>
      </w:r>
      <w:r w:rsidR="00586441">
        <w:t>”</w:t>
      </w:r>
      <w:r w:rsidRPr="00CD7700">
        <w:t xml:space="preserve"> means the convening</w:t>
      </w:r>
      <w:r w:rsidR="002C5A81" w:rsidRPr="00CD7700">
        <w:rPr>
          <w:rStyle w:val="FootnoteReference"/>
        </w:rPr>
        <w:footnoteReference w:id="1"/>
      </w:r>
      <w:r w:rsidRPr="00CD7700">
        <w:t xml:space="preserve"> of a quorum of the Board as the public charter school</w:t>
      </w:r>
      <w:r w:rsidR="00586441">
        <w:t>’</w:t>
      </w:r>
      <w:r w:rsidRPr="00CD7700">
        <w:t xml:space="preserve">s governing body to </w:t>
      </w:r>
      <w:proofErr w:type="gramStart"/>
      <w:r w:rsidRPr="00CD7700">
        <w:t>make a decision</w:t>
      </w:r>
      <w:bookmarkStart w:id="0" w:name="_Hlk143005713"/>
      <w:proofErr w:type="gramEnd"/>
      <w:r w:rsidR="002C5A81" w:rsidRPr="00CD7700">
        <w:rPr>
          <w:rStyle w:val="FootnoteReference"/>
        </w:rPr>
        <w:footnoteReference w:id="2"/>
      </w:r>
      <w:bookmarkEnd w:id="0"/>
      <w:r w:rsidRPr="00CD7700">
        <w:t xml:space="preserve"> or to deliberate</w:t>
      </w:r>
      <w:bookmarkStart w:id="1" w:name="_Hlk143005726"/>
      <w:r w:rsidR="002C5A81" w:rsidRPr="00CD7700">
        <w:rPr>
          <w:rStyle w:val="FootnoteReference"/>
        </w:rPr>
        <w:footnoteReference w:id="3"/>
      </w:r>
      <w:bookmarkEnd w:id="1"/>
      <w:r w:rsidRPr="00CD7700">
        <w:t xml:space="preserve"> toward a decision on any matter. This includes </w:t>
      </w:r>
      <w:proofErr w:type="gramStart"/>
      <w:r w:rsidRPr="00CD7700">
        <w:t>meeting</w:t>
      </w:r>
      <w:proofErr w:type="gramEnd"/>
      <w:r w:rsidRPr="00CD7700">
        <w:t xml:space="preserve"> for the purpose of gathering information to serve as the basis for a subsequent decision or recommendation by the </w:t>
      </w:r>
      <w:r w:rsidR="002C5A81" w:rsidRPr="00CD7700">
        <w:t>Board</w:t>
      </w:r>
      <w:r w:rsidRPr="00CD7700">
        <w:t xml:space="preserve">, i.e. a work session. </w:t>
      </w:r>
      <w:bookmarkStart w:id="2" w:name="_Hlk143005758"/>
      <w:r w:rsidR="00586441">
        <w:t>“</w:t>
      </w:r>
      <w:r w:rsidR="002C5A81" w:rsidRPr="00CD7700">
        <w:t>Meeting</w:t>
      </w:r>
      <w:r w:rsidR="00586441">
        <w:t>”</w:t>
      </w:r>
      <w:r w:rsidR="002C5A81" w:rsidRPr="00CD7700">
        <w:t xml:space="preserve"> does not include any on-site inspection of any project or program </w:t>
      </w:r>
      <w:r w:rsidR="00F31FD6">
        <w:t xml:space="preserve">or </w:t>
      </w:r>
      <w:r w:rsidR="002C5A81" w:rsidRPr="00CD7700">
        <w:t>the attendance of members of the Board at any national, regional or state association to which the Board or its members belong.</w:t>
      </w:r>
      <w:bookmarkEnd w:id="2"/>
    </w:p>
    <w:p w14:paraId="72BE71CB" w14:textId="6D8B1D21" w:rsidR="0017184E" w:rsidRPr="00CD7700" w:rsidRDefault="0017184E" w:rsidP="00CD7700">
      <w:pPr>
        <w:pStyle w:val="PolicyBodyText"/>
        <w:shd w:val="clear" w:color="000000" w:fill="auto"/>
        <w:spacing w:after="240"/>
      </w:pPr>
      <w:r w:rsidRPr="00CD7700">
        <w:t xml:space="preserve">The affirmative vote of </w:t>
      </w:r>
      <w:proofErr w:type="gramStart"/>
      <w:r w:rsidRPr="00CD7700">
        <w:t>a majority</w:t>
      </w:r>
      <w:proofErr w:type="gramEnd"/>
      <w:r w:rsidRPr="00CD7700">
        <w:t xml:space="preserve"> of those present is required to transact any business.</w:t>
      </w:r>
    </w:p>
    <w:p w14:paraId="7F1CC4D1" w14:textId="791660A5" w:rsidR="00700409" w:rsidRPr="00903025" w:rsidRDefault="0017184E" w:rsidP="00CD7700">
      <w:pPr>
        <w:pStyle w:val="PolicyBodyText"/>
        <w:shd w:val="clear" w:color="000000" w:fill="auto"/>
        <w:spacing w:after="240"/>
        <w:rPr>
          <w:vertAlign w:val="superscript"/>
        </w:rPr>
      </w:pPr>
      <w:r w:rsidRPr="00CD7700">
        <w:t xml:space="preserve">All regular, special and emergency meetings of the Board will be open to the public except as provided by law. </w:t>
      </w:r>
      <w:r w:rsidR="00700409" w:rsidRPr="00CD7700">
        <w:t xml:space="preserve">Access to and the ability to attend all meetings (excluding executive sessions) by telephone, video or other electronic or virtual means will be made available when reasonably possible. </w:t>
      </w:r>
      <w:r w:rsidRPr="00CD7700">
        <w:t xml:space="preserve">All meetings will be conducted in compliance with state and federal statutes. </w:t>
      </w:r>
      <w:r w:rsidR="00A24E1B" w:rsidRPr="00CD7700">
        <w:t xml:space="preserve">For </w:t>
      </w:r>
      <w:proofErr w:type="gramStart"/>
      <w:r w:rsidR="00A24E1B" w:rsidRPr="00CD7700">
        <w:t>information</w:t>
      </w:r>
      <w:proofErr w:type="gramEnd"/>
      <w:r w:rsidR="00A24E1B" w:rsidRPr="00CD7700">
        <w:t xml:space="preserve"> how to give or submit public </w:t>
      </w:r>
      <w:proofErr w:type="gramStart"/>
      <w:r w:rsidR="00A24E1B" w:rsidRPr="00CD7700">
        <w:t>comment</w:t>
      </w:r>
      <w:proofErr w:type="gramEnd"/>
      <w:r w:rsidR="00A24E1B" w:rsidRPr="00CD7700">
        <w:t xml:space="preserve"> it is outlined in Board policy BDDH - Public Comment at Board Meetings</w:t>
      </w:r>
      <w:r w:rsidR="00903025" w:rsidRPr="00903025">
        <w:rPr>
          <w:vertAlign w:val="superscript"/>
        </w:rPr>
        <w:footnoteReference w:id="4"/>
      </w:r>
      <w:r w:rsidR="00A24E1B" w:rsidRPr="00CD7700">
        <w:t>.</w:t>
      </w:r>
    </w:p>
    <w:p w14:paraId="6A994D53" w14:textId="5E604AFD" w:rsidR="0017184E" w:rsidRPr="00CD7700" w:rsidRDefault="0017184E" w:rsidP="00CD7700">
      <w:pPr>
        <w:pStyle w:val="PolicyBodyText"/>
        <w:shd w:val="clear" w:color="000000" w:fill="auto"/>
        <w:spacing w:after="240"/>
      </w:pPr>
      <w:r w:rsidRPr="00CD7700">
        <w:t>All Board meetings, including Board retreats and work sessions, will be held within the geographic boundaries over which the Board has jurisdiction</w:t>
      </w:r>
      <w:r w:rsidR="00A24E1B" w:rsidRPr="00CD7700">
        <w:t xml:space="preserve"> except as allowed by law</w:t>
      </w:r>
      <w:r w:rsidR="00A24E1B" w:rsidRPr="00CD7700">
        <w:rPr>
          <w:rStyle w:val="FootnoteReference"/>
        </w:rPr>
        <w:footnoteReference w:id="5"/>
      </w:r>
      <w:r w:rsidRPr="00CD7700">
        <w:t>. The Board may attend training sessions outside these boundaries but cannot deliberate or discuss public charter school business.</w:t>
      </w:r>
      <w:r w:rsidR="00383AEE" w:rsidRPr="00CD7700">
        <w:t xml:space="preserve"> </w:t>
      </w:r>
      <w:r w:rsidRPr="00CD7700">
        <w:t xml:space="preserve">No meeting will be held at any place where discrimination </w:t>
      </w:r>
      <w:proofErr w:type="gramStart"/>
      <w:r w:rsidRPr="00CD7700">
        <w:t>on the basis of</w:t>
      </w:r>
      <w:proofErr w:type="gramEnd"/>
      <w:r w:rsidRPr="00CD7700">
        <w:t xml:space="preserve"> disability, race, creed, color, sex, sexual orientation, </w:t>
      </w:r>
      <w:r w:rsidR="004B4E65" w:rsidRPr="00CD7700">
        <w:t xml:space="preserve">gender identity, </w:t>
      </w:r>
      <w:r w:rsidRPr="00CD7700">
        <w:t>age or national origin is practiced.</w:t>
      </w:r>
    </w:p>
    <w:p w14:paraId="0A0C9DD1" w14:textId="353CEF53" w:rsidR="0017184E" w:rsidRPr="00CD7700" w:rsidRDefault="0017184E" w:rsidP="00CD7700">
      <w:pPr>
        <w:pStyle w:val="PolicyBodyText"/>
        <w:shd w:val="clear" w:color="000000" w:fill="auto"/>
        <w:spacing w:after="240"/>
      </w:pPr>
      <w:r w:rsidRPr="00CD7700">
        <w:lastRenderedPageBreak/>
        <w:t xml:space="preserve">The Board will give public notice reasonably calculated to give actual notice to interested persons, including </w:t>
      </w:r>
      <w:r w:rsidR="0015297F" w:rsidRPr="00CD7700">
        <w:t>the news media which have requested notice</w:t>
      </w:r>
      <w:r w:rsidRPr="00CD7700">
        <w:t>, of the time and place for all Board meetings and of the principal subjects to be considered. The Board may consider additional subjects at a meeting, even if they were not included in the notice.</w:t>
      </w:r>
    </w:p>
    <w:p w14:paraId="596BF9CE" w14:textId="7A1BFEB4" w:rsidR="0017184E" w:rsidRPr="00CD7700" w:rsidRDefault="0017184E" w:rsidP="00CD7700">
      <w:pPr>
        <w:pStyle w:val="PolicyBodyText"/>
        <w:shd w:val="clear" w:color="000000" w:fill="auto"/>
        <w:spacing w:after="240"/>
      </w:pPr>
      <w:r w:rsidRPr="00CD7700">
        <w:t xml:space="preserve">If requested to do so at least 48 hours before a meeting held in public, the Board shall </w:t>
      </w:r>
      <w:r w:rsidR="004B4E65" w:rsidRPr="00CD7700">
        <w:t xml:space="preserve">make a good faith effort to </w:t>
      </w:r>
      <w:r w:rsidRPr="00CD7700">
        <w:t xml:space="preserve">provide an interpreter for hearing-impaired </w:t>
      </w:r>
      <w:proofErr w:type="gramStart"/>
      <w:r w:rsidRPr="00CD7700">
        <w:t>persons</w:t>
      </w:r>
      <w:proofErr w:type="gramEnd"/>
      <w:r w:rsidRPr="00CD7700">
        <w:t xml:space="preserve">. </w:t>
      </w:r>
      <w:bookmarkStart w:id="4" w:name="_Hlk143004220"/>
      <w:bookmarkStart w:id="5" w:name="_Hlk143005881"/>
      <w:r w:rsidR="0015297F" w:rsidRPr="00CD7700">
        <w:t>If the meeting is being held upon less than 48 hours</w:t>
      </w:r>
      <w:r w:rsidR="00586441">
        <w:t>’</w:t>
      </w:r>
      <w:r w:rsidR="0015297F" w:rsidRPr="00CD7700">
        <w:t xml:space="preserve"> notice and a request for an interpreter is made, the Board shall make a reasonable effort to have an interpreter present. </w:t>
      </w:r>
      <w:bookmarkEnd w:id="4"/>
      <w:bookmarkEnd w:id="5"/>
      <w:r w:rsidRPr="00CD7700">
        <w:t>Other appropriate auxiliary aids and services will be provided upon request and appropriate advance notice.</w:t>
      </w:r>
    </w:p>
    <w:p w14:paraId="2C5B675B" w14:textId="48080406" w:rsidR="0017184E" w:rsidRPr="00CD7700" w:rsidRDefault="0017184E" w:rsidP="00CD7700">
      <w:pPr>
        <w:pStyle w:val="PolicyBodyText"/>
        <w:shd w:val="clear" w:color="000000" w:fill="auto"/>
        <w:spacing w:after="240"/>
      </w:pPr>
      <w:r w:rsidRPr="00CD7700">
        <w:t>All meetings held in public shall comply with the Oregon Indoor Clean Air Act.</w:t>
      </w:r>
    </w:p>
    <w:p w14:paraId="077E7154" w14:textId="1693E0E5" w:rsidR="0017184E" w:rsidRPr="00CD7700" w:rsidRDefault="0017184E" w:rsidP="00CD7700">
      <w:pPr>
        <w:pStyle w:val="PolicyBodyText"/>
        <w:shd w:val="clear" w:color="000000" w:fill="auto"/>
        <w:spacing w:after="240"/>
      </w:pPr>
      <w:r w:rsidRPr="00CD7700">
        <w:t>The possession of dangerous or deadly weapons and firearms, as defined in law and Board policy, is prohibited on public charter school property.</w:t>
      </w:r>
    </w:p>
    <w:p w14:paraId="67D9E172" w14:textId="4F92C666" w:rsidR="0017184E" w:rsidRPr="00CD7700" w:rsidRDefault="0017184E" w:rsidP="00CD7700">
      <w:pPr>
        <w:pStyle w:val="Level1"/>
        <w:shd w:val="clear" w:color="000000" w:fill="auto"/>
      </w:pPr>
      <w:r w:rsidRPr="00CD7700">
        <w:t>Regular, Special and Emergency Meetings</w:t>
      </w:r>
    </w:p>
    <w:p w14:paraId="2CAABEFD" w14:textId="725E9A9C" w:rsidR="0017184E" w:rsidRPr="00CD7700" w:rsidRDefault="0017184E" w:rsidP="00CD7700">
      <w:pPr>
        <w:pStyle w:val="PolicyBodyIndent0After"/>
        <w:shd w:val="clear" w:color="000000" w:fill="auto"/>
        <w:spacing w:after="240"/>
      </w:pPr>
      <w:r w:rsidRPr="00CD7700">
        <w:t>Generally, a regular Board meeting will be held each month. The regular</w:t>
      </w:r>
      <w:r w:rsidR="00293E36" w:rsidRPr="00CD7700">
        <w:t xml:space="preserve"> </w:t>
      </w:r>
      <w:r w:rsidRPr="00CD7700">
        <w:t xml:space="preserve">meeting schedule will be established at the </w:t>
      </w:r>
      <w:r w:rsidR="004B4E65" w:rsidRPr="00CD7700">
        <w:t xml:space="preserve">annual </w:t>
      </w:r>
      <w:r w:rsidRPr="00CD7700">
        <w:t>organizational meeting and may be changed by the Board with proper notice. The purpose of each regular monthly meeting will be to conduct the regular Board business.</w:t>
      </w:r>
    </w:p>
    <w:p w14:paraId="63443193" w14:textId="7FA51C91" w:rsidR="0017184E" w:rsidRPr="00CD7700" w:rsidRDefault="0017184E" w:rsidP="00CD7700">
      <w:pPr>
        <w:pStyle w:val="PolicyBodyIndent0After"/>
        <w:shd w:val="clear" w:color="000000" w:fill="auto"/>
        <w:spacing w:after="240"/>
      </w:pPr>
      <w:r w:rsidRPr="00CD7700">
        <w:t xml:space="preserve">No later than the next regular </w:t>
      </w:r>
      <w:proofErr w:type="gramStart"/>
      <w:r w:rsidRPr="00CD7700">
        <w:t>meeting</w:t>
      </w:r>
      <w:proofErr w:type="gramEnd"/>
      <w:r w:rsidRPr="00CD7700">
        <w:t xml:space="preserve"> following July 1, the Board will hold </w:t>
      </w:r>
      <w:r w:rsidR="004B4E65" w:rsidRPr="00CD7700">
        <w:t xml:space="preserve">the annual </w:t>
      </w:r>
      <w:r w:rsidRPr="00CD7700">
        <w:t>organizational meeting to elect Board officers for the coming year and to establish the year</w:t>
      </w:r>
      <w:r w:rsidR="00586441">
        <w:t>’</w:t>
      </w:r>
      <w:r w:rsidRPr="00CD7700">
        <w:t>s schedule of Board meetings.</w:t>
      </w:r>
    </w:p>
    <w:p w14:paraId="7CAB6902" w14:textId="1D643DC5" w:rsidR="0017184E" w:rsidRPr="00CD7700" w:rsidRDefault="0017184E" w:rsidP="00CD7700">
      <w:pPr>
        <w:pStyle w:val="PolicyBodyIndent0After"/>
        <w:shd w:val="clear" w:color="000000" w:fill="auto"/>
        <w:spacing w:after="240"/>
      </w:pPr>
      <w:r w:rsidRPr="00CD7700">
        <w:t xml:space="preserve">Special meetings can be </w:t>
      </w:r>
      <w:proofErr w:type="gramStart"/>
      <w:r w:rsidRPr="00CD7700">
        <w:t>convened</w:t>
      </w:r>
      <w:proofErr w:type="gramEnd"/>
      <w:r w:rsidRPr="00CD7700">
        <w:t xml:space="preserve"> by the Board chair</w:t>
      </w:r>
      <w:r w:rsidR="002010F3">
        <w:t xml:space="preserve"> or 20 percent of the</w:t>
      </w:r>
      <w:r w:rsidRPr="00CD7700">
        <w:t xml:space="preserve"> Board members </w:t>
      </w:r>
      <w:r w:rsidR="002010F3">
        <w:t xml:space="preserve">then in </w:t>
      </w:r>
      <w:proofErr w:type="gramStart"/>
      <w:r w:rsidR="002010F3">
        <w:t>office</w:t>
      </w:r>
      <w:proofErr w:type="gramEnd"/>
      <w:r w:rsidRPr="00CD7700">
        <w:t xml:space="preserve"> to discuss any topic. A special meeting may be scheduled if less than a quorum is present at a meeting</w:t>
      </w:r>
      <w:r w:rsidR="0015297F" w:rsidRPr="00CD7700">
        <w:t>,</w:t>
      </w:r>
      <w:r w:rsidRPr="00CD7700">
        <w:t xml:space="preserve"> additional business still needs to be conducted at the ending time of the meeting</w:t>
      </w:r>
      <w:r w:rsidR="0015297F" w:rsidRPr="00CD7700">
        <w:t>, conducting business prior to the next regular meeting would be advantageous to the public charter school or other reasons</w:t>
      </w:r>
      <w:r w:rsidRPr="00CD7700">
        <w:t xml:space="preserve">. At least </w:t>
      </w:r>
      <w:r w:rsidR="002010F3">
        <w:t>two days</w:t>
      </w:r>
      <w:r w:rsidR="00586441">
        <w:t>’</w:t>
      </w:r>
      <w:r w:rsidRPr="00CD7700">
        <w:t xml:space="preserve"> notice must be provided</w:t>
      </w:r>
      <w:r w:rsidR="00773496">
        <w:t xml:space="preserve"> </w:t>
      </w:r>
      <w:r w:rsidRPr="00CD7700">
        <w:t>to all Board members</w:t>
      </w:r>
      <w:r w:rsidR="00773496">
        <w:t xml:space="preserve"> in accordance with the bylaws</w:t>
      </w:r>
      <w:r w:rsidRPr="00CD7700">
        <w:t>,</w:t>
      </w:r>
      <w:r w:rsidR="00773496">
        <w:t xml:space="preserve"> and to</w:t>
      </w:r>
      <w:r w:rsidRPr="00CD7700">
        <w:t xml:space="preserve"> the news media which have requested notice, and the </w:t>
      </w:r>
      <w:proofErr w:type="gramStart"/>
      <w:r w:rsidRPr="00CD7700">
        <w:t>general public</w:t>
      </w:r>
      <w:proofErr w:type="gramEnd"/>
      <w:r w:rsidRPr="00CD7700">
        <w:t xml:space="preserve"> for any special meeting.</w:t>
      </w:r>
    </w:p>
    <w:p w14:paraId="307B5135" w14:textId="77777777" w:rsidR="0017184E" w:rsidRPr="00CD7700" w:rsidRDefault="0017184E" w:rsidP="00CD7700">
      <w:pPr>
        <w:pStyle w:val="PolicyBodyIndent0After"/>
        <w:shd w:val="clear" w:color="000000" w:fill="auto"/>
        <w:spacing w:after="240"/>
      </w:pPr>
      <w:r w:rsidRPr="00CD7700">
        <w:t>Emergency meetings can be called by the Board in the case of an actual emergency upon appropriate notice under the circumstances. The minutes of the emergency meeting must describe the emergency. Only topics necessitated by the emergency may be discussed or acted upon at the emergency meeting.</w:t>
      </w:r>
    </w:p>
    <w:p w14:paraId="13095AC3" w14:textId="77777777" w:rsidR="0017184E" w:rsidRPr="00CD7700" w:rsidRDefault="0017184E" w:rsidP="00CD7700">
      <w:pPr>
        <w:pStyle w:val="Level1"/>
        <w:shd w:val="clear" w:color="000000" w:fill="auto"/>
      </w:pPr>
      <w:r w:rsidRPr="00CD7700">
        <w:t>Communications Outside of Board Meetings</w:t>
      </w:r>
    </w:p>
    <w:p w14:paraId="68EBB744" w14:textId="4FE98D9E" w:rsidR="0017184E" w:rsidRPr="00CD7700" w:rsidRDefault="0017184E" w:rsidP="00CD7700">
      <w:pPr>
        <w:pStyle w:val="PolicyBodyIndent0After"/>
        <w:shd w:val="clear" w:color="000000" w:fill="auto"/>
        <w:spacing w:after="240"/>
      </w:pPr>
      <w:r w:rsidRPr="00CD7700">
        <w:t>Communications, to, by and among a quorum of</w:t>
      </w:r>
      <w:r w:rsidR="000E564F" w:rsidRPr="00CD7700">
        <w:t xml:space="preserve"> </w:t>
      </w:r>
      <w:r w:rsidRPr="00CD7700">
        <w:t>Board members outside of a legally called Board meeting, in their capacity as Board members, shall not be used for the purpose of discussing public charter school business. This includes electronic</w:t>
      </w:r>
      <w:r w:rsidR="00544542" w:rsidRPr="00CD7700">
        <w:t>, video or telephonic</w:t>
      </w:r>
      <w:r w:rsidRPr="00CD7700">
        <w:t xml:space="preserve"> communication</w:t>
      </w:r>
      <w:r w:rsidR="00544542" w:rsidRPr="00CD7700">
        <w:t>s, serial electronic communications among participants and using an intermediary to communicate among participants</w:t>
      </w:r>
      <w:r w:rsidRPr="00CD7700">
        <w:t xml:space="preserve">. </w:t>
      </w:r>
      <w:r w:rsidR="007C55DA">
        <w:t>Such</w:t>
      </w:r>
      <w:r w:rsidRPr="00CD7700">
        <w:t xml:space="preserve"> communications among Board members shall be limited to</w:t>
      </w:r>
      <w:r w:rsidR="00383AEE" w:rsidRPr="00CD7700">
        <w:t xml:space="preserve"> </w:t>
      </w:r>
      <w:r w:rsidRPr="00CD7700">
        <w:t>messages not involving deliberation, debate, decision-making or gathering of information on which to deliberate.</w:t>
      </w:r>
    </w:p>
    <w:p w14:paraId="18172DBB" w14:textId="77777777" w:rsidR="00903025" w:rsidRDefault="00903025">
      <w:pPr>
        <w:suppressAutoHyphens w:val="0"/>
        <w:spacing w:after="160" w:line="259" w:lineRule="auto"/>
      </w:pPr>
      <w:bookmarkStart w:id="6" w:name="_Hlk143003305"/>
      <w:bookmarkStart w:id="7" w:name="_Hlk143004647"/>
      <w:r>
        <w:br w:type="page"/>
      </w:r>
    </w:p>
    <w:p w14:paraId="2D61D55C" w14:textId="3619D543" w:rsidR="00544542" w:rsidRPr="00CD7700" w:rsidRDefault="00544542" w:rsidP="00CD7700">
      <w:pPr>
        <w:pStyle w:val="PolicyBodyIndent"/>
        <w:shd w:val="clear" w:color="000000" w:fill="auto"/>
      </w:pPr>
      <w:r w:rsidRPr="00CD7700">
        <w:lastRenderedPageBreak/>
        <w:t>Communications outside of a Board meeting may contain:</w:t>
      </w:r>
    </w:p>
    <w:bookmarkEnd w:id="6"/>
    <w:p w14:paraId="1D430370" w14:textId="77777777" w:rsidR="00544542" w:rsidRPr="00CD7700" w:rsidRDefault="00544542" w:rsidP="00CD7700">
      <w:pPr>
        <w:pStyle w:val="Level2"/>
        <w:shd w:val="clear" w:color="000000" w:fill="auto"/>
      </w:pPr>
      <w:r w:rsidRPr="00CD7700">
        <w:t xml:space="preserve">Communications </w:t>
      </w:r>
      <w:proofErr w:type="gramStart"/>
      <w:r w:rsidRPr="00CD7700">
        <w:t>to</w:t>
      </w:r>
      <w:proofErr w:type="gramEnd"/>
      <w:r w:rsidRPr="00CD7700">
        <w:t xml:space="preserve">, </w:t>
      </w:r>
      <w:proofErr w:type="gramStart"/>
      <w:r w:rsidRPr="00CD7700">
        <w:t>between</w:t>
      </w:r>
      <w:proofErr w:type="gramEnd"/>
      <w:r w:rsidRPr="00CD7700">
        <w:t xml:space="preserve"> or among members of a governing body that are:</w:t>
      </w:r>
    </w:p>
    <w:p w14:paraId="2EE7B170" w14:textId="77777777" w:rsidR="00544542" w:rsidRPr="00CD7700" w:rsidRDefault="00544542" w:rsidP="00CD7700">
      <w:pPr>
        <w:pStyle w:val="Level3"/>
        <w:shd w:val="clear" w:color="000000" w:fill="auto"/>
      </w:pPr>
      <w:r w:rsidRPr="00CD7700">
        <w:t xml:space="preserve">Purely factual or educational in nature and that </w:t>
      </w:r>
      <w:proofErr w:type="gramStart"/>
      <w:r w:rsidRPr="00CD7700">
        <w:t>convey</w:t>
      </w:r>
      <w:proofErr w:type="gramEnd"/>
      <w:r w:rsidRPr="00CD7700">
        <w:t xml:space="preserve"> no deliberation or decision on any matter that might reasonably come before the Board (including agendas and information concerning agenda items</w:t>
      </w:r>
      <w:proofErr w:type="gramStart"/>
      <w:r w:rsidRPr="00CD7700">
        <w:t>);</w:t>
      </w:r>
      <w:proofErr w:type="gramEnd"/>
    </w:p>
    <w:p w14:paraId="098ECFB0" w14:textId="77777777" w:rsidR="00544542" w:rsidRPr="00CD7700" w:rsidRDefault="00544542" w:rsidP="00CD7700">
      <w:pPr>
        <w:pStyle w:val="Level3"/>
        <w:shd w:val="clear" w:color="000000" w:fill="auto"/>
      </w:pPr>
      <w:r w:rsidRPr="00CD7700">
        <w:t>Not related to any matter that, at any time, could reasonably be foreseen to come before the Board for deliberation and decision; or</w:t>
      </w:r>
    </w:p>
    <w:p w14:paraId="46C236AE" w14:textId="6D3F5E2F" w:rsidR="00544542" w:rsidRPr="00CD7700" w:rsidRDefault="00544542" w:rsidP="00CD7700">
      <w:pPr>
        <w:pStyle w:val="Level3"/>
        <w:shd w:val="clear" w:color="000000" w:fill="auto"/>
      </w:pPr>
      <w:proofErr w:type="spellStart"/>
      <w:r w:rsidRPr="00CD7700">
        <w:t>Nonsubstantive</w:t>
      </w:r>
      <w:proofErr w:type="spellEnd"/>
      <w:r w:rsidRPr="00CD7700">
        <w:t xml:space="preserve"> in nature, such as communication relating to scheduling, leaves of absence and other similar matters; or</w:t>
      </w:r>
    </w:p>
    <w:bookmarkEnd w:id="7"/>
    <w:p w14:paraId="41CD980B" w14:textId="77777777" w:rsidR="0017184E" w:rsidRPr="00CD7700" w:rsidRDefault="0017184E" w:rsidP="00CD7700">
      <w:pPr>
        <w:pStyle w:val="Level2"/>
        <w:shd w:val="clear" w:color="000000" w:fill="auto"/>
      </w:pPr>
      <w:r w:rsidRPr="00CD7700">
        <w:t>Individual responses to questions posed by community members, subject to other limitations in Board policy.</w:t>
      </w:r>
    </w:p>
    <w:p w14:paraId="15AD5A0C" w14:textId="77777777" w:rsidR="0017184E" w:rsidRPr="00CD7700" w:rsidRDefault="0017184E" w:rsidP="00CD7700">
      <w:pPr>
        <w:pStyle w:val="Level1"/>
        <w:shd w:val="clear" w:color="000000" w:fill="auto"/>
      </w:pPr>
      <w:r w:rsidRPr="00CD7700">
        <w:t>Private or Social Meetings</w:t>
      </w:r>
    </w:p>
    <w:p w14:paraId="36643821" w14:textId="07ACDF02" w:rsidR="0017184E" w:rsidRPr="00CD7700" w:rsidRDefault="0017184E" w:rsidP="00CD7700">
      <w:pPr>
        <w:pStyle w:val="PolicyBodyIndent0After"/>
        <w:shd w:val="clear" w:color="000000" w:fill="auto"/>
        <w:spacing w:after="240"/>
      </w:pPr>
      <w:r w:rsidRPr="00CD7700">
        <w:t xml:space="preserve">Private or social meetings of a quorum of the Board for the purpose of </w:t>
      </w:r>
      <w:proofErr w:type="gramStart"/>
      <w:r w:rsidRPr="00CD7700">
        <w:t>making a decision</w:t>
      </w:r>
      <w:proofErr w:type="gramEnd"/>
      <w:r w:rsidRPr="00CD7700">
        <w:t xml:space="preserve"> or to deliberate toward a decision on any matter are prohibited by </w:t>
      </w:r>
      <w:r w:rsidR="004B4E65" w:rsidRPr="00CD7700">
        <w:t>p</w:t>
      </w:r>
      <w:r w:rsidRPr="00CD7700">
        <w:t xml:space="preserve">ublic </w:t>
      </w:r>
      <w:r w:rsidR="004B4E65" w:rsidRPr="00CD7700">
        <w:t>m</w:t>
      </w:r>
      <w:r w:rsidRPr="00CD7700">
        <w:t xml:space="preserve">eetings </w:t>
      </w:r>
      <w:r w:rsidR="004B4E65" w:rsidRPr="00CD7700">
        <w:t>l</w:t>
      </w:r>
      <w:r w:rsidRPr="00CD7700">
        <w:t>aw.</w:t>
      </w:r>
    </w:p>
    <w:p w14:paraId="0F0F6AB7" w14:textId="77777777" w:rsidR="0017184E" w:rsidRPr="00CD7700" w:rsidRDefault="0017184E" w:rsidP="00CD7700">
      <w:pPr>
        <w:pStyle w:val="Level1"/>
        <w:shd w:val="clear" w:color="000000" w:fill="auto"/>
      </w:pPr>
      <w:r w:rsidRPr="00CD7700">
        <w:t>Work Sessions</w:t>
      </w:r>
    </w:p>
    <w:p w14:paraId="5D7DB5D0" w14:textId="70A05F2E" w:rsidR="0017184E" w:rsidRPr="00CD7700" w:rsidRDefault="0017184E" w:rsidP="00CD7700">
      <w:pPr>
        <w:pStyle w:val="PolicyBodyIndent0After"/>
        <w:shd w:val="clear" w:color="000000" w:fill="auto"/>
        <w:spacing w:after="240"/>
      </w:pPr>
      <w:r w:rsidRPr="00CD7700">
        <w:t>The Board may use regular or special meetings for the purpose of conducting work sessions to provide its members with opportunities for planning and thoughtful discussion. Work sessions will be conducted in accordance with state law on public meetings, including notice and minutes. The Board may make official decisions during a work session. Generally, Boards do not take official action during work sessions, although there is no legal prohibition to do so.</w:t>
      </w:r>
    </w:p>
    <w:p w14:paraId="43B93443" w14:textId="77777777" w:rsidR="0017184E" w:rsidRPr="00CD7700" w:rsidRDefault="0017184E" w:rsidP="00CD7700">
      <w:pPr>
        <w:pStyle w:val="Level1"/>
        <w:shd w:val="clear" w:color="000000" w:fill="auto"/>
      </w:pPr>
      <w:r w:rsidRPr="00CD7700">
        <w:t>Executive Sessions</w:t>
      </w:r>
    </w:p>
    <w:p w14:paraId="348016B5" w14:textId="662B2207" w:rsidR="00544542" w:rsidRPr="00CD7700" w:rsidRDefault="0017184E" w:rsidP="00CD7700">
      <w:pPr>
        <w:pStyle w:val="PolicyBodyIndent0After"/>
        <w:shd w:val="clear" w:color="000000" w:fill="auto"/>
        <w:spacing w:after="240"/>
      </w:pPr>
      <w:r w:rsidRPr="00CD7700">
        <w:t>Executive sessions may be held as an agenda item during regular, special or emergency meetings for a reason permitted by law. (See Board policy BDC - Executive Sessions)</w:t>
      </w:r>
    </w:p>
    <w:p w14:paraId="6162BF36" w14:textId="01444390" w:rsidR="000E1996" w:rsidRPr="00CD7700" w:rsidRDefault="000E1996" w:rsidP="00CD7700">
      <w:pPr>
        <w:pStyle w:val="PolicyBodyIndent"/>
        <w:shd w:val="clear" w:color="000000" w:fill="auto"/>
        <w:ind w:left="0"/>
      </w:pPr>
      <w:r w:rsidRPr="00CD7700">
        <w:t>Complaints regarding public meetings laws can be filed with the Board in accordance with Board Policy KL – Public Complaints. The Board will respond and provide a copy of the complaint and response to the Oregon Government Ethics Commission within 21 days in accordance with state law.</w:t>
      </w:r>
      <w:r w:rsidRPr="00CD7700">
        <w:rPr>
          <w:rStyle w:val="FootnoteReference"/>
        </w:rPr>
        <w:footnoteReference w:id="6"/>
      </w:r>
    </w:p>
    <w:p w14:paraId="5A18CD8D" w14:textId="1140EB6B" w:rsidR="00544542" w:rsidRPr="00CD7700" w:rsidRDefault="00544542" w:rsidP="00CD7700">
      <w:pPr>
        <w:pStyle w:val="PolicyBodyIndent"/>
        <w:shd w:val="clear" w:color="000000" w:fill="auto"/>
        <w:ind w:left="0"/>
        <w:rPr>
          <w:b/>
          <w:bCs/>
        </w:rPr>
      </w:pPr>
      <w:bookmarkStart w:id="8" w:name="_Hlk143004707"/>
      <w:r w:rsidRPr="00CD7700">
        <w:rPr>
          <w:b/>
          <w:bCs/>
        </w:rPr>
        <w:t>Mandatory Training</w:t>
      </w:r>
    </w:p>
    <w:p w14:paraId="18379ACC" w14:textId="556A13BC" w:rsidR="00544542" w:rsidRPr="00CD7700" w:rsidRDefault="00544542" w:rsidP="00CD7700">
      <w:pPr>
        <w:pStyle w:val="PolicyBodyIndent"/>
        <w:shd w:val="clear" w:color="000000" w:fill="auto"/>
        <w:ind w:left="0"/>
      </w:pPr>
      <w:r w:rsidRPr="00CD7700">
        <w:t xml:space="preserve">Every member of the Board shall attend or </w:t>
      </w:r>
      <w:proofErr w:type="gramStart"/>
      <w:r w:rsidRPr="00CD7700">
        <w:t>view</w:t>
      </w:r>
      <w:proofErr w:type="gramEnd"/>
      <w:r w:rsidRPr="00CD7700">
        <w:t xml:space="preserve"> a </w:t>
      </w:r>
      <w:proofErr w:type="gramStart"/>
      <w:r w:rsidRPr="00CD7700">
        <w:t>training</w:t>
      </w:r>
      <w:proofErr w:type="gramEnd"/>
      <w:r w:rsidRPr="00CD7700">
        <w:t xml:space="preserve"> on public meetings law prepared or approved by the Oregon Government Ethics Commission (OGEC) at least once during the Board member</w:t>
      </w:r>
      <w:r w:rsidR="00586441">
        <w:t>’</w:t>
      </w:r>
      <w:r w:rsidRPr="00CD7700">
        <w:t>s term of office and shall verify attendance in accordance with OGEC procedures.</w:t>
      </w:r>
      <w:bookmarkEnd w:id="8"/>
    </w:p>
    <w:p w14:paraId="68FC1307" w14:textId="70646C68" w:rsidR="000C002A" w:rsidRDefault="0017184E" w:rsidP="000C002A">
      <w:pPr>
        <w:pStyle w:val="PolicyBodyText"/>
        <w:shd w:val="clear" w:color="000000" w:fill="auto"/>
      </w:pPr>
      <w:r w:rsidRPr="00CD7700">
        <w:t>END OF POLICY</w:t>
      </w:r>
    </w:p>
    <w:p w14:paraId="29D17C16" w14:textId="77777777" w:rsidR="000C002A" w:rsidRDefault="000C002A" w:rsidP="000C002A">
      <w:pPr>
        <w:pStyle w:val="PolicyLine"/>
      </w:pPr>
    </w:p>
    <w:p w14:paraId="087F44C6" w14:textId="77777777" w:rsidR="00586441" w:rsidRDefault="00586441">
      <w:pPr>
        <w:suppressAutoHyphens w:val="0"/>
        <w:spacing w:after="160" w:line="259" w:lineRule="auto"/>
        <w:rPr>
          <w:rFonts w:ascii="Times New Roman Bold" w:hAnsi="Times New Roman Bold"/>
          <w:b/>
          <w:sz w:val="20"/>
        </w:rPr>
      </w:pPr>
      <w:r>
        <w:br w:type="page"/>
      </w:r>
    </w:p>
    <w:p w14:paraId="163FD35A" w14:textId="029425EA" w:rsidR="000C002A" w:rsidRPr="008F63F3" w:rsidRDefault="000C002A" w:rsidP="000C002A">
      <w:pPr>
        <w:pStyle w:val="PolicyReferencesHeading"/>
      </w:pPr>
      <w:r w:rsidRPr="008F63F3">
        <w:lastRenderedPageBreak/>
        <w:t>Legal Reference(s):</w:t>
      </w:r>
    </w:p>
    <w:p w14:paraId="299BCE2E" w14:textId="77777777" w:rsidR="000C002A" w:rsidRPr="008F63F3" w:rsidRDefault="000C002A" w:rsidP="000C002A">
      <w:pPr>
        <w:pStyle w:val="PolicyReferences"/>
      </w:pPr>
    </w:p>
    <w:p w14:paraId="27EA6FF9" w14:textId="77777777" w:rsidR="000C002A" w:rsidRPr="008F63F3" w:rsidRDefault="000C002A" w:rsidP="000C002A">
      <w:pPr>
        <w:pStyle w:val="PolicyReferences"/>
        <w:sectPr w:rsidR="000C002A" w:rsidRPr="008F63F3" w:rsidSect="0017184E">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bookmarkStart w:id="9" w:name="Laws"/>
      <w:bookmarkStart w:id="10" w:name="ORS"/>
      <w:bookmarkEnd w:id="9"/>
      <w:bookmarkEnd w:id="10"/>
    </w:p>
    <w:p w14:paraId="43DE578B" w14:textId="77777777" w:rsidR="000C002A" w:rsidRPr="008F63F3" w:rsidRDefault="000C002A" w:rsidP="000C002A">
      <w:pPr>
        <w:pStyle w:val="PolicyReferences"/>
      </w:pPr>
      <w:hyperlink r:id="rId14" w:history="1">
        <w:r w:rsidRPr="008F63F3">
          <w:rPr>
            <w:rStyle w:val="Hyperlink"/>
          </w:rPr>
          <w:t>ORS Chapter 192</w:t>
        </w:r>
      </w:hyperlink>
    </w:p>
    <w:p w14:paraId="43D13721" w14:textId="77777777" w:rsidR="000C002A" w:rsidRPr="008F63F3" w:rsidRDefault="000C002A" w:rsidP="000C002A">
      <w:pPr>
        <w:pStyle w:val="PolicyReferences"/>
        <w:tabs>
          <w:tab w:val="left" w:pos="2078"/>
        </w:tabs>
      </w:pPr>
    </w:p>
    <w:p w14:paraId="4C3CB957" w14:textId="77777777" w:rsidR="000C002A" w:rsidRPr="008F63F3" w:rsidRDefault="000C002A" w:rsidP="000C002A">
      <w:pPr>
        <w:pStyle w:val="PolicyReferences"/>
      </w:pPr>
      <w:hyperlink r:id="rId15" w:history="1">
        <w:r w:rsidRPr="008F63F3">
          <w:rPr>
            <w:rStyle w:val="Hyperlink"/>
          </w:rPr>
          <w:t>ORS 338</w:t>
        </w:r>
      </w:hyperlink>
      <w:r w:rsidRPr="008F63F3">
        <w:t>.115(2)</w:t>
      </w:r>
    </w:p>
    <w:p w14:paraId="67D66ADD" w14:textId="77777777" w:rsidR="000C002A" w:rsidRPr="008F63F3" w:rsidRDefault="000C002A" w:rsidP="000C002A">
      <w:pPr>
        <w:pStyle w:val="PolicyReferences"/>
        <w:sectPr w:rsidR="000C002A" w:rsidRPr="008F63F3" w:rsidSect="000C002A">
          <w:type w:val="continuous"/>
          <w:pgSz w:w="12240" w:h="15840"/>
          <w:pgMar w:top="936" w:right="720" w:bottom="720" w:left="1224" w:header="432" w:footer="720" w:gutter="0"/>
          <w:cols w:num="3" w:space="360"/>
          <w:noEndnote/>
          <w:docGrid w:linePitch="326"/>
        </w:sectPr>
      </w:pPr>
      <w:hyperlink r:id="rId16" w:history="1">
        <w:r w:rsidRPr="008F63F3">
          <w:rPr>
            <w:rStyle w:val="Hyperlink"/>
          </w:rPr>
          <w:t>ORS 433</w:t>
        </w:r>
      </w:hyperlink>
      <w:r w:rsidRPr="008F63F3">
        <w:t>.835 - 433.875</w:t>
      </w:r>
    </w:p>
    <w:p w14:paraId="0300B903" w14:textId="431C18A6" w:rsidR="000C002A" w:rsidRPr="008F63F3" w:rsidRDefault="000C002A" w:rsidP="000C002A">
      <w:pPr>
        <w:pStyle w:val="PolicyReferences"/>
      </w:pPr>
    </w:p>
    <w:p w14:paraId="4DC6593E" w14:textId="77777777" w:rsidR="000C002A" w:rsidRPr="008F63F3" w:rsidRDefault="000C002A" w:rsidP="000C002A">
      <w:pPr>
        <w:pStyle w:val="PolicyReferences"/>
      </w:pPr>
      <w:r w:rsidRPr="008F63F3">
        <w:t>Americans with Disabilities Act of 1990, 42 U.S.C. §§ 12101-12213 (2018); 29 C.F.R. Part 1630 (2020); 28 C.F.R. Part 35 (2020).</w:t>
      </w:r>
    </w:p>
    <w:p w14:paraId="4D5A7F5C" w14:textId="77777777" w:rsidR="000C002A" w:rsidRPr="008F63F3" w:rsidRDefault="000C002A" w:rsidP="000C002A">
      <w:pPr>
        <w:pStyle w:val="PolicyReferences"/>
      </w:pPr>
      <w:r w:rsidRPr="008F63F3">
        <w:t>Americans with Disabilities Act Amendments Act of 2008</w:t>
      </w:r>
      <w:bookmarkStart w:id="11" w:name="_Hlk79057452"/>
      <w:r w:rsidRPr="008F63F3">
        <w:t>, 42 U.S.C. §§ 12101-12133 (2018)</w:t>
      </w:r>
      <w:bookmarkEnd w:id="11"/>
      <w:r w:rsidRPr="008F63F3">
        <w:t>.</w:t>
      </w:r>
    </w:p>
    <w:p w14:paraId="23D4C31E" w14:textId="77777777" w:rsidR="000C002A" w:rsidRPr="008F63F3" w:rsidRDefault="000C002A" w:rsidP="000C002A">
      <w:pPr>
        <w:pStyle w:val="PolicyReferences"/>
      </w:pPr>
      <w:r w:rsidRPr="008F63F3">
        <w:rPr>
          <w:smallCaps/>
        </w:rPr>
        <w:t>Or. Atty. Gen.</w:t>
      </w:r>
      <w:r w:rsidRPr="008F63F3">
        <w:t xml:space="preserve"> Public Records and Meetings Manual.</w:t>
      </w:r>
      <w:bookmarkStart w:id="12" w:name="LawsEnd"/>
      <w:bookmarkEnd w:id="12"/>
    </w:p>
    <w:p w14:paraId="3D0BFFE1" w14:textId="77777777" w:rsidR="008F63F3" w:rsidRPr="008F63F3" w:rsidRDefault="008F63F3" w:rsidP="000C002A">
      <w:pPr>
        <w:pStyle w:val="PolicyReferences"/>
      </w:pPr>
    </w:p>
    <w:p w14:paraId="6EBDA962" w14:textId="77777777" w:rsidR="008F63F3" w:rsidRPr="008F63F3" w:rsidRDefault="008F63F3" w:rsidP="000C002A">
      <w:pPr>
        <w:pStyle w:val="PolicyReferences"/>
      </w:pPr>
    </w:p>
    <w:p w14:paraId="1F7B793E" w14:textId="62C22F44" w:rsidR="008F63F3" w:rsidRPr="008F63F3" w:rsidRDefault="008F63F3" w:rsidP="008F63F3">
      <w:pPr>
        <w:pStyle w:val="PolicyReferences"/>
        <w:rPr>
          <w:b/>
        </w:rPr>
      </w:pPr>
      <w:bookmarkStart w:id="13" w:name="XREFS"/>
      <w:bookmarkEnd w:id="13"/>
      <w:r w:rsidRPr="008F63F3">
        <w:rPr>
          <w:b/>
        </w:rPr>
        <w:t>Cross Reference(s):</w:t>
      </w:r>
    </w:p>
    <w:p w14:paraId="56EF661D" w14:textId="77777777" w:rsidR="008F63F3" w:rsidRPr="008F63F3" w:rsidRDefault="008F63F3" w:rsidP="008F63F3">
      <w:pPr>
        <w:pStyle w:val="PolicyReferences"/>
      </w:pPr>
    </w:p>
    <w:p w14:paraId="1ABD5583" w14:textId="6C863E01" w:rsidR="008F63F3" w:rsidRPr="008F63F3" w:rsidRDefault="008F63F3" w:rsidP="008F63F3">
      <w:pPr>
        <w:pStyle w:val="PolicyReferences"/>
      </w:pPr>
      <w:r w:rsidRPr="008F63F3">
        <w:t>ACA - Americans with Disabilities Act</w:t>
      </w:r>
    </w:p>
    <w:p w14:paraId="75F665A1" w14:textId="08A5C781" w:rsidR="008F63F3" w:rsidRPr="008F63F3" w:rsidRDefault="008F63F3" w:rsidP="008F63F3">
      <w:pPr>
        <w:pStyle w:val="PolicyReferences"/>
      </w:pPr>
      <w:r w:rsidRPr="008F63F3">
        <w:t>BDC - Executive Sessions</w:t>
      </w:r>
    </w:p>
    <w:sectPr w:rsidR="008F63F3" w:rsidRPr="008F63F3" w:rsidSect="0017184E">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CE9DD" w14:textId="77777777" w:rsidR="0017184E" w:rsidRDefault="0017184E" w:rsidP="00FC3907">
      <w:r>
        <w:separator/>
      </w:r>
    </w:p>
  </w:endnote>
  <w:endnote w:type="continuationSeparator" w:id="0">
    <w:p w14:paraId="5F6792B2" w14:textId="77777777" w:rsidR="0017184E" w:rsidRDefault="0017184E"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3BAF6" w14:textId="77777777" w:rsidR="000C002A" w:rsidRDefault="000C00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C002A" w:rsidRPr="00CD7700" w14:paraId="35787AEE" w14:textId="77777777" w:rsidTr="004616AD">
      <w:tc>
        <w:tcPr>
          <w:tcW w:w="2340" w:type="dxa"/>
        </w:tcPr>
        <w:p w14:paraId="7F80BF21" w14:textId="05290211" w:rsidR="000C002A" w:rsidRPr="00CD7700" w:rsidRDefault="000C002A" w:rsidP="00865E9F">
          <w:pPr>
            <w:pStyle w:val="Footer"/>
            <w:rPr>
              <w:noProof/>
              <w:sz w:val="20"/>
            </w:rPr>
          </w:pPr>
        </w:p>
      </w:tc>
      <w:tc>
        <w:tcPr>
          <w:tcW w:w="7956" w:type="dxa"/>
        </w:tcPr>
        <w:p w14:paraId="37C84872" w14:textId="77777777" w:rsidR="000C002A" w:rsidRDefault="000C002A" w:rsidP="004616AD">
          <w:pPr>
            <w:pStyle w:val="Footer"/>
            <w:jc w:val="right"/>
          </w:pPr>
          <w:r>
            <w:t>Board Meetings – BD/BDA</w:t>
          </w:r>
        </w:p>
        <w:p w14:paraId="42CC5F80" w14:textId="27CE7E19" w:rsidR="000C002A" w:rsidRPr="00CD7700" w:rsidRDefault="000C002A" w:rsidP="004616AD">
          <w:pPr>
            <w:pStyle w:val="Footer"/>
            <w:jc w:val="right"/>
            <w:rPr>
              <w:sz w:val="20"/>
            </w:rPr>
          </w:pPr>
          <w:r w:rsidRPr="00CD7700">
            <w:rPr>
              <w:bCs/>
              <w:noProof/>
            </w:rPr>
            <w:fldChar w:fldCharType="begin"/>
          </w:r>
          <w:r w:rsidRPr="00CD7700">
            <w:rPr>
              <w:bCs/>
              <w:noProof/>
            </w:rPr>
            <w:instrText xml:space="preserve"> PAGE  \* Arabic  \* MERGEFORMAT </w:instrText>
          </w:r>
          <w:r w:rsidRPr="00CD7700">
            <w:rPr>
              <w:bCs/>
              <w:noProof/>
            </w:rPr>
            <w:fldChar w:fldCharType="separate"/>
          </w:r>
          <w:r w:rsidRPr="00CD7700">
            <w:rPr>
              <w:bCs/>
              <w:noProof/>
            </w:rPr>
            <w:t>2</w:t>
          </w:r>
          <w:r w:rsidRPr="00CD7700">
            <w:rPr>
              <w:bCs/>
              <w:noProof/>
            </w:rPr>
            <w:fldChar w:fldCharType="end"/>
          </w:r>
          <w:r w:rsidRPr="00CD7700">
            <w:rPr>
              <w:noProof/>
            </w:rPr>
            <w:t>-</w:t>
          </w:r>
          <w:r w:rsidRPr="00CD7700">
            <w:rPr>
              <w:bCs/>
              <w:noProof/>
            </w:rPr>
            <w:fldChar w:fldCharType="begin"/>
          </w:r>
          <w:r w:rsidRPr="00CD7700">
            <w:rPr>
              <w:bCs/>
              <w:noProof/>
            </w:rPr>
            <w:instrText xml:space="preserve"> NUMPAGES  \* Arabic  \* MERGEFORMAT </w:instrText>
          </w:r>
          <w:r w:rsidRPr="00CD7700">
            <w:rPr>
              <w:bCs/>
              <w:noProof/>
            </w:rPr>
            <w:fldChar w:fldCharType="separate"/>
          </w:r>
          <w:r w:rsidRPr="00CD7700">
            <w:rPr>
              <w:bCs/>
              <w:noProof/>
            </w:rPr>
            <w:t>4</w:t>
          </w:r>
          <w:r w:rsidRPr="00CD7700">
            <w:rPr>
              <w:bCs/>
              <w:noProof/>
            </w:rPr>
            <w:fldChar w:fldCharType="end"/>
          </w:r>
        </w:p>
      </w:tc>
    </w:tr>
  </w:tbl>
  <w:p w14:paraId="6A10D699" w14:textId="77777777" w:rsidR="000C002A" w:rsidRPr="00CD7700" w:rsidRDefault="000C002A"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F9C0A" w14:textId="77777777" w:rsidR="000C002A" w:rsidRDefault="000C00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3C5A6" w14:textId="77777777" w:rsidR="0017184E" w:rsidRDefault="0017184E" w:rsidP="00FC3907">
      <w:r>
        <w:separator/>
      </w:r>
    </w:p>
  </w:footnote>
  <w:footnote w:type="continuationSeparator" w:id="0">
    <w:p w14:paraId="6BAF5173" w14:textId="77777777" w:rsidR="0017184E" w:rsidRDefault="0017184E" w:rsidP="00FC3907">
      <w:r>
        <w:continuationSeparator/>
      </w:r>
    </w:p>
  </w:footnote>
  <w:footnote w:id="1">
    <w:p w14:paraId="4A8D22B0" w14:textId="10C69EB0" w:rsidR="002C5A81" w:rsidRPr="00DC78B6" w:rsidRDefault="002C5A81" w:rsidP="002C5A81">
      <w:pPr>
        <w:pStyle w:val="FootnoteText"/>
        <w:rPr>
          <w:highlight w:val="lightGray"/>
        </w:rPr>
      </w:pPr>
      <w:r w:rsidRPr="00CD7700">
        <w:rPr>
          <w:rStyle w:val="FootnoteReference"/>
        </w:rPr>
        <w:footnoteRef/>
      </w:r>
      <w:r w:rsidRPr="00CD7700">
        <w:t xml:space="preserve"> </w:t>
      </w:r>
      <w:r w:rsidR="00586441">
        <w:t>“</w:t>
      </w:r>
      <w:r w:rsidRPr="00CD7700">
        <w:t>Convening</w:t>
      </w:r>
      <w:r w:rsidR="00586441">
        <w:t>”</w:t>
      </w:r>
      <w:r w:rsidRPr="00CD7700">
        <w:t xml:space="preserve"> means: (a) Gathering in a physical location; (b) Using electronic, video or telephonic technology to be able to communicate contemporaneously among participants; (c) Using serial electronic written communications among participants; or (d) Using an intermediary to communicate among participants.</w:t>
      </w:r>
    </w:p>
  </w:footnote>
  <w:footnote w:id="2">
    <w:p w14:paraId="646F57CF" w14:textId="609AF483" w:rsidR="002C5A81" w:rsidRPr="00DC78B6" w:rsidRDefault="002C5A81" w:rsidP="002C5A81">
      <w:pPr>
        <w:pStyle w:val="FootnoteText"/>
        <w:rPr>
          <w:highlight w:val="lightGray"/>
        </w:rPr>
      </w:pPr>
      <w:r w:rsidRPr="00CD7700">
        <w:rPr>
          <w:rStyle w:val="FootnoteReference"/>
        </w:rPr>
        <w:footnoteRef/>
      </w:r>
      <w:r w:rsidRPr="00CD7700">
        <w:t xml:space="preserve"> </w:t>
      </w:r>
      <w:r w:rsidR="00586441">
        <w:t>“</w:t>
      </w:r>
      <w:r w:rsidRPr="00CD7700">
        <w:t>Decision</w:t>
      </w:r>
      <w:r w:rsidR="00586441">
        <w:t>”</w:t>
      </w:r>
      <w:r w:rsidRPr="00CD7700">
        <w:t xml:space="preserve"> means any determination, action, vote or final disposition upon a motion, proposal, resolution, order, ordinance or measure on which a vote of a governing body is required, at any meeting at which a quorum is present.</w:t>
      </w:r>
    </w:p>
  </w:footnote>
  <w:footnote w:id="3">
    <w:p w14:paraId="7B49CC97" w14:textId="4F99D6A1" w:rsidR="002C5A81" w:rsidRPr="00DC78B6" w:rsidRDefault="002C5A81" w:rsidP="002C5A81">
      <w:pPr>
        <w:pStyle w:val="FootnoteText"/>
        <w:rPr>
          <w:highlight w:val="lightGray"/>
        </w:rPr>
      </w:pPr>
      <w:r w:rsidRPr="00CD7700">
        <w:rPr>
          <w:rStyle w:val="FootnoteReference"/>
        </w:rPr>
        <w:footnoteRef/>
      </w:r>
      <w:r w:rsidRPr="00CD7700">
        <w:t xml:space="preserve"> </w:t>
      </w:r>
      <w:r w:rsidR="00586441">
        <w:t>“</w:t>
      </w:r>
      <w:r w:rsidRPr="00CD7700">
        <w:t>Deliberation</w:t>
      </w:r>
      <w:r w:rsidR="00586441">
        <w:t>”</w:t>
      </w:r>
      <w:r w:rsidRPr="00CD7700">
        <w:t xml:space="preserve"> means discussion or communication that is part of a decision-making process.</w:t>
      </w:r>
    </w:p>
  </w:footnote>
  <w:footnote w:id="4">
    <w:p w14:paraId="0512F69B" w14:textId="10F8DBED" w:rsidR="00903025" w:rsidRDefault="00903025" w:rsidP="00903025">
      <w:pPr>
        <w:pStyle w:val="FootnoteText"/>
        <w:rPr>
          <w:highlight w:val="darkGray"/>
        </w:rPr>
      </w:pPr>
      <w:r>
        <w:rPr>
          <w:rStyle w:val="FootnoteReference"/>
        </w:rPr>
        <w:footnoteRef/>
      </w:r>
      <w:r>
        <w:t xml:space="preserve"> When telephone or other electronic means of communication is used during a meeting open to the public, the Board shall make at least one place available to the public where, or at least one electronic means by which, the public can listen during the meeting. At all meetings of the Board open to the public, the public will be provided an opportunity, to the extent reasonably possible, to access and attend the meeting by telephone, video or other electronic or virtual means. If in-person oral testimony (or public comment) is allowed, the public will be provided, to the extent reasonably possible, an opportunity to submit oral testimony during the meeting, by telephone, video or other electronic or other means. </w:t>
      </w:r>
      <w:bookmarkStart w:id="3" w:name="_Hlk79062970"/>
      <w:r>
        <w:t>If in-person written testimony is allowed, the public will be provided, to the extent reasonably possible, an opportunity to submit written testimony including by email or other electronic means, so that the Board is able to consider the submitted testimony in a timely manner.</w:t>
      </w:r>
      <w:bookmarkEnd w:id="3"/>
    </w:p>
  </w:footnote>
  <w:footnote w:id="5">
    <w:p w14:paraId="68EBAD63" w14:textId="77777777" w:rsidR="00A24E1B" w:rsidRDefault="00A24E1B" w:rsidP="00A24E1B">
      <w:pPr>
        <w:pStyle w:val="FootnoteText"/>
      </w:pPr>
      <w:r>
        <w:rPr>
          <w:rStyle w:val="FootnoteReference"/>
        </w:rPr>
        <w:footnoteRef/>
      </w:r>
      <w:r>
        <w:t xml:space="preserve"> </w:t>
      </w:r>
      <w:r w:rsidRPr="00CD7700">
        <w:t xml:space="preserve">ORS 192.630(4). Meetings of the governing body of a public body shall be held within the geographic boundaries over which the public body has jurisdiction, or at the administrative headquarters of the public body or at the other nearest practical location. Training sessions may be held outside the jurisdiction </w:t>
      </w:r>
      <w:proofErr w:type="gramStart"/>
      <w:r w:rsidRPr="00CD7700">
        <w:t>as long as</w:t>
      </w:r>
      <w:proofErr w:type="gramEnd"/>
      <w:r w:rsidRPr="00CD7700">
        <w:t xml:space="preserve"> no deliberations toward a decision are involved.</w:t>
      </w:r>
    </w:p>
  </w:footnote>
  <w:footnote w:id="6">
    <w:p w14:paraId="6DF6680F" w14:textId="157E0D57" w:rsidR="000E1996" w:rsidRPr="000E1996" w:rsidRDefault="000E1996" w:rsidP="000E1996">
      <w:pPr>
        <w:pStyle w:val="FootnoteText"/>
        <w:rPr>
          <w:highlight w:val="lightGray"/>
        </w:rPr>
      </w:pPr>
      <w:r w:rsidRPr="00CD7700">
        <w:rPr>
          <w:rStyle w:val="FootnoteReference"/>
        </w:rPr>
        <w:footnoteRef/>
      </w:r>
      <w:r w:rsidRPr="00CD7700">
        <w:t xml:space="preserve"> </w:t>
      </w:r>
      <w:r w:rsidR="00E0357D">
        <w:t xml:space="preserve">ORS 192.705 </w:t>
      </w:r>
      <w:r w:rsidRPr="00CD7700">
        <w:t xml:space="preserve">(2) </w:t>
      </w:r>
      <w:r w:rsidR="00D30157">
        <w:t>to find</w:t>
      </w:r>
      <w:r w:rsidRPr="00CD7700">
        <w:t xml:space="preserve"> requirements </w:t>
      </w:r>
      <w:r w:rsidR="00D30157">
        <w:t xml:space="preserve">for </w:t>
      </w:r>
      <w:r w:rsidRPr="00CD7700">
        <w:t>the response.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E0F72" w14:textId="77777777" w:rsidR="000C002A" w:rsidRPr="00586441" w:rsidRDefault="000C00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D4A64" w14:textId="77777777" w:rsidR="000C002A" w:rsidRPr="00CD7700" w:rsidRDefault="000C00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04FE5" w14:textId="77777777" w:rsidR="000C002A" w:rsidRDefault="000C00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016152806">
    <w:abstractNumId w:val="7"/>
  </w:num>
  <w:num w:numId="2" w16cid:durableId="828904059">
    <w:abstractNumId w:val="4"/>
  </w:num>
  <w:num w:numId="3" w16cid:durableId="2086754998">
    <w:abstractNumId w:val="4"/>
  </w:num>
  <w:num w:numId="4" w16cid:durableId="1696879194">
    <w:abstractNumId w:val="3"/>
  </w:num>
  <w:num w:numId="5" w16cid:durableId="1913588888">
    <w:abstractNumId w:val="3"/>
  </w:num>
  <w:num w:numId="6" w16cid:durableId="437025446">
    <w:abstractNumId w:val="2"/>
  </w:num>
  <w:num w:numId="7" w16cid:durableId="335421606">
    <w:abstractNumId w:val="2"/>
  </w:num>
  <w:num w:numId="8" w16cid:durableId="1967665046">
    <w:abstractNumId w:val="1"/>
  </w:num>
  <w:num w:numId="9" w16cid:durableId="1757704876">
    <w:abstractNumId w:val="1"/>
  </w:num>
  <w:num w:numId="10" w16cid:durableId="2127430171">
    <w:abstractNumId w:val="0"/>
  </w:num>
  <w:num w:numId="11" w16cid:durableId="75976678">
    <w:abstractNumId w:val="0"/>
  </w:num>
  <w:num w:numId="12" w16cid:durableId="1265771657">
    <w:abstractNumId w:val="6"/>
  </w:num>
  <w:num w:numId="13" w16cid:durableId="1521428858">
    <w:abstractNumId w:val="9"/>
  </w:num>
  <w:num w:numId="14" w16cid:durableId="386074137">
    <w:abstractNumId w:val="8"/>
  </w:num>
  <w:num w:numId="15" w16cid:durableId="15701119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901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3934"/>
    <w:rsid w:val="000376CE"/>
    <w:rsid w:val="000511CD"/>
    <w:rsid w:val="00052BE8"/>
    <w:rsid w:val="000577C7"/>
    <w:rsid w:val="000617BB"/>
    <w:rsid w:val="00065FE7"/>
    <w:rsid w:val="0007087A"/>
    <w:rsid w:val="00074380"/>
    <w:rsid w:val="00083481"/>
    <w:rsid w:val="00084A96"/>
    <w:rsid w:val="00093AF4"/>
    <w:rsid w:val="00093EC6"/>
    <w:rsid w:val="00095F9B"/>
    <w:rsid w:val="00096B9C"/>
    <w:rsid w:val="000A132A"/>
    <w:rsid w:val="000A2FE8"/>
    <w:rsid w:val="000A6A9E"/>
    <w:rsid w:val="000B092A"/>
    <w:rsid w:val="000B1704"/>
    <w:rsid w:val="000B75D8"/>
    <w:rsid w:val="000C002A"/>
    <w:rsid w:val="000D522B"/>
    <w:rsid w:val="000E1996"/>
    <w:rsid w:val="000E564F"/>
    <w:rsid w:val="000F261A"/>
    <w:rsid w:val="000F30CA"/>
    <w:rsid w:val="000F710F"/>
    <w:rsid w:val="000F7910"/>
    <w:rsid w:val="00123136"/>
    <w:rsid w:val="00125E1F"/>
    <w:rsid w:val="00137065"/>
    <w:rsid w:val="001479B1"/>
    <w:rsid w:val="00151EC6"/>
    <w:rsid w:val="0015297F"/>
    <w:rsid w:val="00156EA7"/>
    <w:rsid w:val="0017184E"/>
    <w:rsid w:val="00176981"/>
    <w:rsid w:val="0018025F"/>
    <w:rsid w:val="00196ECD"/>
    <w:rsid w:val="001C1D43"/>
    <w:rsid w:val="001C3978"/>
    <w:rsid w:val="001C5C15"/>
    <w:rsid w:val="001D4E4E"/>
    <w:rsid w:val="001E1260"/>
    <w:rsid w:val="001E7AE7"/>
    <w:rsid w:val="001F4D2D"/>
    <w:rsid w:val="002010F3"/>
    <w:rsid w:val="00212381"/>
    <w:rsid w:val="0021369D"/>
    <w:rsid w:val="00217190"/>
    <w:rsid w:val="00224022"/>
    <w:rsid w:val="002345DA"/>
    <w:rsid w:val="00241587"/>
    <w:rsid w:val="00246025"/>
    <w:rsid w:val="0028031C"/>
    <w:rsid w:val="00280B93"/>
    <w:rsid w:val="002821D2"/>
    <w:rsid w:val="002833F1"/>
    <w:rsid w:val="00284A5E"/>
    <w:rsid w:val="00286D2D"/>
    <w:rsid w:val="00293E36"/>
    <w:rsid w:val="002A7657"/>
    <w:rsid w:val="002C5A81"/>
    <w:rsid w:val="002C77C7"/>
    <w:rsid w:val="002E771E"/>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3AEE"/>
    <w:rsid w:val="00385E10"/>
    <w:rsid w:val="003915B0"/>
    <w:rsid w:val="003B3329"/>
    <w:rsid w:val="003B7E82"/>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B4E65"/>
    <w:rsid w:val="004C1EE4"/>
    <w:rsid w:val="004C2F7D"/>
    <w:rsid w:val="004E3582"/>
    <w:rsid w:val="004F53EB"/>
    <w:rsid w:val="00510BA0"/>
    <w:rsid w:val="005130E3"/>
    <w:rsid w:val="0051750D"/>
    <w:rsid w:val="00524F11"/>
    <w:rsid w:val="005342BD"/>
    <w:rsid w:val="00536354"/>
    <w:rsid w:val="00543474"/>
    <w:rsid w:val="00544542"/>
    <w:rsid w:val="00557E6B"/>
    <w:rsid w:val="005670FC"/>
    <w:rsid w:val="0057221A"/>
    <w:rsid w:val="00573A5C"/>
    <w:rsid w:val="0058083F"/>
    <w:rsid w:val="00586441"/>
    <w:rsid w:val="00596994"/>
    <w:rsid w:val="005A0A48"/>
    <w:rsid w:val="005A4EEB"/>
    <w:rsid w:val="005A6BFA"/>
    <w:rsid w:val="005B5E10"/>
    <w:rsid w:val="005B704E"/>
    <w:rsid w:val="005C1564"/>
    <w:rsid w:val="005E06B3"/>
    <w:rsid w:val="005E3F0A"/>
    <w:rsid w:val="005F3316"/>
    <w:rsid w:val="005F4715"/>
    <w:rsid w:val="0060463A"/>
    <w:rsid w:val="00611AD8"/>
    <w:rsid w:val="0061672C"/>
    <w:rsid w:val="00620A00"/>
    <w:rsid w:val="00621D2B"/>
    <w:rsid w:val="0062603D"/>
    <w:rsid w:val="00626A1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409"/>
    <w:rsid w:val="00700E92"/>
    <w:rsid w:val="00702159"/>
    <w:rsid w:val="0070551E"/>
    <w:rsid w:val="0073390E"/>
    <w:rsid w:val="00734CF6"/>
    <w:rsid w:val="00737933"/>
    <w:rsid w:val="007405D2"/>
    <w:rsid w:val="00740C4F"/>
    <w:rsid w:val="007443E2"/>
    <w:rsid w:val="0074450A"/>
    <w:rsid w:val="007519A6"/>
    <w:rsid w:val="00752B2D"/>
    <w:rsid w:val="00754B98"/>
    <w:rsid w:val="00761BBA"/>
    <w:rsid w:val="00763A99"/>
    <w:rsid w:val="00773496"/>
    <w:rsid w:val="00782930"/>
    <w:rsid w:val="00784DE2"/>
    <w:rsid w:val="007A0E9B"/>
    <w:rsid w:val="007A3694"/>
    <w:rsid w:val="007A7F92"/>
    <w:rsid w:val="007B228A"/>
    <w:rsid w:val="007B384B"/>
    <w:rsid w:val="007C55DA"/>
    <w:rsid w:val="007D02D3"/>
    <w:rsid w:val="007D528E"/>
    <w:rsid w:val="007E3300"/>
    <w:rsid w:val="007E4701"/>
    <w:rsid w:val="007E60C0"/>
    <w:rsid w:val="007F0455"/>
    <w:rsid w:val="008073B2"/>
    <w:rsid w:val="008152CF"/>
    <w:rsid w:val="00824B84"/>
    <w:rsid w:val="00830ED8"/>
    <w:rsid w:val="00835AD6"/>
    <w:rsid w:val="0083706D"/>
    <w:rsid w:val="00844CD8"/>
    <w:rsid w:val="00850A44"/>
    <w:rsid w:val="0085106A"/>
    <w:rsid w:val="008526C6"/>
    <w:rsid w:val="00865E9F"/>
    <w:rsid w:val="00870BED"/>
    <w:rsid w:val="00882C0D"/>
    <w:rsid w:val="008833CA"/>
    <w:rsid w:val="00890313"/>
    <w:rsid w:val="008A156E"/>
    <w:rsid w:val="008A2D8F"/>
    <w:rsid w:val="008A3BAF"/>
    <w:rsid w:val="008B0925"/>
    <w:rsid w:val="008B6FAC"/>
    <w:rsid w:val="008B730B"/>
    <w:rsid w:val="008D663E"/>
    <w:rsid w:val="008E1CAE"/>
    <w:rsid w:val="008F4D57"/>
    <w:rsid w:val="008F63F3"/>
    <w:rsid w:val="00903025"/>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4E1B"/>
    <w:rsid w:val="00A268EF"/>
    <w:rsid w:val="00A312B5"/>
    <w:rsid w:val="00A448DC"/>
    <w:rsid w:val="00A60389"/>
    <w:rsid w:val="00A61DAA"/>
    <w:rsid w:val="00A7204A"/>
    <w:rsid w:val="00A967F8"/>
    <w:rsid w:val="00AC3EDD"/>
    <w:rsid w:val="00AC5141"/>
    <w:rsid w:val="00AC5DAF"/>
    <w:rsid w:val="00AC6972"/>
    <w:rsid w:val="00AD4D56"/>
    <w:rsid w:val="00AD64DA"/>
    <w:rsid w:val="00AE1154"/>
    <w:rsid w:val="00AE4C3C"/>
    <w:rsid w:val="00AF3E4D"/>
    <w:rsid w:val="00AF6F27"/>
    <w:rsid w:val="00B01ACE"/>
    <w:rsid w:val="00B04433"/>
    <w:rsid w:val="00B239E5"/>
    <w:rsid w:val="00B24778"/>
    <w:rsid w:val="00B3442C"/>
    <w:rsid w:val="00B36427"/>
    <w:rsid w:val="00B3707C"/>
    <w:rsid w:val="00B40D58"/>
    <w:rsid w:val="00B4113F"/>
    <w:rsid w:val="00B44352"/>
    <w:rsid w:val="00B637AA"/>
    <w:rsid w:val="00B659D3"/>
    <w:rsid w:val="00B70CD3"/>
    <w:rsid w:val="00B76A55"/>
    <w:rsid w:val="00B93330"/>
    <w:rsid w:val="00B94A90"/>
    <w:rsid w:val="00BA02CC"/>
    <w:rsid w:val="00BA54B2"/>
    <w:rsid w:val="00BB2371"/>
    <w:rsid w:val="00BC3C3E"/>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9368E"/>
    <w:rsid w:val="00CB18D4"/>
    <w:rsid w:val="00CB5D00"/>
    <w:rsid w:val="00CC11B1"/>
    <w:rsid w:val="00CC2690"/>
    <w:rsid w:val="00CC7D46"/>
    <w:rsid w:val="00CD7700"/>
    <w:rsid w:val="00CE3549"/>
    <w:rsid w:val="00CE482D"/>
    <w:rsid w:val="00CF6EF5"/>
    <w:rsid w:val="00D01C38"/>
    <w:rsid w:val="00D07014"/>
    <w:rsid w:val="00D30157"/>
    <w:rsid w:val="00D33F63"/>
    <w:rsid w:val="00D37878"/>
    <w:rsid w:val="00D4493C"/>
    <w:rsid w:val="00D505D9"/>
    <w:rsid w:val="00D55ABF"/>
    <w:rsid w:val="00D65180"/>
    <w:rsid w:val="00D7233F"/>
    <w:rsid w:val="00D7490B"/>
    <w:rsid w:val="00D82C4F"/>
    <w:rsid w:val="00D85D37"/>
    <w:rsid w:val="00D87B51"/>
    <w:rsid w:val="00DB282F"/>
    <w:rsid w:val="00DC78B6"/>
    <w:rsid w:val="00DE0C18"/>
    <w:rsid w:val="00DF0AE6"/>
    <w:rsid w:val="00DF464B"/>
    <w:rsid w:val="00E009DD"/>
    <w:rsid w:val="00E0357D"/>
    <w:rsid w:val="00E07338"/>
    <w:rsid w:val="00E34F37"/>
    <w:rsid w:val="00E42FEB"/>
    <w:rsid w:val="00E56759"/>
    <w:rsid w:val="00E60543"/>
    <w:rsid w:val="00E67AB7"/>
    <w:rsid w:val="00E70BB8"/>
    <w:rsid w:val="00E71A63"/>
    <w:rsid w:val="00E720B7"/>
    <w:rsid w:val="00E727A4"/>
    <w:rsid w:val="00E81F69"/>
    <w:rsid w:val="00E85E3C"/>
    <w:rsid w:val="00E908E7"/>
    <w:rsid w:val="00E9130E"/>
    <w:rsid w:val="00E93602"/>
    <w:rsid w:val="00EA05AE"/>
    <w:rsid w:val="00EA3062"/>
    <w:rsid w:val="00EC519B"/>
    <w:rsid w:val="00EE49D0"/>
    <w:rsid w:val="00EF573E"/>
    <w:rsid w:val="00F0597D"/>
    <w:rsid w:val="00F166D4"/>
    <w:rsid w:val="00F16CA1"/>
    <w:rsid w:val="00F31FD6"/>
    <w:rsid w:val="00F45027"/>
    <w:rsid w:val="00F45D0D"/>
    <w:rsid w:val="00F47BA7"/>
    <w:rsid w:val="00F53699"/>
    <w:rsid w:val="00F54FA1"/>
    <w:rsid w:val="00F704CA"/>
    <w:rsid w:val="00F774CC"/>
    <w:rsid w:val="00F80E45"/>
    <w:rsid w:val="00F84D9D"/>
    <w:rsid w:val="00F91523"/>
    <w:rsid w:val="00F94BBC"/>
    <w:rsid w:val="00FA481C"/>
    <w:rsid w:val="00FB3011"/>
    <w:rsid w:val="00FB52F8"/>
    <w:rsid w:val="00FC3907"/>
    <w:rsid w:val="00FD60A2"/>
    <w:rsid w:val="00FE6535"/>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365C0F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7184E"/>
    <w:rPr>
      <w:color w:val="0000FF"/>
      <w:u w:val="single"/>
    </w:rPr>
  </w:style>
  <w:style w:type="character" w:styleId="Hyperlink">
    <w:name w:val="Hyperlink"/>
    <w:basedOn w:val="DefaultParagraphFont"/>
    <w:uiPriority w:val="99"/>
    <w:unhideWhenUsed/>
    <w:rsid w:val="00212381"/>
    <w:rPr>
      <w:color w:val="0563C1" w:themeColor="hyperlink"/>
      <w:u w:val="single"/>
    </w:rPr>
  </w:style>
  <w:style w:type="character" w:customStyle="1" w:styleId="UnresolvedMention1">
    <w:name w:val="Unresolved Mention1"/>
    <w:basedOn w:val="DefaultParagraphFont"/>
    <w:uiPriority w:val="99"/>
    <w:semiHidden/>
    <w:unhideWhenUsed/>
    <w:rsid w:val="002833F1"/>
    <w:rPr>
      <w:color w:val="605E5C"/>
      <w:shd w:val="clear" w:color="auto" w:fill="E1DFDD"/>
    </w:rPr>
  </w:style>
  <w:style w:type="paragraph" w:styleId="Revision">
    <w:name w:val="Revision"/>
    <w:hidden/>
    <w:uiPriority w:val="99"/>
    <w:semiHidden/>
    <w:rsid w:val="002C5A81"/>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7E60C0"/>
    <w:rPr>
      <w:sz w:val="16"/>
      <w:szCs w:val="16"/>
    </w:rPr>
  </w:style>
  <w:style w:type="paragraph" w:styleId="CommentText">
    <w:name w:val="annotation text"/>
    <w:basedOn w:val="Normal"/>
    <w:link w:val="CommentTextChar"/>
    <w:uiPriority w:val="99"/>
    <w:unhideWhenUsed/>
    <w:rsid w:val="007E60C0"/>
    <w:rPr>
      <w:sz w:val="20"/>
      <w:szCs w:val="20"/>
    </w:rPr>
  </w:style>
  <w:style w:type="character" w:customStyle="1" w:styleId="CommentTextChar">
    <w:name w:val="Comment Text Char"/>
    <w:basedOn w:val="DefaultParagraphFont"/>
    <w:link w:val="CommentText"/>
    <w:uiPriority w:val="99"/>
    <w:rsid w:val="007E60C0"/>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E60C0"/>
    <w:rPr>
      <w:b/>
      <w:bCs/>
    </w:rPr>
  </w:style>
  <w:style w:type="character" w:customStyle="1" w:styleId="CommentSubjectChar">
    <w:name w:val="Comment Subject Char"/>
    <w:basedOn w:val="CommentTextChar"/>
    <w:link w:val="CommentSubject"/>
    <w:uiPriority w:val="99"/>
    <w:semiHidden/>
    <w:rsid w:val="007E60C0"/>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92589">
      <w:bodyDiv w:val="1"/>
      <w:marLeft w:val="0"/>
      <w:marRight w:val="0"/>
      <w:marTop w:val="0"/>
      <w:marBottom w:val="0"/>
      <w:divBdr>
        <w:top w:val="none" w:sz="0" w:space="0" w:color="auto"/>
        <w:left w:val="none" w:sz="0" w:space="0" w:color="auto"/>
        <w:bottom w:val="none" w:sz="0" w:space="0" w:color="auto"/>
        <w:right w:val="none" w:sz="0" w:space="0" w:color="auto"/>
      </w:divBdr>
    </w:div>
    <w:div w:id="188489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licy.osba.org/orsredir.asp?ors=ors-4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F19-CFBC-45FE-978D-BE857E0BC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4</Pages>
  <Words>1145</Words>
  <Characters>6532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BD/BDA - Board Meetings</vt:lpstr>
    </vt:vector>
  </TitlesOfParts>
  <Company>OSBA</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BD/BDA - Board Meetings</dc:title>
  <dc:subject>Lourdes Public CS Board Policy</dc:subject>
  <dc:creator>Oregon School Boards Association</dc:creator>
  <cp:keywords/>
  <dc:description/>
  <cp:lastModifiedBy>Colleen Allen</cp:lastModifiedBy>
  <cp:revision>55</cp:revision>
  <dcterms:created xsi:type="dcterms:W3CDTF">2018-03-23T19:09:00Z</dcterms:created>
  <dcterms:modified xsi:type="dcterms:W3CDTF">2025-05-22T14:35:00Z</dcterms:modified>
</cp:coreProperties>
</file>