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3DE90C" w14:textId="77777777" w:rsidR="009C21A8" w:rsidRPr="00976D56" w:rsidRDefault="009C21A8" w:rsidP="001E1260">
      <w:pPr>
        <w:pStyle w:val="PolicyTitleBox"/>
      </w:pPr>
      <w:r>
        <w:t>Lourdes Public Charter School</w:t>
      </w:r>
    </w:p>
    <w:p w14:paraId="5A0B763E" w14:textId="77777777" w:rsidR="00CC7D46" w:rsidRPr="000D1152" w:rsidRDefault="00CC7D46" w:rsidP="000D1152">
      <w:pPr>
        <w:shd w:val="clear" w:color="000000" w:fill="auto"/>
      </w:pPr>
    </w:p>
    <w:p w14:paraId="04C40B6F" w14:textId="77777777" w:rsidR="001E1260" w:rsidRPr="000D1152" w:rsidRDefault="001E1260" w:rsidP="000D1152">
      <w:pPr>
        <w:pStyle w:val="PolicyCode"/>
        <w:shd w:val="clear" w:color="000000" w:fill="auto"/>
      </w:pPr>
      <w:r w:rsidRPr="000D1152">
        <w:t>Code:</w:t>
      </w:r>
      <w:r w:rsidRPr="000D1152">
        <w:tab/>
      </w:r>
      <w:r w:rsidR="00114F02" w:rsidRPr="000D1152">
        <w:t>BDC</w:t>
      </w:r>
    </w:p>
    <w:p w14:paraId="6FF74BCE" w14:textId="25BC34FB" w:rsidR="001E1260" w:rsidRPr="000D1152" w:rsidRDefault="001E1260" w:rsidP="000D1152">
      <w:pPr>
        <w:pStyle w:val="PolicyCode"/>
        <w:shd w:val="clear" w:color="000000" w:fill="auto"/>
      </w:pPr>
      <w:r w:rsidRPr="000D1152">
        <w:t>Adopted:</w:t>
      </w:r>
      <w:r w:rsidRPr="000D1152">
        <w:tab/>
      </w:r>
      <w:r w:rsidR="00FD1C98">
        <w:t>4/28/25</w:t>
      </w:r>
    </w:p>
    <w:p w14:paraId="7D241DA9" w14:textId="77777777" w:rsidR="001E1260" w:rsidRPr="000D1152" w:rsidRDefault="001E1260" w:rsidP="000D1152">
      <w:pPr>
        <w:shd w:val="clear" w:color="000000" w:fill="auto"/>
      </w:pPr>
    </w:p>
    <w:p w14:paraId="6D92D819" w14:textId="77777777" w:rsidR="00EF573E" w:rsidRPr="000D1152" w:rsidRDefault="00114F02" w:rsidP="000D1152">
      <w:pPr>
        <w:pStyle w:val="PolicyTitle"/>
        <w:shd w:val="clear" w:color="000000" w:fill="auto"/>
      </w:pPr>
      <w:r w:rsidRPr="000D1152">
        <w:t>Executive Sessions</w:t>
      </w:r>
    </w:p>
    <w:p w14:paraId="35793317" w14:textId="77777777" w:rsidR="00EF573E" w:rsidRPr="000D1152" w:rsidRDefault="00EF573E" w:rsidP="000D1152">
      <w:pPr>
        <w:shd w:val="clear" w:color="000000" w:fill="auto"/>
      </w:pPr>
    </w:p>
    <w:p w14:paraId="05A9C483" w14:textId="3F4F2105" w:rsidR="00114F02" w:rsidRPr="000D1152" w:rsidRDefault="00114F02" w:rsidP="000D1152">
      <w:pPr>
        <w:pStyle w:val="PolicyBodyText"/>
        <w:shd w:val="clear" w:color="000000" w:fill="auto"/>
      </w:pPr>
      <w:r w:rsidRPr="000D1152">
        <w:t>The Board may meet in executive session to discuss subjects allowed by statute but may not take final action</w:t>
      </w:r>
      <w:r w:rsidR="00A0277F">
        <w:t xml:space="preserve"> </w:t>
      </w:r>
      <w:r w:rsidRPr="000D1152">
        <w:t xml:space="preserve">except for the expulsion of </w:t>
      </w:r>
      <w:r w:rsidR="006C2F1B" w:rsidRPr="000D1152">
        <w:t xml:space="preserve">a </w:t>
      </w:r>
      <w:r w:rsidRPr="000D1152">
        <w:t xml:space="preserve">student and matters pertaining to </w:t>
      </w:r>
      <w:proofErr w:type="gramStart"/>
      <w:r w:rsidRPr="000D1152">
        <w:t>or</w:t>
      </w:r>
      <w:proofErr w:type="gramEnd"/>
      <w:r w:rsidRPr="000D1152">
        <w:t xml:space="preserve"> examination of the confidential records of </w:t>
      </w:r>
      <w:r w:rsidR="006C2F1B" w:rsidRPr="000D1152">
        <w:t>the</w:t>
      </w:r>
      <w:r w:rsidRPr="000D1152">
        <w:t xml:space="preserve"> student.</w:t>
      </w:r>
    </w:p>
    <w:p w14:paraId="5CE4902F" w14:textId="77777777" w:rsidR="00114F02" w:rsidRPr="000D1152" w:rsidRDefault="00114F02" w:rsidP="000D1152">
      <w:pPr>
        <w:pStyle w:val="PolicyBodyText"/>
        <w:shd w:val="clear" w:color="000000" w:fill="auto"/>
      </w:pPr>
    </w:p>
    <w:p w14:paraId="355F0799" w14:textId="4D22B3AB" w:rsidR="00E678D6" w:rsidRPr="000D1152" w:rsidRDefault="00114F02" w:rsidP="000D1152">
      <w:pPr>
        <w:pStyle w:val="PolicyBodyText"/>
        <w:shd w:val="clear" w:color="000000" w:fill="auto"/>
      </w:pPr>
      <w:r w:rsidRPr="000D1152">
        <w:t xml:space="preserve">An executive session may be </w:t>
      </w:r>
      <w:r w:rsidR="00E678D6" w:rsidRPr="000D1152">
        <w:t>included as an agenda item of an existing meeting in accordance with Board policy BDDC</w:t>
      </w:r>
      <w:r w:rsidR="009D2FD3">
        <w:t xml:space="preserve"> -</w:t>
      </w:r>
      <w:r w:rsidR="00E678D6" w:rsidRPr="000D1152">
        <w:t xml:space="preserve"> Board Meeting Agenda or held as its own meeting. Proper notice is required.</w:t>
      </w:r>
    </w:p>
    <w:p w14:paraId="1BA9EE1B" w14:textId="77777777" w:rsidR="00E678D6" w:rsidRPr="000D1152" w:rsidRDefault="00E678D6" w:rsidP="000D1152">
      <w:pPr>
        <w:pStyle w:val="PolicyBodyText"/>
        <w:shd w:val="clear" w:color="000000" w:fill="auto"/>
      </w:pPr>
    </w:p>
    <w:p w14:paraId="477C3690" w14:textId="3947B47B" w:rsidR="00114F02" w:rsidRPr="000D1152" w:rsidRDefault="00E678D6" w:rsidP="000D1152">
      <w:pPr>
        <w:pStyle w:val="PolicyBodyText"/>
        <w:shd w:val="clear" w:color="000000" w:fill="auto"/>
      </w:pPr>
      <w:r w:rsidRPr="000D1152">
        <w:t xml:space="preserve">If </w:t>
      </w:r>
      <w:proofErr w:type="gramStart"/>
      <w:r w:rsidRPr="000D1152">
        <w:t>open</w:t>
      </w:r>
      <w:proofErr w:type="gramEnd"/>
      <w:r w:rsidRPr="000D1152">
        <w:t xml:space="preserve"> session is held prior to the executive session, t</w:t>
      </w:r>
      <w:r w:rsidR="00114F02" w:rsidRPr="000D1152">
        <w:t xml:space="preserve">he presiding officer will announce the executive session by identifying the authorization under </w:t>
      </w:r>
      <w:r w:rsidR="00776F2E" w:rsidRPr="000D1152">
        <w:t>Oregon Revised Statute (</w:t>
      </w:r>
      <w:r w:rsidR="00114F02" w:rsidRPr="000D1152">
        <w:t>ORS</w:t>
      </w:r>
      <w:r w:rsidR="00776F2E" w:rsidRPr="000D1152">
        <w:t>)</w:t>
      </w:r>
      <w:r w:rsidR="00114F02" w:rsidRPr="000D1152">
        <w:t xml:space="preserve"> 192.660</w:t>
      </w:r>
      <w:r w:rsidR="00A0277F">
        <w:t xml:space="preserve"> </w:t>
      </w:r>
      <w:r w:rsidR="004E20C7" w:rsidRPr="000D1152">
        <w:t>or ORS 332.061</w:t>
      </w:r>
      <w:r w:rsidR="00114F02" w:rsidRPr="000D1152">
        <w:t xml:space="preserve"> for holding such </w:t>
      </w:r>
      <w:proofErr w:type="gramStart"/>
      <w:r w:rsidR="00114F02" w:rsidRPr="000D1152">
        <w:t>session</w:t>
      </w:r>
      <w:proofErr w:type="gramEnd"/>
      <w:r w:rsidR="00114F02" w:rsidRPr="000D1152">
        <w:t xml:space="preserve"> and by noting the subject of the executive session.</w:t>
      </w:r>
    </w:p>
    <w:p w14:paraId="034603D7" w14:textId="77777777" w:rsidR="00114F02" w:rsidRPr="000D1152" w:rsidRDefault="00114F02" w:rsidP="000D1152">
      <w:pPr>
        <w:pStyle w:val="PolicyBodyText"/>
        <w:shd w:val="clear" w:color="000000" w:fill="auto"/>
      </w:pPr>
    </w:p>
    <w:p w14:paraId="300DF432" w14:textId="77777777" w:rsidR="00114F02" w:rsidRPr="000D1152" w:rsidRDefault="00114F02" w:rsidP="000D1152">
      <w:pPr>
        <w:pStyle w:val="PolicyBodyText"/>
        <w:shd w:val="clear" w:color="000000" w:fill="auto"/>
      </w:pPr>
      <w:r w:rsidRPr="000D1152">
        <w:t>The Board may hold an executive session:</w:t>
      </w:r>
    </w:p>
    <w:p w14:paraId="225DF8A3" w14:textId="77777777" w:rsidR="00114F02" w:rsidRPr="000D1152" w:rsidRDefault="00114F02" w:rsidP="000D1152">
      <w:pPr>
        <w:pStyle w:val="PolicyBodyText"/>
        <w:shd w:val="clear" w:color="000000" w:fill="auto"/>
      </w:pPr>
    </w:p>
    <w:p w14:paraId="75FB13ED" w14:textId="1A0ACCEE" w:rsidR="00BE3BCE" w:rsidRPr="000D1152" w:rsidRDefault="00114F02" w:rsidP="000D1152">
      <w:pPr>
        <w:pStyle w:val="Level1"/>
        <w:shd w:val="clear" w:color="000000" w:fill="auto"/>
        <w:spacing w:after="0"/>
      </w:pPr>
      <w:r w:rsidRPr="000D1152">
        <w:t>To consider the employment of a public officer, employee, staff member or individual agent.</w:t>
      </w:r>
      <w:r w:rsidR="004E20C7" w:rsidRPr="000D1152">
        <w:rPr>
          <w:rStyle w:val="FootnoteReference"/>
        </w:rPr>
        <w:footnoteReference w:id="1"/>
      </w:r>
    </w:p>
    <w:p w14:paraId="5F7D01E0" w14:textId="1C795693" w:rsidR="00114F02" w:rsidRPr="000D1152" w:rsidRDefault="00114F02" w:rsidP="000D1152">
      <w:pPr>
        <w:pStyle w:val="Level1"/>
        <w:numPr>
          <w:ilvl w:val="0"/>
          <w:numId w:val="0"/>
        </w:numPr>
        <w:shd w:val="clear" w:color="000000" w:fill="auto"/>
        <w:ind w:left="576"/>
      </w:pPr>
      <w:r w:rsidRPr="000D1152">
        <w:t>(ORS 192.660(2)(a))</w:t>
      </w:r>
    </w:p>
    <w:p w14:paraId="6251C528" w14:textId="2D69FBC0" w:rsidR="00114F02" w:rsidRPr="000D1152" w:rsidRDefault="00114F02" w:rsidP="000D1152">
      <w:pPr>
        <w:pStyle w:val="Level1"/>
        <w:shd w:val="clear" w:color="000000" w:fill="auto"/>
      </w:pPr>
      <w:r w:rsidRPr="000D1152">
        <w:t xml:space="preserve">To consider the dismissal or </w:t>
      </w:r>
      <w:proofErr w:type="gramStart"/>
      <w:r w:rsidRPr="000D1152">
        <w:t>disciplining</w:t>
      </w:r>
      <w:proofErr w:type="gramEnd"/>
      <w:r w:rsidRPr="000D1152">
        <w:t xml:space="preserve"> of, or to hear complaints or charges brought against, a public officer</w:t>
      </w:r>
      <w:r w:rsidR="004E20C7" w:rsidRPr="000D1152">
        <w:rPr>
          <w:rStyle w:val="FootnoteReference"/>
        </w:rPr>
        <w:footnoteReference w:id="2"/>
      </w:r>
      <w:r w:rsidRPr="000D1152">
        <w:t>, employee, staff member or individual agent who does not request an open hearing. (ORS 192.660(2)(b))</w:t>
      </w:r>
    </w:p>
    <w:p w14:paraId="7605816B" w14:textId="77777777" w:rsidR="00114F02" w:rsidRPr="000D1152" w:rsidRDefault="00114F02" w:rsidP="000D1152">
      <w:pPr>
        <w:pStyle w:val="Level1"/>
        <w:shd w:val="clear" w:color="000000" w:fill="auto"/>
      </w:pPr>
      <w:r w:rsidRPr="000D1152">
        <w:t xml:space="preserve">To conduct deliberations with </w:t>
      </w:r>
      <w:proofErr w:type="gramStart"/>
      <w:r w:rsidRPr="000D1152">
        <w:t>persons</w:t>
      </w:r>
      <w:proofErr w:type="gramEnd"/>
      <w:r w:rsidRPr="000D1152">
        <w:t xml:space="preserve"> designated by the governing body to carry on labor negotiations. (ORS 192.660(2)(d))</w:t>
      </w:r>
    </w:p>
    <w:p w14:paraId="4C42E9AB" w14:textId="77777777" w:rsidR="00114F02" w:rsidRPr="000D1152" w:rsidRDefault="00114F02" w:rsidP="000D1152">
      <w:pPr>
        <w:pStyle w:val="Level1"/>
        <w:shd w:val="clear" w:color="000000" w:fill="auto"/>
      </w:pPr>
      <w:r w:rsidRPr="000D1152">
        <w:t xml:space="preserve">To conduct deliberations with </w:t>
      </w:r>
      <w:proofErr w:type="gramStart"/>
      <w:r w:rsidRPr="000D1152">
        <w:t>persons</w:t>
      </w:r>
      <w:proofErr w:type="gramEnd"/>
      <w:r w:rsidRPr="000D1152">
        <w:t xml:space="preserve"> designated by the governing body to negotiate real property transactions. (ORS 192.660(2)(e))</w:t>
      </w:r>
    </w:p>
    <w:p w14:paraId="4E9AF36A" w14:textId="7985C796" w:rsidR="00114F02" w:rsidRPr="000D1152" w:rsidRDefault="00114F02" w:rsidP="000D1152">
      <w:pPr>
        <w:pStyle w:val="Level1"/>
        <w:shd w:val="clear" w:color="000000" w:fill="auto"/>
        <w:spacing w:after="0"/>
      </w:pPr>
      <w:r w:rsidRPr="000D1152">
        <w:t>To consider information or records that are exempt by law from public inspection.</w:t>
      </w:r>
      <w:r w:rsidR="009D2FD3">
        <w:t xml:space="preserve"> </w:t>
      </w:r>
      <w:r w:rsidRPr="000D1152">
        <w:t>(ORS 192.660(2)(f))</w:t>
      </w:r>
    </w:p>
    <w:p w14:paraId="29790599" w14:textId="77777777" w:rsidR="00114F02" w:rsidRPr="000D1152" w:rsidRDefault="00114F02" w:rsidP="000D1152">
      <w:pPr>
        <w:pStyle w:val="PolicyBodyText"/>
        <w:shd w:val="clear" w:color="000000" w:fill="auto"/>
      </w:pPr>
    </w:p>
    <w:p w14:paraId="22D87B20" w14:textId="77777777" w:rsidR="00114F02" w:rsidRPr="000D1152" w:rsidRDefault="00114F02" w:rsidP="000D1152">
      <w:pPr>
        <w:pStyle w:val="Level1"/>
        <w:shd w:val="clear" w:color="000000" w:fill="auto"/>
      </w:pPr>
      <w:r w:rsidRPr="000D1152">
        <w:t xml:space="preserve">To consult with counsel concerning the legal rights and duties of a public body </w:t>
      </w:r>
      <w:proofErr w:type="gramStart"/>
      <w:r w:rsidRPr="000D1152">
        <w:t>with regard to</w:t>
      </w:r>
      <w:proofErr w:type="gramEnd"/>
      <w:r w:rsidRPr="000D1152">
        <w:t xml:space="preserve"> current litigation or litigation likely to be filed. (ORS 192.660(2)(h))</w:t>
      </w:r>
    </w:p>
    <w:p w14:paraId="65F84B78" w14:textId="77777777" w:rsidR="00114F02" w:rsidRPr="000D1152" w:rsidRDefault="00114F02" w:rsidP="000D1152">
      <w:pPr>
        <w:pStyle w:val="Level1"/>
        <w:shd w:val="clear" w:color="000000" w:fill="auto"/>
        <w:spacing w:after="0"/>
      </w:pPr>
      <w:r w:rsidRPr="000D1152">
        <w:lastRenderedPageBreak/>
        <w:t>To review and evaluate the employment-related performance of the chief executive officer of any public body, a public officer, employee or staff member who does not request an open hearing.</w:t>
      </w:r>
    </w:p>
    <w:p w14:paraId="01743A6D" w14:textId="77777777" w:rsidR="00114F02" w:rsidRPr="000D1152" w:rsidRDefault="00114F02" w:rsidP="000D1152">
      <w:pPr>
        <w:pStyle w:val="PolicyBodyText"/>
        <w:shd w:val="clear" w:color="000000" w:fill="auto"/>
        <w:ind w:firstLine="576"/>
      </w:pPr>
      <w:r w:rsidRPr="000D1152">
        <w:t>(ORS 192.660(2)(</w:t>
      </w:r>
      <w:proofErr w:type="spellStart"/>
      <w:r w:rsidRPr="000D1152">
        <w:t>i</w:t>
      </w:r>
      <w:proofErr w:type="spellEnd"/>
      <w:r w:rsidRPr="000D1152">
        <w:t>))</w:t>
      </w:r>
    </w:p>
    <w:p w14:paraId="62F2166D" w14:textId="77777777" w:rsidR="00114F02" w:rsidRPr="000D1152" w:rsidRDefault="00114F02" w:rsidP="000D1152">
      <w:pPr>
        <w:pStyle w:val="PolicyBodyText"/>
        <w:shd w:val="clear" w:color="000000" w:fill="auto"/>
      </w:pPr>
    </w:p>
    <w:p w14:paraId="7C534197" w14:textId="7EE649C4" w:rsidR="00114F02" w:rsidRPr="000D1152" w:rsidRDefault="00114F02" w:rsidP="000D1152">
      <w:pPr>
        <w:pStyle w:val="Level1"/>
        <w:shd w:val="clear" w:color="000000" w:fill="auto"/>
      </w:pPr>
      <w:r w:rsidRPr="000D1152">
        <w:t>To consider matters relating to school safety or a plan that responds to safety threats made toward a school. (ORS 192.660</w:t>
      </w:r>
      <w:r w:rsidR="009D2FD3">
        <w:t>(2)</w:t>
      </w:r>
      <w:r w:rsidRPr="000D1152">
        <w:t>(k))</w:t>
      </w:r>
    </w:p>
    <w:p w14:paraId="573B29C7" w14:textId="77777777" w:rsidR="004E20C7" w:rsidRPr="000D1152" w:rsidRDefault="004E20C7" w:rsidP="000D1152">
      <w:pPr>
        <w:pStyle w:val="Level1"/>
        <w:shd w:val="clear" w:color="000000" w:fill="auto"/>
      </w:pPr>
      <w:r w:rsidRPr="000D1152">
        <w:t>To consider matters relating to the safety of the governing body and of public body staff and volunteers and the security of public body facilities and meeting spaces. (ORS 192.660(2)(o))</w:t>
      </w:r>
    </w:p>
    <w:p w14:paraId="4568C066" w14:textId="5A8035D0" w:rsidR="004E20C7" w:rsidRPr="000D1152" w:rsidRDefault="004E20C7" w:rsidP="000D1152">
      <w:pPr>
        <w:pStyle w:val="Level1"/>
        <w:shd w:val="clear" w:color="000000" w:fill="auto"/>
      </w:pPr>
      <w:r w:rsidRPr="000D1152">
        <w:t>To consider matters relating to cyber security infrastructure and responses to cyber security threats. (ORS 192.660(2)(p))</w:t>
      </w:r>
    </w:p>
    <w:p w14:paraId="21083C09" w14:textId="5784AB97" w:rsidR="00114F02" w:rsidRPr="000D1152" w:rsidRDefault="00114F02" w:rsidP="000D1152">
      <w:pPr>
        <w:pStyle w:val="Level1"/>
        <w:shd w:val="clear" w:color="000000" w:fill="auto"/>
        <w:spacing w:after="0"/>
      </w:pPr>
      <w:r w:rsidRPr="000D1152">
        <w:t>To review the expulsion of a minor student from a public elementary or secondary school.</w:t>
      </w:r>
    </w:p>
    <w:p w14:paraId="53F3FA9D" w14:textId="17B7A3F6" w:rsidR="00114F02" w:rsidRPr="000D1152" w:rsidRDefault="00114F02" w:rsidP="000D1152">
      <w:pPr>
        <w:pStyle w:val="PolicyBodyText"/>
        <w:shd w:val="clear" w:color="000000" w:fill="auto"/>
        <w:ind w:firstLine="576"/>
      </w:pPr>
      <w:r w:rsidRPr="000D1152">
        <w:t>(ORS 332.061(1)(a))</w:t>
      </w:r>
    </w:p>
    <w:p w14:paraId="51E22E9A" w14:textId="77777777" w:rsidR="00114F02" w:rsidRPr="000D1152" w:rsidRDefault="00114F02" w:rsidP="000D1152">
      <w:pPr>
        <w:pStyle w:val="PolicyBodyText"/>
        <w:shd w:val="clear" w:color="000000" w:fill="auto"/>
      </w:pPr>
    </w:p>
    <w:p w14:paraId="6D22B46A" w14:textId="2AF14EA7" w:rsidR="00114F02" w:rsidRPr="000D1152" w:rsidRDefault="00114F02" w:rsidP="000D1152">
      <w:pPr>
        <w:pStyle w:val="Level1"/>
        <w:shd w:val="clear" w:color="000000" w:fill="auto"/>
      </w:pPr>
      <w:r w:rsidRPr="000D1152">
        <w:t>To discuss matters pertaining to or examination of the confidential records of a student. (ORS 332.061(1)(b))</w:t>
      </w:r>
    </w:p>
    <w:p w14:paraId="59F95E6B" w14:textId="77777777" w:rsidR="00114F02" w:rsidRPr="000D1152" w:rsidRDefault="00114F02" w:rsidP="000D1152">
      <w:pPr>
        <w:pStyle w:val="PolicyBodyText"/>
        <w:shd w:val="clear" w:color="000000" w:fill="auto"/>
      </w:pPr>
      <w:r w:rsidRPr="000D1152">
        <w:t>Members of the press may attend executive sessions except those matters pertaining to:</w:t>
      </w:r>
    </w:p>
    <w:p w14:paraId="4EA8038A" w14:textId="77777777" w:rsidR="00114F02" w:rsidRPr="000D1152" w:rsidRDefault="00114F02" w:rsidP="000D1152">
      <w:pPr>
        <w:pStyle w:val="PolicyBodyText"/>
        <w:shd w:val="clear" w:color="000000" w:fill="auto"/>
      </w:pPr>
    </w:p>
    <w:p w14:paraId="1E9CA8B7" w14:textId="27686850" w:rsidR="00114F02" w:rsidRPr="000D1152" w:rsidRDefault="00114F02" w:rsidP="000D1152">
      <w:pPr>
        <w:pStyle w:val="Level1"/>
        <w:numPr>
          <w:ilvl w:val="0"/>
          <w:numId w:val="16"/>
        </w:numPr>
        <w:shd w:val="clear" w:color="000000" w:fill="auto"/>
      </w:pPr>
      <w:r w:rsidRPr="000D1152">
        <w:t xml:space="preserve">Deliberations with </w:t>
      </w:r>
      <w:proofErr w:type="gramStart"/>
      <w:r w:rsidRPr="000D1152">
        <w:t>persons</w:t>
      </w:r>
      <w:proofErr w:type="gramEnd"/>
      <w:r w:rsidRPr="000D1152">
        <w:t xml:space="preserve"> designated by the Board to carry on labor negotiations;</w:t>
      </w:r>
      <w:r w:rsidR="00A0277F">
        <w:t xml:space="preserve"> and</w:t>
      </w:r>
    </w:p>
    <w:p w14:paraId="7B013750" w14:textId="3FCF2032" w:rsidR="00114F02" w:rsidRPr="000D1152" w:rsidRDefault="00114F02" w:rsidP="000D1152">
      <w:pPr>
        <w:pStyle w:val="Level1"/>
        <w:shd w:val="clear" w:color="000000" w:fill="auto"/>
      </w:pPr>
      <w:r w:rsidRPr="000D1152">
        <w:t xml:space="preserve">Hearings on the expulsion of </w:t>
      </w:r>
      <w:r w:rsidR="006E2746" w:rsidRPr="000D1152">
        <w:t xml:space="preserve">a </w:t>
      </w:r>
      <w:r w:rsidRPr="000D1152">
        <w:t>minor student or examination of the confidential records of a student; and</w:t>
      </w:r>
    </w:p>
    <w:p w14:paraId="78B3F929" w14:textId="77777777" w:rsidR="00114F02" w:rsidRPr="000D1152" w:rsidRDefault="00114F02" w:rsidP="000D1152">
      <w:pPr>
        <w:pStyle w:val="Level1"/>
        <w:shd w:val="clear" w:color="000000" w:fill="auto"/>
      </w:pPr>
      <w:r w:rsidRPr="000D1152">
        <w:t xml:space="preserve">Current litigation or litigation </w:t>
      </w:r>
      <w:proofErr w:type="gramStart"/>
      <w:r w:rsidRPr="000D1152">
        <w:t>likely</w:t>
      </w:r>
      <w:proofErr w:type="gramEnd"/>
      <w:r w:rsidRPr="000D1152">
        <w:t xml:space="preserve"> to be filed if the member of the news media is a party to the litigation or is an employee, agent or contractor of a news media organization that is a party to the litigation.</w:t>
      </w:r>
    </w:p>
    <w:p w14:paraId="2B6A98E6" w14:textId="59961D7C" w:rsidR="00114F02" w:rsidRPr="000D1152" w:rsidRDefault="00114F02" w:rsidP="000D1152">
      <w:pPr>
        <w:pStyle w:val="PolicyBodyText"/>
        <w:shd w:val="clear" w:color="000000" w:fill="auto"/>
      </w:pPr>
      <w:r w:rsidRPr="000D1152">
        <w:t>If an executive session is held pursuant to ORS 332.061, the following shall not be made public: the name of the minor student; the issue, including the student</w:t>
      </w:r>
      <w:r w:rsidR="000D1152" w:rsidRPr="000D1152">
        <w:t>’</w:t>
      </w:r>
      <w:r w:rsidRPr="000D1152">
        <w:t>s confidential records; the discussion; and each Board member</w:t>
      </w:r>
      <w:r w:rsidR="000D1152" w:rsidRPr="000D1152">
        <w:t>’</w:t>
      </w:r>
      <w:r w:rsidRPr="000D1152">
        <w:t>s vote on the issue.</w:t>
      </w:r>
    </w:p>
    <w:p w14:paraId="337884E6" w14:textId="77777777" w:rsidR="00114F02" w:rsidRPr="000D1152" w:rsidRDefault="00114F02" w:rsidP="000D1152">
      <w:pPr>
        <w:pStyle w:val="PolicyBodyText"/>
        <w:shd w:val="clear" w:color="000000" w:fill="auto"/>
      </w:pPr>
    </w:p>
    <w:p w14:paraId="318F4120" w14:textId="77777777" w:rsidR="00114F02" w:rsidRPr="000D1152" w:rsidRDefault="00114F02" w:rsidP="000D1152">
      <w:pPr>
        <w:pStyle w:val="PolicyBodyText"/>
        <w:shd w:val="clear" w:color="000000" w:fill="auto"/>
      </w:pPr>
      <w:r w:rsidRPr="000D1152">
        <w:t>Minutes shall be kept for all executive sessions.</w:t>
      </w:r>
    </w:p>
    <w:p w14:paraId="5FC22CBC" w14:textId="77777777" w:rsidR="00114F02" w:rsidRPr="000D1152" w:rsidRDefault="00114F02" w:rsidP="000D1152">
      <w:pPr>
        <w:pStyle w:val="PolicyBodyText"/>
        <w:shd w:val="clear" w:color="000000" w:fill="auto"/>
      </w:pPr>
    </w:p>
    <w:p w14:paraId="373B0668" w14:textId="7E051C5A" w:rsidR="00114F02" w:rsidRPr="000D1152" w:rsidRDefault="00114F02" w:rsidP="000D1152">
      <w:pPr>
        <w:pStyle w:val="PolicyBodyText"/>
        <w:shd w:val="clear" w:color="000000" w:fill="auto"/>
      </w:pPr>
      <w:r w:rsidRPr="000D1152">
        <w:t>Content discussed in executive sessions is confidential</w:t>
      </w:r>
      <w:r w:rsidR="004E20C7" w:rsidRPr="000D1152">
        <w:t xml:space="preserve"> except as provided by law. Board members and the media are instructed not to disclose information obtained in </w:t>
      </w:r>
      <w:proofErr w:type="gramStart"/>
      <w:r w:rsidR="004E20C7" w:rsidRPr="000D1152">
        <w:t>executive</w:t>
      </w:r>
      <w:proofErr w:type="gramEnd"/>
      <w:r w:rsidR="004E20C7" w:rsidRPr="000D1152">
        <w:t xml:space="preserve"> session except when specifically authorized to do so or as required by law</w:t>
      </w:r>
      <w:r w:rsidRPr="000D1152">
        <w:t>.</w:t>
      </w:r>
    </w:p>
    <w:p w14:paraId="6E71A303" w14:textId="77777777" w:rsidR="00114F02" w:rsidRPr="000D1152" w:rsidRDefault="00114F02" w:rsidP="000D1152">
      <w:pPr>
        <w:pStyle w:val="PolicyBodyText"/>
        <w:shd w:val="clear" w:color="000000" w:fill="auto"/>
      </w:pPr>
    </w:p>
    <w:p w14:paraId="26D679FE" w14:textId="73978451" w:rsidR="00114F02" w:rsidRDefault="00114F02" w:rsidP="00FD1C98">
      <w:pPr>
        <w:pStyle w:val="PolicyBodyText"/>
        <w:shd w:val="clear" w:color="000000" w:fill="auto"/>
      </w:pPr>
      <w:r w:rsidRPr="000D1152">
        <w:t>END OF POLICY</w:t>
      </w:r>
    </w:p>
    <w:p w14:paraId="4864D2ED" w14:textId="77777777" w:rsidR="00FD1C98" w:rsidRDefault="00FD1C98" w:rsidP="00FD1C98">
      <w:pPr>
        <w:pStyle w:val="PolicyLine"/>
      </w:pPr>
    </w:p>
    <w:p w14:paraId="6A648514" w14:textId="77777777" w:rsidR="000507F5" w:rsidRDefault="000507F5">
      <w:pPr>
        <w:suppressAutoHyphens w:val="0"/>
        <w:spacing w:after="160" w:line="259" w:lineRule="auto"/>
        <w:rPr>
          <w:rFonts w:ascii="Times New Roman Bold" w:hAnsi="Times New Roman Bold"/>
          <w:b/>
          <w:sz w:val="20"/>
        </w:rPr>
      </w:pPr>
      <w:r>
        <w:br w:type="page"/>
      </w:r>
    </w:p>
    <w:p w14:paraId="19ACAC1C" w14:textId="475386BB" w:rsidR="00FD1C98" w:rsidRPr="006C2EF8" w:rsidRDefault="00FD1C98" w:rsidP="00FD1C98">
      <w:pPr>
        <w:pStyle w:val="PolicyReferencesHeading"/>
      </w:pPr>
      <w:r w:rsidRPr="006C2EF8">
        <w:t>Legal Reference(s):</w:t>
      </w:r>
    </w:p>
    <w:p w14:paraId="1053688B" w14:textId="77777777" w:rsidR="00FD1C98" w:rsidRPr="006C2EF8" w:rsidRDefault="00FD1C98" w:rsidP="00FD1C98">
      <w:pPr>
        <w:pStyle w:val="PolicyReferencesHeading"/>
      </w:pPr>
    </w:p>
    <w:p w14:paraId="2DA403ED" w14:textId="77777777" w:rsidR="00FD1C98" w:rsidRPr="006C2EF8" w:rsidRDefault="00FD1C98" w:rsidP="00FD1C98">
      <w:pPr>
        <w:pStyle w:val="PolicyReferences"/>
        <w:rPr>
          <w:rStyle w:val="SYSHYPERTEXT"/>
        </w:rPr>
        <w:sectPr w:rsidR="00FD1C98" w:rsidRPr="006C2EF8" w:rsidSect="00114F02">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docGrid w:linePitch="326"/>
        </w:sectPr>
      </w:pPr>
      <w:bookmarkStart w:id="0" w:name="Laws"/>
      <w:bookmarkStart w:id="1" w:name="ORS"/>
      <w:bookmarkEnd w:id="0"/>
      <w:bookmarkEnd w:id="1"/>
    </w:p>
    <w:p w14:paraId="708BD426" w14:textId="77777777" w:rsidR="00FD1C98" w:rsidRPr="006C2EF8" w:rsidRDefault="00FD1C98" w:rsidP="00FD1C98">
      <w:pPr>
        <w:pStyle w:val="PolicyReferences"/>
      </w:pPr>
      <w:hyperlink r:id="rId14" w:history="1">
        <w:r w:rsidRPr="006C2EF8">
          <w:rPr>
            <w:rStyle w:val="Hyperlink"/>
          </w:rPr>
          <w:t>ORS 192</w:t>
        </w:r>
      </w:hyperlink>
      <w:r w:rsidRPr="006C2EF8">
        <w:t>.660</w:t>
      </w:r>
    </w:p>
    <w:p w14:paraId="3F56A692" w14:textId="77777777" w:rsidR="00FD1C98" w:rsidRPr="006C2EF8" w:rsidRDefault="00FD1C98" w:rsidP="00FD1C98">
      <w:pPr>
        <w:pStyle w:val="PolicyReferences"/>
      </w:pPr>
      <w:hyperlink r:id="rId15" w:history="1">
        <w:r w:rsidRPr="006C2EF8">
          <w:rPr>
            <w:rStyle w:val="SYSHYPERTEXT"/>
          </w:rPr>
          <w:t>ORS 332</w:t>
        </w:r>
      </w:hyperlink>
      <w:r w:rsidRPr="006C2EF8">
        <w:t>.061</w:t>
      </w:r>
    </w:p>
    <w:p w14:paraId="08376E46" w14:textId="77777777" w:rsidR="00FD1C98" w:rsidRPr="006C2EF8" w:rsidRDefault="00FD1C98" w:rsidP="00FD1C98">
      <w:pPr>
        <w:pStyle w:val="PolicyReferences"/>
        <w:sectPr w:rsidR="00FD1C98" w:rsidRPr="006C2EF8" w:rsidSect="00FD1C98">
          <w:type w:val="continuous"/>
          <w:pgSz w:w="12240" w:h="15840"/>
          <w:pgMar w:top="936" w:right="720" w:bottom="720" w:left="1224" w:header="432" w:footer="720" w:gutter="0"/>
          <w:cols w:num="3" w:space="360"/>
          <w:docGrid w:linePitch="326"/>
        </w:sectPr>
      </w:pPr>
      <w:hyperlink r:id="rId16" w:history="1">
        <w:r w:rsidRPr="006C2EF8">
          <w:rPr>
            <w:rStyle w:val="Hyperlink"/>
          </w:rPr>
          <w:t>ORS 338</w:t>
        </w:r>
      </w:hyperlink>
      <w:r w:rsidRPr="006C2EF8">
        <w:t>.115</w:t>
      </w:r>
      <w:bookmarkStart w:id="2" w:name="LawsEnd"/>
      <w:bookmarkEnd w:id="2"/>
    </w:p>
    <w:p w14:paraId="2E2098D7" w14:textId="289D17BA" w:rsidR="00FD1C98" w:rsidRPr="006C2EF8" w:rsidRDefault="00FD1C98" w:rsidP="00FD1C98">
      <w:pPr>
        <w:pStyle w:val="PolicyReferences"/>
      </w:pPr>
    </w:p>
    <w:p w14:paraId="339439C3" w14:textId="77777777" w:rsidR="00FD1C98" w:rsidRPr="006C2EF8" w:rsidRDefault="00FD1C98" w:rsidP="00FD1C98">
      <w:pPr>
        <w:pStyle w:val="PolicyReferences"/>
      </w:pPr>
      <w:r w:rsidRPr="006C2EF8">
        <w:rPr>
          <w:smallCaps/>
        </w:rPr>
        <w:t>Or. Atty. Gen.</w:t>
      </w:r>
      <w:r w:rsidRPr="006C2EF8">
        <w:t xml:space="preserve"> Public Records and Meetings Manual.</w:t>
      </w:r>
    </w:p>
    <w:p w14:paraId="5878B685" w14:textId="77777777" w:rsidR="00FD1C98" w:rsidRPr="006C2EF8" w:rsidRDefault="00FD1C98" w:rsidP="00FD1C98">
      <w:pPr>
        <w:pStyle w:val="PolicyReferences"/>
      </w:pPr>
      <w:r w:rsidRPr="006C2EF8">
        <w:t xml:space="preserve">Oregon Government Ethics Commission, </w:t>
      </w:r>
      <w:hyperlink r:id="rId17" w:history="1">
        <w:r w:rsidRPr="006C2EF8">
          <w:rPr>
            <w:rStyle w:val="Hyperlink"/>
          </w:rPr>
          <w:t>Staff Advisory Opinion</w:t>
        </w:r>
      </w:hyperlink>
      <w:r w:rsidRPr="006C2EF8">
        <w:t xml:space="preserve"> No. 22-106S</w:t>
      </w:r>
    </w:p>
    <w:p w14:paraId="5046739A" w14:textId="77777777" w:rsidR="006C2EF8" w:rsidRPr="006C2EF8" w:rsidRDefault="006C2EF8" w:rsidP="00FD1C98">
      <w:pPr>
        <w:pStyle w:val="PolicyReferences"/>
      </w:pPr>
    </w:p>
    <w:p w14:paraId="24F9250B" w14:textId="77777777" w:rsidR="006C2EF8" w:rsidRPr="006C2EF8" w:rsidRDefault="006C2EF8" w:rsidP="00FD1C98">
      <w:pPr>
        <w:pStyle w:val="PolicyReferences"/>
      </w:pPr>
    </w:p>
    <w:p w14:paraId="292BB410" w14:textId="3CAE7CC8" w:rsidR="006C2EF8" w:rsidRPr="006C2EF8" w:rsidRDefault="006C2EF8" w:rsidP="006C2EF8">
      <w:pPr>
        <w:pStyle w:val="PolicyReferences"/>
        <w:rPr>
          <w:b/>
        </w:rPr>
      </w:pPr>
      <w:bookmarkStart w:id="3" w:name="XREFS"/>
      <w:bookmarkEnd w:id="3"/>
      <w:r w:rsidRPr="006C2EF8">
        <w:rPr>
          <w:b/>
        </w:rPr>
        <w:lastRenderedPageBreak/>
        <w:t>Cross Reference(s):</w:t>
      </w:r>
    </w:p>
    <w:p w14:paraId="4DB37356" w14:textId="77777777" w:rsidR="006C2EF8" w:rsidRPr="006C2EF8" w:rsidRDefault="006C2EF8" w:rsidP="006C2EF8">
      <w:pPr>
        <w:pStyle w:val="PolicyReferences"/>
      </w:pPr>
    </w:p>
    <w:p w14:paraId="11777D77" w14:textId="301504BD" w:rsidR="006C2EF8" w:rsidRPr="006C2EF8" w:rsidRDefault="006C2EF8" w:rsidP="006C2EF8">
      <w:pPr>
        <w:pStyle w:val="PolicyReferences"/>
      </w:pPr>
      <w:r w:rsidRPr="006C2EF8">
        <w:t>BD/BDA - Board Meetings</w:t>
      </w:r>
    </w:p>
    <w:p w14:paraId="55A10537" w14:textId="1D51EFA4" w:rsidR="006C2EF8" w:rsidRPr="006C2EF8" w:rsidRDefault="006C2EF8" w:rsidP="006C2EF8">
      <w:pPr>
        <w:pStyle w:val="PolicyReferences"/>
      </w:pPr>
      <w:r w:rsidRPr="006C2EF8">
        <w:t>BDDG - Minutes of Board Meetings</w:t>
      </w:r>
    </w:p>
    <w:p w14:paraId="55BD07CE" w14:textId="4FE15A27" w:rsidR="006C2EF8" w:rsidRPr="006C2EF8" w:rsidRDefault="006C2EF8" w:rsidP="006C2EF8">
      <w:pPr>
        <w:pStyle w:val="PolicyReferences"/>
      </w:pPr>
      <w:r w:rsidRPr="006C2EF8">
        <w:t>CBG - Evaluation of the Administrator</w:t>
      </w:r>
    </w:p>
    <w:sectPr w:rsidR="006C2EF8" w:rsidRPr="006C2EF8" w:rsidSect="00114F02">
      <w:type w:val="continuous"/>
      <w:pgSz w:w="12240" w:h="15840"/>
      <w:pgMar w:top="936" w:right="720" w:bottom="720" w:left="1224" w:header="432"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7591C0" w14:textId="77777777" w:rsidR="00114F02" w:rsidRDefault="00114F02" w:rsidP="00FC3907">
      <w:r>
        <w:separator/>
      </w:r>
    </w:p>
  </w:endnote>
  <w:endnote w:type="continuationSeparator" w:id="0">
    <w:p w14:paraId="17BF13F2" w14:textId="77777777" w:rsidR="00114F02" w:rsidRDefault="00114F02"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9A603" w14:textId="77777777" w:rsidR="00FD1C98" w:rsidRDefault="00FD1C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0D1152" w14:paraId="3542AF94" w14:textId="77777777" w:rsidTr="004616AD">
      <w:tc>
        <w:tcPr>
          <w:tcW w:w="2340" w:type="dxa"/>
        </w:tcPr>
        <w:p w14:paraId="540C63EE" w14:textId="48BACF5E" w:rsidR="000D1152" w:rsidRDefault="000D1152" w:rsidP="004616AD">
          <w:pPr>
            <w:pStyle w:val="Footer"/>
            <w:rPr>
              <w:noProof/>
              <w:sz w:val="20"/>
            </w:rPr>
          </w:pPr>
        </w:p>
      </w:tc>
      <w:tc>
        <w:tcPr>
          <w:tcW w:w="7956" w:type="dxa"/>
        </w:tcPr>
        <w:p w14:paraId="545E0E64" w14:textId="77777777" w:rsidR="00FD1C98" w:rsidRDefault="00FD1C98" w:rsidP="004616AD">
          <w:pPr>
            <w:pStyle w:val="Footer"/>
            <w:jc w:val="right"/>
          </w:pPr>
          <w:r>
            <w:t>Executive Sessions – BDC</w:t>
          </w:r>
        </w:p>
        <w:p w14:paraId="2F85A61F" w14:textId="4ABD1F14" w:rsidR="000D1152" w:rsidRDefault="000D1152"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5A56A312" w14:textId="77777777" w:rsidR="000D1152" w:rsidRPr="00782930" w:rsidRDefault="000D1152"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5474D" w14:textId="77777777" w:rsidR="00FD1C98" w:rsidRDefault="00FD1C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7AF96F" w14:textId="77777777" w:rsidR="00114F02" w:rsidRDefault="00114F02" w:rsidP="00FC3907">
      <w:r>
        <w:separator/>
      </w:r>
    </w:p>
  </w:footnote>
  <w:footnote w:type="continuationSeparator" w:id="0">
    <w:p w14:paraId="06839B48" w14:textId="77777777" w:rsidR="00114F02" w:rsidRDefault="00114F02" w:rsidP="00FC3907">
      <w:r>
        <w:continuationSeparator/>
      </w:r>
    </w:p>
  </w:footnote>
  <w:footnote w:id="1">
    <w:p w14:paraId="4B410CE4" w14:textId="77777777" w:rsidR="004E20C7" w:rsidRPr="000D1152" w:rsidRDefault="004E20C7" w:rsidP="00957136">
      <w:pPr>
        <w:pStyle w:val="FootnoteText"/>
        <w:spacing w:after="0"/>
      </w:pPr>
      <w:r w:rsidRPr="000D1152">
        <w:rPr>
          <w:rStyle w:val="FootnoteReference"/>
        </w:rPr>
        <w:footnoteRef/>
      </w:r>
      <w:r w:rsidRPr="000D1152">
        <w:t xml:space="preserve"> This provision does not apply to the filling of a vacancy in elective office or on any public committee, commission or other advisory </w:t>
      </w:r>
      <w:proofErr w:type="gramStart"/>
      <w:r w:rsidRPr="000D1152">
        <w:t>group;</w:t>
      </w:r>
      <w:proofErr w:type="gramEnd"/>
      <w:r w:rsidRPr="000D1152">
        <w:t xml:space="preserve"> or for the consideration of general employment policies. Prior to holding an executive session under ORS 192.660(2)(a), the Board must ensure</w:t>
      </w:r>
    </w:p>
    <w:p w14:paraId="199857E6" w14:textId="77777777" w:rsidR="004E20C7" w:rsidRPr="000D1152" w:rsidRDefault="004E20C7" w:rsidP="00A0277F">
      <w:pPr>
        <w:pStyle w:val="FootnoteText"/>
        <w:numPr>
          <w:ilvl w:val="0"/>
          <w:numId w:val="18"/>
        </w:numPr>
        <w:spacing w:after="0"/>
        <w:ind w:left="432" w:hanging="432"/>
      </w:pPr>
      <w:r w:rsidRPr="000D1152">
        <w:t xml:space="preserve">The vacancy has been </w:t>
      </w:r>
      <w:proofErr w:type="gramStart"/>
      <w:r w:rsidRPr="000D1152">
        <w:t>advertised;</w:t>
      </w:r>
      <w:proofErr w:type="gramEnd"/>
    </w:p>
    <w:p w14:paraId="0470D2EC" w14:textId="77777777" w:rsidR="004E20C7" w:rsidRPr="000D1152" w:rsidRDefault="004E20C7" w:rsidP="00A0277F">
      <w:pPr>
        <w:pStyle w:val="FootnoteText"/>
        <w:numPr>
          <w:ilvl w:val="0"/>
          <w:numId w:val="18"/>
        </w:numPr>
        <w:spacing w:after="0"/>
        <w:ind w:left="432" w:hanging="432"/>
      </w:pPr>
      <w:r w:rsidRPr="000D1152">
        <w:t xml:space="preserve">Regular hiring procedures have been </w:t>
      </w:r>
      <w:proofErr w:type="gramStart"/>
      <w:r w:rsidRPr="000D1152">
        <w:t>adopted;</w:t>
      </w:r>
      <w:proofErr w:type="gramEnd"/>
    </w:p>
    <w:p w14:paraId="77585C55" w14:textId="77777777" w:rsidR="004E20C7" w:rsidRPr="000D1152" w:rsidRDefault="004E20C7" w:rsidP="00A0277F">
      <w:pPr>
        <w:pStyle w:val="FootnoteText"/>
        <w:numPr>
          <w:ilvl w:val="0"/>
          <w:numId w:val="18"/>
        </w:numPr>
        <w:spacing w:after="0"/>
        <w:ind w:left="432" w:hanging="432"/>
      </w:pPr>
      <w:r w:rsidRPr="000D1152">
        <w:t>If hiring an officer, the public has had the opportunity to comment on the employment of the officer; and</w:t>
      </w:r>
    </w:p>
    <w:p w14:paraId="13DB165A" w14:textId="77777777" w:rsidR="004E20C7" w:rsidRPr="000D1152" w:rsidRDefault="004E20C7" w:rsidP="00A0277F">
      <w:pPr>
        <w:pStyle w:val="FootnoteText"/>
        <w:numPr>
          <w:ilvl w:val="0"/>
          <w:numId w:val="18"/>
        </w:numPr>
        <w:ind w:left="432" w:hanging="432"/>
      </w:pPr>
      <w:r w:rsidRPr="000D1152">
        <w:t>If hiring a chief executive officer, the Board has adopted hiring standards, criteria and policy directives in meetings open to the public in which the public has had the opportunity to comment on the standards, criteria and policy directives.</w:t>
      </w:r>
    </w:p>
  </w:footnote>
  <w:footnote w:id="2">
    <w:p w14:paraId="55EBB7F6" w14:textId="6AA61535" w:rsidR="004E20C7" w:rsidRPr="009E56B6" w:rsidRDefault="004E20C7" w:rsidP="004E20C7">
      <w:pPr>
        <w:pStyle w:val="FootnoteText"/>
        <w:rPr>
          <w:highlight w:val="lightGray"/>
        </w:rPr>
      </w:pPr>
      <w:r w:rsidRPr="000D1152">
        <w:rPr>
          <w:rStyle w:val="FootnoteReference"/>
        </w:rPr>
        <w:footnoteRef/>
      </w:r>
      <w:r w:rsidRPr="000D1152">
        <w:t xml:space="preserve"> To determine whether the individual involved is considered a public officer, consult with legal counsel.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9BD0B" w14:textId="77777777" w:rsidR="00FD1C98" w:rsidRPr="006C2EF8" w:rsidRDefault="00FD1C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C76CB" w14:textId="77777777" w:rsidR="00FD1C98" w:rsidRDefault="00FD1C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3351F" w14:textId="77777777" w:rsidR="00FD1C98" w:rsidRDefault="00FD1C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abstractNum w:abstractNumId="10" w15:restartNumberingAfterBreak="0">
    <w:nsid w:val="749138B6"/>
    <w:multiLevelType w:val="hybridMultilevel"/>
    <w:tmpl w:val="1E2E47BA"/>
    <w:lvl w:ilvl="0" w:tplc="04090019">
      <w:start w:val="1"/>
      <w:numFmt w:val="lowerLetter"/>
      <w:lvlText w:val="%1."/>
      <w:lvlJc w:val="left"/>
      <w:pPr>
        <w:ind w:left="18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FD26EDB"/>
    <w:multiLevelType w:val="hybridMultilevel"/>
    <w:tmpl w:val="8F0AF8AC"/>
    <w:lvl w:ilvl="0" w:tplc="0409000F">
      <w:start w:val="1"/>
      <w:numFmt w:val="decimal"/>
      <w:lvlText w:val="%1."/>
      <w:lvlJc w:val="left"/>
      <w:pPr>
        <w:ind w:left="189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03253675">
    <w:abstractNumId w:val="7"/>
  </w:num>
  <w:num w:numId="2" w16cid:durableId="1719163507">
    <w:abstractNumId w:val="4"/>
  </w:num>
  <w:num w:numId="3" w16cid:durableId="962268854">
    <w:abstractNumId w:val="4"/>
  </w:num>
  <w:num w:numId="4" w16cid:durableId="758142131">
    <w:abstractNumId w:val="3"/>
  </w:num>
  <w:num w:numId="5" w16cid:durableId="1310279903">
    <w:abstractNumId w:val="3"/>
  </w:num>
  <w:num w:numId="6" w16cid:durableId="1530409810">
    <w:abstractNumId w:val="2"/>
  </w:num>
  <w:num w:numId="7" w16cid:durableId="406460071">
    <w:abstractNumId w:val="2"/>
  </w:num>
  <w:num w:numId="8" w16cid:durableId="1326593988">
    <w:abstractNumId w:val="1"/>
  </w:num>
  <w:num w:numId="9" w16cid:durableId="1326860797">
    <w:abstractNumId w:val="1"/>
  </w:num>
  <w:num w:numId="10" w16cid:durableId="319770959">
    <w:abstractNumId w:val="0"/>
  </w:num>
  <w:num w:numId="11" w16cid:durableId="916982901">
    <w:abstractNumId w:val="0"/>
  </w:num>
  <w:num w:numId="12" w16cid:durableId="717896477">
    <w:abstractNumId w:val="6"/>
  </w:num>
  <w:num w:numId="13" w16cid:durableId="509299079">
    <w:abstractNumId w:val="9"/>
  </w:num>
  <w:num w:numId="14" w16cid:durableId="1337150290">
    <w:abstractNumId w:val="8"/>
  </w:num>
  <w:num w:numId="15" w16cid:durableId="462432619">
    <w:abstractNumId w:val="5"/>
  </w:num>
  <w:num w:numId="16" w16cid:durableId="15065081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97931383">
    <w:abstractNumId w:val="10"/>
  </w:num>
  <w:num w:numId="18" w16cid:durableId="39604837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spelling="clean" w:grammar="clean"/>
  <w:doNotTrackFormatting/>
  <w:defaultTabStop w:val="720"/>
  <w:clickAndTypeStyle w:val="PolicyTitleBox"/>
  <w:characterSpacingControl w:val="doNotCompress"/>
  <w:hdrShapeDefaults>
    <o:shapedefaults v:ext="edit" spidmax="7577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15DA"/>
    <w:rsid w:val="000143A2"/>
    <w:rsid w:val="00017254"/>
    <w:rsid w:val="00026726"/>
    <w:rsid w:val="000376CE"/>
    <w:rsid w:val="000507F5"/>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D1152"/>
    <w:rsid w:val="000D522B"/>
    <w:rsid w:val="000F261A"/>
    <w:rsid w:val="000F30CA"/>
    <w:rsid w:val="000F710F"/>
    <w:rsid w:val="000F7910"/>
    <w:rsid w:val="00100E9C"/>
    <w:rsid w:val="00114F02"/>
    <w:rsid w:val="00123136"/>
    <w:rsid w:val="00125E1F"/>
    <w:rsid w:val="00137065"/>
    <w:rsid w:val="0014408F"/>
    <w:rsid w:val="001479B1"/>
    <w:rsid w:val="00151EC6"/>
    <w:rsid w:val="00156EA7"/>
    <w:rsid w:val="001652AD"/>
    <w:rsid w:val="00176981"/>
    <w:rsid w:val="00177BA5"/>
    <w:rsid w:val="0018025F"/>
    <w:rsid w:val="001C1D43"/>
    <w:rsid w:val="001C3978"/>
    <w:rsid w:val="001C5C15"/>
    <w:rsid w:val="001E1260"/>
    <w:rsid w:val="001E7AE7"/>
    <w:rsid w:val="001F4D2D"/>
    <w:rsid w:val="0021167F"/>
    <w:rsid w:val="0021369D"/>
    <w:rsid w:val="00217190"/>
    <w:rsid w:val="00224022"/>
    <w:rsid w:val="002345DA"/>
    <w:rsid w:val="00246025"/>
    <w:rsid w:val="0028031C"/>
    <w:rsid w:val="00280B93"/>
    <w:rsid w:val="002821D2"/>
    <w:rsid w:val="00284A5E"/>
    <w:rsid w:val="00286D2D"/>
    <w:rsid w:val="002A7657"/>
    <w:rsid w:val="002B4219"/>
    <w:rsid w:val="002C77C7"/>
    <w:rsid w:val="002E771E"/>
    <w:rsid w:val="002F4D33"/>
    <w:rsid w:val="002F7C67"/>
    <w:rsid w:val="00302590"/>
    <w:rsid w:val="00305489"/>
    <w:rsid w:val="00306B03"/>
    <w:rsid w:val="00311B2D"/>
    <w:rsid w:val="003233D7"/>
    <w:rsid w:val="003234E0"/>
    <w:rsid w:val="00331DBF"/>
    <w:rsid w:val="00346329"/>
    <w:rsid w:val="00354BAF"/>
    <w:rsid w:val="00355C5E"/>
    <w:rsid w:val="00363573"/>
    <w:rsid w:val="00363AE7"/>
    <w:rsid w:val="00367B06"/>
    <w:rsid w:val="00376D68"/>
    <w:rsid w:val="003804C0"/>
    <w:rsid w:val="00385E10"/>
    <w:rsid w:val="003915B0"/>
    <w:rsid w:val="003B3329"/>
    <w:rsid w:val="003C025D"/>
    <w:rsid w:val="003D40B6"/>
    <w:rsid w:val="003E527F"/>
    <w:rsid w:val="003E6E0C"/>
    <w:rsid w:val="003F7B66"/>
    <w:rsid w:val="00415660"/>
    <w:rsid w:val="00415A69"/>
    <w:rsid w:val="004347FA"/>
    <w:rsid w:val="00440997"/>
    <w:rsid w:val="00441706"/>
    <w:rsid w:val="00443C38"/>
    <w:rsid w:val="00445C9C"/>
    <w:rsid w:val="00453EF5"/>
    <w:rsid w:val="00455739"/>
    <w:rsid w:val="00456577"/>
    <w:rsid w:val="0047217A"/>
    <w:rsid w:val="00472B26"/>
    <w:rsid w:val="0047687C"/>
    <w:rsid w:val="00484B66"/>
    <w:rsid w:val="00490A75"/>
    <w:rsid w:val="0049277F"/>
    <w:rsid w:val="00494174"/>
    <w:rsid w:val="004C1EE4"/>
    <w:rsid w:val="004C2F7D"/>
    <w:rsid w:val="004E20C7"/>
    <w:rsid w:val="004E3582"/>
    <w:rsid w:val="004F53EB"/>
    <w:rsid w:val="005130E3"/>
    <w:rsid w:val="0051750D"/>
    <w:rsid w:val="00524F11"/>
    <w:rsid w:val="0053138C"/>
    <w:rsid w:val="005342BD"/>
    <w:rsid w:val="00536354"/>
    <w:rsid w:val="00543474"/>
    <w:rsid w:val="00557E6B"/>
    <w:rsid w:val="00565CE6"/>
    <w:rsid w:val="00573A5C"/>
    <w:rsid w:val="005A0A48"/>
    <w:rsid w:val="005A4EEB"/>
    <w:rsid w:val="005A6BFA"/>
    <w:rsid w:val="005B5E10"/>
    <w:rsid w:val="005C1564"/>
    <w:rsid w:val="005E06B3"/>
    <w:rsid w:val="005E3F0A"/>
    <w:rsid w:val="005F3316"/>
    <w:rsid w:val="0060463A"/>
    <w:rsid w:val="0061672C"/>
    <w:rsid w:val="00620A00"/>
    <w:rsid w:val="00621D2B"/>
    <w:rsid w:val="0062603D"/>
    <w:rsid w:val="00634B0E"/>
    <w:rsid w:val="00645006"/>
    <w:rsid w:val="00660AC5"/>
    <w:rsid w:val="00662E7C"/>
    <w:rsid w:val="006705C2"/>
    <w:rsid w:val="006728D3"/>
    <w:rsid w:val="006752BC"/>
    <w:rsid w:val="00684386"/>
    <w:rsid w:val="00685AAF"/>
    <w:rsid w:val="00695030"/>
    <w:rsid w:val="00695431"/>
    <w:rsid w:val="0069687A"/>
    <w:rsid w:val="006A0245"/>
    <w:rsid w:val="006B088B"/>
    <w:rsid w:val="006B323F"/>
    <w:rsid w:val="006C2EF8"/>
    <w:rsid w:val="006C2F1B"/>
    <w:rsid w:val="006E24CB"/>
    <w:rsid w:val="006E2746"/>
    <w:rsid w:val="006E544D"/>
    <w:rsid w:val="006E5941"/>
    <w:rsid w:val="006E71CD"/>
    <w:rsid w:val="00700C86"/>
    <w:rsid w:val="00700E92"/>
    <w:rsid w:val="0073390E"/>
    <w:rsid w:val="00734CF6"/>
    <w:rsid w:val="00737933"/>
    <w:rsid w:val="007405D2"/>
    <w:rsid w:val="007443E2"/>
    <w:rsid w:val="007519A6"/>
    <w:rsid w:val="00752B2D"/>
    <w:rsid w:val="00754B98"/>
    <w:rsid w:val="00763A99"/>
    <w:rsid w:val="00776F2E"/>
    <w:rsid w:val="00782930"/>
    <w:rsid w:val="00784DE2"/>
    <w:rsid w:val="007A0E9B"/>
    <w:rsid w:val="007A1553"/>
    <w:rsid w:val="007A3694"/>
    <w:rsid w:val="007A7F92"/>
    <w:rsid w:val="007B228A"/>
    <w:rsid w:val="007B384B"/>
    <w:rsid w:val="007D02D3"/>
    <w:rsid w:val="007D1D34"/>
    <w:rsid w:val="007E3300"/>
    <w:rsid w:val="007E4701"/>
    <w:rsid w:val="007F0455"/>
    <w:rsid w:val="008073B2"/>
    <w:rsid w:val="00814EB4"/>
    <w:rsid w:val="008152CF"/>
    <w:rsid w:val="00824B84"/>
    <w:rsid w:val="00830ED8"/>
    <w:rsid w:val="00835AD6"/>
    <w:rsid w:val="00844CD8"/>
    <w:rsid w:val="00850A44"/>
    <w:rsid w:val="00870BED"/>
    <w:rsid w:val="00882C0D"/>
    <w:rsid w:val="00890313"/>
    <w:rsid w:val="008A156E"/>
    <w:rsid w:val="008A2D8F"/>
    <w:rsid w:val="008A3BAF"/>
    <w:rsid w:val="008B0925"/>
    <w:rsid w:val="008B6FAC"/>
    <w:rsid w:val="008B730B"/>
    <w:rsid w:val="008C7499"/>
    <w:rsid w:val="008D663E"/>
    <w:rsid w:val="008E1CAE"/>
    <w:rsid w:val="008F4D57"/>
    <w:rsid w:val="00907FA5"/>
    <w:rsid w:val="00912BAC"/>
    <w:rsid w:val="00923DFB"/>
    <w:rsid w:val="009317A1"/>
    <w:rsid w:val="00940E79"/>
    <w:rsid w:val="009510E8"/>
    <w:rsid w:val="009510FB"/>
    <w:rsid w:val="00953BE3"/>
    <w:rsid w:val="00957136"/>
    <w:rsid w:val="00963266"/>
    <w:rsid w:val="00972985"/>
    <w:rsid w:val="00976D56"/>
    <w:rsid w:val="00976F42"/>
    <w:rsid w:val="00977D62"/>
    <w:rsid w:val="009816CA"/>
    <w:rsid w:val="00982B4E"/>
    <w:rsid w:val="009854C4"/>
    <w:rsid w:val="009A42F6"/>
    <w:rsid w:val="009B1678"/>
    <w:rsid w:val="009C21A8"/>
    <w:rsid w:val="009C4D2A"/>
    <w:rsid w:val="009D2FD3"/>
    <w:rsid w:val="009D427B"/>
    <w:rsid w:val="009D6C26"/>
    <w:rsid w:val="009E56B6"/>
    <w:rsid w:val="009F2011"/>
    <w:rsid w:val="009F24C0"/>
    <w:rsid w:val="009F4F41"/>
    <w:rsid w:val="009F694C"/>
    <w:rsid w:val="009F7274"/>
    <w:rsid w:val="00A0277F"/>
    <w:rsid w:val="00A15392"/>
    <w:rsid w:val="00A20986"/>
    <w:rsid w:val="00A268EF"/>
    <w:rsid w:val="00A312B5"/>
    <w:rsid w:val="00A61DAA"/>
    <w:rsid w:val="00A7204A"/>
    <w:rsid w:val="00A967F8"/>
    <w:rsid w:val="00AC3EDD"/>
    <w:rsid w:val="00AC5141"/>
    <w:rsid w:val="00AC6972"/>
    <w:rsid w:val="00AD4D56"/>
    <w:rsid w:val="00AE1154"/>
    <w:rsid w:val="00AE76D9"/>
    <w:rsid w:val="00AF3E4D"/>
    <w:rsid w:val="00AF6F27"/>
    <w:rsid w:val="00B01ACE"/>
    <w:rsid w:val="00B04433"/>
    <w:rsid w:val="00B04CC2"/>
    <w:rsid w:val="00B239E5"/>
    <w:rsid w:val="00B24778"/>
    <w:rsid w:val="00B3442C"/>
    <w:rsid w:val="00B36427"/>
    <w:rsid w:val="00B4113F"/>
    <w:rsid w:val="00B44352"/>
    <w:rsid w:val="00B637AA"/>
    <w:rsid w:val="00B659D3"/>
    <w:rsid w:val="00B70CD3"/>
    <w:rsid w:val="00B76A55"/>
    <w:rsid w:val="00B93330"/>
    <w:rsid w:val="00B94A90"/>
    <w:rsid w:val="00B97A23"/>
    <w:rsid w:val="00BA02CC"/>
    <w:rsid w:val="00BA54B2"/>
    <w:rsid w:val="00BB2371"/>
    <w:rsid w:val="00BB563D"/>
    <w:rsid w:val="00BC6D2F"/>
    <w:rsid w:val="00BD65DF"/>
    <w:rsid w:val="00BE3BCE"/>
    <w:rsid w:val="00BE44C8"/>
    <w:rsid w:val="00BE450C"/>
    <w:rsid w:val="00BE5ECB"/>
    <w:rsid w:val="00BF1386"/>
    <w:rsid w:val="00BF2228"/>
    <w:rsid w:val="00C04F63"/>
    <w:rsid w:val="00C21664"/>
    <w:rsid w:val="00C25368"/>
    <w:rsid w:val="00C33AB4"/>
    <w:rsid w:val="00C42489"/>
    <w:rsid w:val="00C430FD"/>
    <w:rsid w:val="00C66A00"/>
    <w:rsid w:val="00C71516"/>
    <w:rsid w:val="00C8087B"/>
    <w:rsid w:val="00C82AB8"/>
    <w:rsid w:val="00CB18D4"/>
    <w:rsid w:val="00CB5D00"/>
    <w:rsid w:val="00CC11B1"/>
    <w:rsid w:val="00CC2690"/>
    <w:rsid w:val="00CC7D46"/>
    <w:rsid w:val="00CE06A1"/>
    <w:rsid w:val="00CE3549"/>
    <w:rsid w:val="00CE482D"/>
    <w:rsid w:val="00CF6EF5"/>
    <w:rsid w:val="00D01C38"/>
    <w:rsid w:val="00D07014"/>
    <w:rsid w:val="00D33F63"/>
    <w:rsid w:val="00D37878"/>
    <w:rsid w:val="00D4493C"/>
    <w:rsid w:val="00D55ABF"/>
    <w:rsid w:val="00D65180"/>
    <w:rsid w:val="00D7233F"/>
    <w:rsid w:val="00D7490B"/>
    <w:rsid w:val="00D82C4F"/>
    <w:rsid w:val="00D85D37"/>
    <w:rsid w:val="00D87B51"/>
    <w:rsid w:val="00DC1839"/>
    <w:rsid w:val="00DE0C18"/>
    <w:rsid w:val="00DF0AE6"/>
    <w:rsid w:val="00DF464B"/>
    <w:rsid w:val="00E009DD"/>
    <w:rsid w:val="00E07338"/>
    <w:rsid w:val="00E17417"/>
    <w:rsid w:val="00E34F37"/>
    <w:rsid w:val="00E462E0"/>
    <w:rsid w:val="00E56759"/>
    <w:rsid w:val="00E60543"/>
    <w:rsid w:val="00E66222"/>
    <w:rsid w:val="00E678D6"/>
    <w:rsid w:val="00E67AB7"/>
    <w:rsid w:val="00E70BB8"/>
    <w:rsid w:val="00E71A63"/>
    <w:rsid w:val="00E727A4"/>
    <w:rsid w:val="00E81F69"/>
    <w:rsid w:val="00E83406"/>
    <w:rsid w:val="00E908E7"/>
    <w:rsid w:val="00E9130E"/>
    <w:rsid w:val="00E9354D"/>
    <w:rsid w:val="00EA05AE"/>
    <w:rsid w:val="00EA3062"/>
    <w:rsid w:val="00EC519B"/>
    <w:rsid w:val="00EC51D5"/>
    <w:rsid w:val="00EE49D0"/>
    <w:rsid w:val="00EF573E"/>
    <w:rsid w:val="00F166D4"/>
    <w:rsid w:val="00F16CA1"/>
    <w:rsid w:val="00F25A37"/>
    <w:rsid w:val="00F45027"/>
    <w:rsid w:val="00F45D0D"/>
    <w:rsid w:val="00F704CA"/>
    <w:rsid w:val="00F774CC"/>
    <w:rsid w:val="00F80E45"/>
    <w:rsid w:val="00F91523"/>
    <w:rsid w:val="00F93518"/>
    <w:rsid w:val="00F94BBC"/>
    <w:rsid w:val="00FA481C"/>
    <w:rsid w:val="00FB3011"/>
    <w:rsid w:val="00FB4868"/>
    <w:rsid w:val="00FB52F8"/>
    <w:rsid w:val="00FC3907"/>
    <w:rsid w:val="00FD1C98"/>
    <w:rsid w:val="00FD3DFE"/>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5EB8364B"/>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114F02"/>
    <w:rPr>
      <w:color w:val="0000FF"/>
      <w:u w:val="single"/>
    </w:rPr>
  </w:style>
  <w:style w:type="character" w:styleId="Hyperlink">
    <w:name w:val="Hyperlink"/>
    <w:basedOn w:val="DefaultParagraphFont"/>
    <w:uiPriority w:val="99"/>
    <w:unhideWhenUsed/>
    <w:rsid w:val="0014408F"/>
    <w:rPr>
      <w:color w:val="0563C1" w:themeColor="hyperlink"/>
      <w:u w:val="single"/>
    </w:rPr>
  </w:style>
  <w:style w:type="character" w:styleId="UnresolvedMention">
    <w:name w:val="Unresolved Mention"/>
    <w:basedOn w:val="DefaultParagraphFont"/>
    <w:uiPriority w:val="99"/>
    <w:semiHidden/>
    <w:unhideWhenUsed/>
    <w:rsid w:val="0014408F"/>
    <w:rPr>
      <w:color w:val="605E5C"/>
      <w:shd w:val="clear" w:color="auto" w:fill="E1DFDD"/>
    </w:rPr>
  </w:style>
  <w:style w:type="paragraph" w:styleId="Revision">
    <w:name w:val="Revision"/>
    <w:hidden/>
    <w:uiPriority w:val="99"/>
    <w:semiHidden/>
    <w:rsid w:val="00E678D6"/>
    <w:pPr>
      <w:spacing w:after="0" w:line="240" w:lineRule="auto"/>
    </w:pPr>
    <w:rPr>
      <w:rFonts w:ascii="Times New Roman" w:hAnsi="Times New Roman" w:cs="Times New Roman"/>
      <w:sz w:val="24"/>
    </w:rPr>
  </w:style>
  <w:style w:type="character" w:styleId="CommentReference">
    <w:name w:val="annotation reference"/>
    <w:basedOn w:val="DefaultParagraphFont"/>
    <w:uiPriority w:val="99"/>
    <w:semiHidden/>
    <w:unhideWhenUsed/>
    <w:rsid w:val="00E678D6"/>
    <w:rPr>
      <w:sz w:val="16"/>
      <w:szCs w:val="16"/>
    </w:rPr>
  </w:style>
  <w:style w:type="paragraph" w:styleId="CommentText">
    <w:name w:val="annotation text"/>
    <w:basedOn w:val="Normal"/>
    <w:link w:val="CommentTextChar"/>
    <w:uiPriority w:val="99"/>
    <w:unhideWhenUsed/>
    <w:rsid w:val="00E678D6"/>
    <w:rPr>
      <w:sz w:val="20"/>
      <w:szCs w:val="20"/>
    </w:rPr>
  </w:style>
  <w:style w:type="character" w:customStyle="1" w:styleId="CommentTextChar">
    <w:name w:val="Comment Text Char"/>
    <w:basedOn w:val="DefaultParagraphFont"/>
    <w:link w:val="CommentText"/>
    <w:uiPriority w:val="99"/>
    <w:rsid w:val="00E678D6"/>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apps.oregon.gov/OGEC/CMS/Advice" TargetMode="External"/><Relationship Id="rId2" Type="http://schemas.openxmlformats.org/officeDocument/2006/relationships/numbering" Target="numbering.xml"/><Relationship Id="rId16" Type="http://schemas.openxmlformats.org/officeDocument/2006/relationships/hyperlink" Target="http://policy.osba.org/orsredir.asp?ors=ors-33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332"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1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590B51-F245-4753-8BDD-1D8247EAE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3</Pages>
  <Words>621</Words>
  <Characters>3544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BDC - Executive Sessions</vt:lpstr>
    </vt:vector>
  </TitlesOfParts>
  <Company>OSBA</Company>
  <LinksUpToDate>false</LinksUpToDate>
  <CharactersWithSpaces>4157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BDC - Executive Sessions</dc:title>
  <dc:subject>Lourdes Public CS Board Policy</dc:subject>
  <dc:creator>Oregon School Boards Association</dc:creator>
  <cp:keywords/>
  <dc:description/>
  <cp:lastModifiedBy>Colleen Allen</cp:lastModifiedBy>
  <cp:revision>52</cp:revision>
  <dcterms:created xsi:type="dcterms:W3CDTF">2018-03-23T19:08:00Z</dcterms:created>
  <dcterms:modified xsi:type="dcterms:W3CDTF">2025-05-22T14:31:00Z</dcterms:modified>
</cp:coreProperties>
</file>