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A1F27" w14:textId="77777777" w:rsidR="009E5525" w:rsidRPr="00976D56" w:rsidRDefault="009E5525" w:rsidP="001E1260">
      <w:pPr>
        <w:pStyle w:val="PolicyTitleBox"/>
      </w:pPr>
      <w:r>
        <w:t>Lourdes Public Charter School</w:t>
      </w:r>
    </w:p>
    <w:p w14:paraId="5E8EF2C6" w14:textId="77777777" w:rsidR="00CC7D46" w:rsidRDefault="00CC7D46" w:rsidP="00CC7D46"/>
    <w:p w14:paraId="2D047E75" w14:textId="77777777" w:rsidR="001E1260" w:rsidRDefault="001E1260" w:rsidP="001E1260">
      <w:pPr>
        <w:pStyle w:val="PolicyCode"/>
      </w:pPr>
      <w:r>
        <w:t>Code:</w:t>
      </w:r>
      <w:r>
        <w:tab/>
      </w:r>
      <w:r w:rsidR="00383CD5">
        <w:t>BBFB</w:t>
      </w:r>
    </w:p>
    <w:p w14:paraId="207410E5" w14:textId="2A528071" w:rsidR="001E1260" w:rsidRDefault="001E1260" w:rsidP="001E1260">
      <w:pPr>
        <w:pStyle w:val="PolicyCode"/>
      </w:pPr>
      <w:r>
        <w:t>Adopted:</w:t>
      </w:r>
      <w:r>
        <w:tab/>
      </w:r>
      <w:r w:rsidR="004E2B45">
        <w:t>4/28/25</w:t>
      </w:r>
    </w:p>
    <w:p w14:paraId="1FB8D21F" w14:textId="77777777" w:rsidR="001E1260" w:rsidRPr="001E1260" w:rsidRDefault="001E1260" w:rsidP="00CC7D46"/>
    <w:p w14:paraId="1061BA31" w14:textId="77777777" w:rsidR="00EF573E" w:rsidRDefault="00383CD5" w:rsidP="00EF573E">
      <w:pPr>
        <w:pStyle w:val="PolicyTitle"/>
      </w:pPr>
      <w:r>
        <w:t>Board Member Ethics and Nepotism</w:t>
      </w:r>
    </w:p>
    <w:p w14:paraId="1030B5DB" w14:textId="77777777" w:rsidR="00EF573E" w:rsidRDefault="00EF573E" w:rsidP="00EF573E"/>
    <w:p w14:paraId="37BD540C" w14:textId="4AB6AC68" w:rsidR="00383CD5" w:rsidRDefault="00383CD5" w:rsidP="00383CD5">
      <w:pPr>
        <w:pStyle w:val="PolicyBodyText"/>
      </w:pPr>
      <w:r>
        <w:t>In order to avoid both potential and actual conflicts of interests, Board members will abide by the following rules when a Board member</w:t>
      </w:r>
      <w:r w:rsidR="003F782C">
        <w:t>’</w:t>
      </w:r>
      <w:r>
        <w:t>s relative or member of the household is seeking and/or holds a position with the public charter school:</w:t>
      </w:r>
    </w:p>
    <w:p w14:paraId="754E20C1" w14:textId="77777777" w:rsidR="00383CD5" w:rsidRDefault="00383CD5" w:rsidP="00383CD5">
      <w:pPr>
        <w:pStyle w:val="PolicyBodyText"/>
      </w:pPr>
    </w:p>
    <w:p w14:paraId="514B887E" w14:textId="77777777" w:rsidR="00383CD5" w:rsidRDefault="00383CD5" w:rsidP="00383CD5">
      <w:pPr>
        <w:pStyle w:val="Level1"/>
      </w:pPr>
      <w:r>
        <w:t xml:space="preserve">A Board member may not appoint, employ, promote, discharge, fire, or demote or advocate for such an employment decision for a relative or member of the household, unless the Board member complies with the conflict of interest requirements of </w:t>
      </w:r>
      <w:r w:rsidR="00DE1216">
        <w:t>Oregon Revised Statute (</w:t>
      </w:r>
      <w:r>
        <w:t>ORS</w:t>
      </w:r>
      <w:r w:rsidR="00DE1216">
        <w:t>)</w:t>
      </w:r>
      <w:r>
        <w:t xml:space="preserve"> Chapter 244.</w:t>
      </w:r>
    </w:p>
    <w:p w14:paraId="59C037B1" w14:textId="51707307" w:rsidR="00383CD5" w:rsidRDefault="00383CD5" w:rsidP="00DE1216">
      <w:pPr>
        <w:pStyle w:val="PolicyBodyIndent0After"/>
      </w:pPr>
      <w:r>
        <w:t>This policy does not apply to decisions regarding unpaid volunteer positions unless it is a Board member position or another Board-related unpaid volunteer position (i.e. a Board committee position)</w:t>
      </w:r>
      <w:r w:rsidR="00533BA4">
        <w:t>;</w:t>
      </w:r>
    </w:p>
    <w:p w14:paraId="3E256D0C" w14:textId="77777777" w:rsidR="00383CD5" w:rsidRDefault="00383CD5" w:rsidP="00383CD5">
      <w:pPr>
        <w:pStyle w:val="PolicyBodyText"/>
      </w:pPr>
    </w:p>
    <w:p w14:paraId="3CD546D7" w14:textId="77777777" w:rsidR="00383CD5" w:rsidRDefault="00383CD5" w:rsidP="00383CD5">
      <w:pPr>
        <w:pStyle w:val="Level1"/>
      </w:pPr>
      <w:r>
        <w:t>A Board member may not participate as a public official in any interview, discussion, or debate regarding the appointment, employment, promotion, discharge, firing, or demotion of a relative or member of the household. A Board member may still serve as a reference or provide a recommendation.</w:t>
      </w:r>
    </w:p>
    <w:p w14:paraId="5D0B8C02" w14:textId="77777777" w:rsidR="00383CD5" w:rsidRDefault="00383CD5" w:rsidP="00383CD5">
      <w:pPr>
        <w:pStyle w:val="PolicyBodyText"/>
      </w:pPr>
      <w:r>
        <w:t>For the purposes of this policy:</w:t>
      </w:r>
    </w:p>
    <w:p w14:paraId="1F0703C4" w14:textId="77777777" w:rsidR="00383CD5" w:rsidRDefault="00383CD5" w:rsidP="00383CD5">
      <w:pPr>
        <w:pStyle w:val="PolicyBodyText"/>
      </w:pPr>
    </w:p>
    <w:p w14:paraId="6B284447" w14:textId="0FCEFC5F" w:rsidR="00383CD5" w:rsidRDefault="003F782C" w:rsidP="00383CD5">
      <w:pPr>
        <w:pStyle w:val="PolicyBodyText"/>
      </w:pPr>
      <w:r>
        <w:t>“</w:t>
      </w:r>
      <w:r w:rsidR="00383CD5">
        <w:t>Member of the household</w:t>
      </w:r>
      <w:r>
        <w:t>”</w:t>
      </w:r>
      <w:r w:rsidR="00383CD5">
        <w:t xml:space="preserve"> means any person who resides with the Board member.</w:t>
      </w:r>
    </w:p>
    <w:p w14:paraId="02D03BFA" w14:textId="77777777" w:rsidR="00383CD5" w:rsidRDefault="00383CD5" w:rsidP="00383CD5">
      <w:pPr>
        <w:pStyle w:val="PolicyBodyText"/>
      </w:pPr>
    </w:p>
    <w:p w14:paraId="099993C1" w14:textId="126C4973" w:rsidR="00383CD5" w:rsidRDefault="003F782C" w:rsidP="007851CD">
      <w:pPr>
        <w:suppressAutoHyphens w:val="0"/>
      </w:pPr>
      <w:r>
        <w:t>“</w:t>
      </w:r>
      <w:r w:rsidR="00383CD5">
        <w:t>Relative</w:t>
      </w:r>
      <w:r>
        <w:t>”</w:t>
      </w:r>
      <w:r w:rsidR="00383CD5">
        <w:t xml:space="preserve"> means: the spouse</w:t>
      </w:r>
      <w:r w:rsidR="00383CD5">
        <w:rPr>
          <w:rStyle w:val="FootnoteReference"/>
        </w:rPr>
        <w:footnoteReference w:id="1"/>
      </w:r>
      <w:r w:rsidR="00383CD5">
        <w:t xml:space="preserve">, parent, step-parent, child, sibling, step-sibling or </w:t>
      </w:r>
      <w:r w:rsidR="00F83CBC">
        <w:t>child</w:t>
      </w:r>
      <w:r w:rsidR="00383CD5">
        <w:t>-in-law of the Board member; or the parent, step-parent, child, sibling, step-sibling</w:t>
      </w:r>
      <w:r w:rsidR="00F83CBC">
        <w:t xml:space="preserve"> </w:t>
      </w:r>
      <w:r w:rsidR="00383CD5">
        <w:t xml:space="preserve">or </w:t>
      </w:r>
      <w:r w:rsidR="00F83CBC">
        <w:t>child</w:t>
      </w:r>
      <w:r w:rsidR="00383CD5">
        <w:t>-in-law of the spouse of the Board member.</w:t>
      </w:r>
      <w:r>
        <w:rPr>
          <w:rStyle w:val="FootnoteReference"/>
        </w:rPr>
        <w:t xml:space="preserve"> </w:t>
      </w:r>
      <w:r w:rsidR="00383CD5">
        <w:t>Relative also includes any individual for whom the Board member has a legal support obligation, whose employment provides benefits</w:t>
      </w:r>
      <w:r w:rsidR="00383CD5">
        <w:rPr>
          <w:rStyle w:val="FootnoteReference"/>
        </w:rPr>
        <w:footnoteReference w:id="2"/>
      </w:r>
      <w:r w:rsidR="00383CD5">
        <w:t xml:space="preserve"> to the Board member, or who receives any benefit from the Board member</w:t>
      </w:r>
      <w:r>
        <w:t>’</w:t>
      </w:r>
      <w:r w:rsidR="00383CD5">
        <w:t>s public employment.</w:t>
      </w:r>
    </w:p>
    <w:p w14:paraId="63C613DA" w14:textId="77777777" w:rsidR="00383CD5" w:rsidRDefault="00383CD5" w:rsidP="00383CD5">
      <w:pPr>
        <w:pStyle w:val="PolicyBodyText"/>
      </w:pPr>
    </w:p>
    <w:p w14:paraId="40F480A1" w14:textId="77777777" w:rsidR="00383CD5" w:rsidRPr="00383CD5" w:rsidRDefault="00383CD5" w:rsidP="00383CD5">
      <w:pPr>
        <w:pStyle w:val="PolicyBodyText"/>
        <w:rPr>
          <w:b/>
        </w:rPr>
      </w:pPr>
      <w:r w:rsidRPr="00383CD5">
        <w:rPr>
          <w:b/>
        </w:rPr>
        <w:t>Class Exception</w:t>
      </w:r>
    </w:p>
    <w:p w14:paraId="7EF7875C" w14:textId="77777777" w:rsidR="00383CD5" w:rsidRDefault="00383CD5" w:rsidP="00383CD5">
      <w:pPr>
        <w:pStyle w:val="PolicyBodyText"/>
      </w:pPr>
    </w:p>
    <w:p w14:paraId="17FB95CE" w14:textId="0FDA08C2" w:rsidR="00DE1216" w:rsidRDefault="00383CD5" w:rsidP="00383CD5">
      <w:pPr>
        <w:pStyle w:val="PolicyBodyText"/>
      </w:pPr>
      <w:r>
        <w:t>It will not be a conflict of interest if the Board member</w:t>
      </w:r>
      <w:r w:rsidR="003F782C">
        <w:t>’</w:t>
      </w:r>
      <w:r>
        <w:t>s action would affect to the same degree a class including the Board member</w:t>
      </w:r>
      <w:r w:rsidR="003F782C">
        <w:t>’</w:t>
      </w:r>
      <w:r>
        <w:t>s relative or household member. For example, if a Board member</w:t>
      </w:r>
      <w:r w:rsidR="003F782C">
        <w:t>’</w:t>
      </w:r>
      <w:r>
        <w:t>s spouse is</w:t>
      </w:r>
      <w:r w:rsidR="007B36E2">
        <w:t xml:space="preserve"> </w:t>
      </w:r>
      <w:r>
        <w:t xml:space="preserve">a member of the collective bargaining unit, the Board member may vote to approve the contract, as it will affect all members of that class to the same degree. However, if the collective bargaining unit is very small, the class exception may not apply. Similarly, if the contract contains special provisions that might apply only to particular persons, then the class exception may not apply. For example, if a Board </w:t>
      </w:r>
    </w:p>
    <w:p w14:paraId="29AEC299" w14:textId="0501554F" w:rsidR="00DE1216" w:rsidRDefault="00DE1216">
      <w:pPr>
        <w:suppressAutoHyphens w:val="0"/>
        <w:spacing w:after="160" w:line="259" w:lineRule="auto"/>
      </w:pPr>
    </w:p>
    <w:p w14:paraId="306C3B5A" w14:textId="11CD979F" w:rsidR="00383CD5" w:rsidRDefault="00383CD5" w:rsidP="00383CD5">
      <w:pPr>
        <w:pStyle w:val="PolicyBodyText"/>
      </w:pPr>
      <w:r>
        <w:lastRenderedPageBreak/>
        <w:t>member</w:t>
      </w:r>
      <w:r w:rsidR="003F782C">
        <w:t>’</w:t>
      </w:r>
      <w:r>
        <w:t>s spouse is the only one in the bargaining unit that has a doctorate and there is a pay differential for employees with doctorates in the collective bargaining agreement, the Board member should not vote on the contract.</w:t>
      </w:r>
    </w:p>
    <w:p w14:paraId="432DC862" w14:textId="77777777" w:rsidR="00383CD5" w:rsidRDefault="00383CD5" w:rsidP="00383CD5">
      <w:pPr>
        <w:pStyle w:val="PolicyBodyText"/>
      </w:pPr>
    </w:p>
    <w:p w14:paraId="4C458249" w14:textId="3DA491D3" w:rsidR="00383CD5" w:rsidRDefault="00383CD5" w:rsidP="004E2B45">
      <w:pPr>
        <w:pStyle w:val="PolicyBodyText"/>
      </w:pPr>
      <w:r>
        <w:t>END OF POLICY</w:t>
      </w:r>
    </w:p>
    <w:p w14:paraId="24CDCD50" w14:textId="77777777" w:rsidR="004E2B45" w:rsidRDefault="004E2B45" w:rsidP="004E2B45">
      <w:pPr>
        <w:pStyle w:val="PolicyLine"/>
      </w:pPr>
    </w:p>
    <w:p w14:paraId="7AB697BE" w14:textId="77777777" w:rsidR="004E2B45" w:rsidRPr="008179F6" w:rsidRDefault="004E2B45" w:rsidP="004E2B45">
      <w:pPr>
        <w:pStyle w:val="PolicyReferencesHeading"/>
      </w:pPr>
      <w:r w:rsidRPr="008179F6">
        <w:t>Legal Reference(s):</w:t>
      </w:r>
    </w:p>
    <w:p w14:paraId="49E83CB3" w14:textId="77777777" w:rsidR="004E2B45" w:rsidRPr="008179F6" w:rsidRDefault="004E2B45" w:rsidP="004E2B45">
      <w:pPr>
        <w:pStyle w:val="PolicyReferences"/>
      </w:pPr>
    </w:p>
    <w:p w14:paraId="566EF348" w14:textId="77777777" w:rsidR="004E2B45" w:rsidRPr="008179F6" w:rsidRDefault="004E2B45" w:rsidP="004E2B45">
      <w:pPr>
        <w:pStyle w:val="PolicyReferences"/>
        <w:sectPr w:rsidR="004E2B45" w:rsidRPr="008179F6" w:rsidSect="00383CD5">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bookmarkStart w:id="0" w:name="Laws"/>
      <w:bookmarkStart w:id="1" w:name="ORS"/>
      <w:bookmarkEnd w:id="0"/>
      <w:bookmarkEnd w:id="1"/>
    </w:p>
    <w:p w14:paraId="1A587E9E" w14:textId="77777777" w:rsidR="004E2B45" w:rsidRPr="008179F6" w:rsidRDefault="004E2B45" w:rsidP="004E2B45">
      <w:pPr>
        <w:pStyle w:val="PolicyReferences"/>
      </w:pPr>
      <w:hyperlink r:id="rId14" w:history="1">
        <w:r w:rsidRPr="008179F6">
          <w:rPr>
            <w:rStyle w:val="SYSHYPERTEXT"/>
          </w:rPr>
          <w:t>ORS 244</w:t>
        </w:r>
      </w:hyperlink>
      <w:r w:rsidRPr="008179F6">
        <w:t>.010 - 244.400</w:t>
      </w:r>
    </w:p>
    <w:p w14:paraId="4FFE3AF4" w14:textId="77777777" w:rsidR="004E2B45" w:rsidRPr="008179F6" w:rsidRDefault="004E2B45" w:rsidP="004E2B45">
      <w:pPr>
        <w:pStyle w:val="PolicyReferences"/>
      </w:pPr>
      <w:hyperlink r:id="rId15" w:history="1">
        <w:r w:rsidRPr="008179F6">
          <w:rPr>
            <w:rStyle w:val="SYSHYPERTEXT"/>
          </w:rPr>
          <w:t>ORS 659A</w:t>
        </w:r>
      </w:hyperlink>
      <w:r w:rsidRPr="008179F6">
        <w:t>.309</w:t>
      </w:r>
    </w:p>
    <w:bookmarkStart w:id="2" w:name="OAR"/>
    <w:bookmarkEnd w:id="2"/>
    <w:p w14:paraId="7977ECA5" w14:textId="77777777" w:rsidR="004E2B45" w:rsidRPr="008179F6" w:rsidRDefault="004E2B45" w:rsidP="004E2B45">
      <w:pPr>
        <w:pStyle w:val="PolicyReferences"/>
        <w:sectPr w:rsidR="004E2B45" w:rsidRPr="008179F6" w:rsidSect="004E2B45">
          <w:type w:val="continuous"/>
          <w:pgSz w:w="12240" w:h="15840"/>
          <w:pgMar w:top="936" w:right="720" w:bottom="720" w:left="1224" w:header="432" w:footer="720" w:gutter="0"/>
          <w:cols w:num="3" w:space="360"/>
          <w:noEndnote/>
          <w:docGrid w:linePitch="326"/>
        </w:sectPr>
      </w:pPr>
      <w:r w:rsidRPr="008179F6">
        <w:fldChar w:fldCharType="begin"/>
      </w:r>
      <w:r w:rsidRPr="008179F6">
        <w:instrText xml:space="preserve">   HYPERLINK "http://policy.osba.org/orsredir.asp?ors=oar-199-005" </w:instrText>
      </w:r>
      <w:r w:rsidRPr="008179F6">
        <w:fldChar w:fldCharType="separate"/>
      </w:r>
      <w:r w:rsidRPr="008179F6">
        <w:rPr>
          <w:rStyle w:val="SYSHYPERTEXT"/>
        </w:rPr>
        <w:t>OAR 199-005</w:t>
      </w:r>
      <w:r w:rsidRPr="008179F6">
        <w:fldChar w:fldCharType="end"/>
      </w:r>
      <w:r w:rsidRPr="008179F6">
        <w:t>-0001 - 199-010-0150</w:t>
      </w:r>
    </w:p>
    <w:p w14:paraId="19EB4D73" w14:textId="02A03070" w:rsidR="004E2B45" w:rsidRPr="008179F6" w:rsidRDefault="004E2B45" w:rsidP="004E2B45">
      <w:pPr>
        <w:pStyle w:val="PolicyReferences"/>
      </w:pPr>
    </w:p>
    <w:p w14:paraId="7306F450" w14:textId="194A5213" w:rsidR="004E2B45" w:rsidRPr="008179F6" w:rsidRDefault="004E2B45" w:rsidP="004E2B45">
      <w:pPr>
        <w:pStyle w:val="PolicyReferences"/>
      </w:pPr>
      <w:r w:rsidRPr="008179F6">
        <w:rPr>
          <w:smallCaps/>
        </w:rPr>
        <w:t>Or. Ethics Comm</w:t>
      </w:r>
      <w:r w:rsidR="003F782C">
        <w:rPr>
          <w:smallCaps/>
        </w:rPr>
        <w:t>’</w:t>
      </w:r>
      <w:r w:rsidRPr="008179F6">
        <w:rPr>
          <w:smallCaps/>
        </w:rPr>
        <w:t>n, Or. Gov</w:t>
      </w:r>
      <w:r w:rsidR="003F782C">
        <w:rPr>
          <w:smallCaps/>
        </w:rPr>
        <w:t>’</w:t>
      </w:r>
      <w:r w:rsidRPr="008179F6">
        <w:rPr>
          <w:smallCaps/>
        </w:rPr>
        <w:t>t Ethics Law, A Guide for Public Officials</w:t>
      </w:r>
      <w:r w:rsidRPr="008179F6">
        <w:t>.</w:t>
      </w:r>
      <w:bookmarkStart w:id="3" w:name="LawsEnd"/>
      <w:bookmarkEnd w:id="3"/>
    </w:p>
    <w:p w14:paraId="6FE9DA27" w14:textId="77777777" w:rsidR="008179F6" w:rsidRPr="008179F6" w:rsidRDefault="008179F6" w:rsidP="004E2B45">
      <w:pPr>
        <w:pStyle w:val="PolicyReferences"/>
      </w:pPr>
    </w:p>
    <w:p w14:paraId="63B1FCF3" w14:textId="77777777" w:rsidR="008179F6" w:rsidRPr="008179F6" w:rsidRDefault="008179F6" w:rsidP="004E2B45">
      <w:pPr>
        <w:pStyle w:val="PolicyReferences"/>
      </w:pPr>
    </w:p>
    <w:p w14:paraId="003B4528" w14:textId="4471121E" w:rsidR="008179F6" w:rsidRPr="008179F6" w:rsidRDefault="008179F6" w:rsidP="008179F6">
      <w:pPr>
        <w:pStyle w:val="PolicyReferences"/>
        <w:rPr>
          <w:b/>
        </w:rPr>
      </w:pPr>
      <w:bookmarkStart w:id="4" w:name="XREFS"/>
      <w:bookmarkEnd w:id="4"/>
      <w:r w:rsidRPr="008179F6">
        <w:rPr>
          <w:b/>
        </w:rPr>
        <w:t>Cross Reference(s):</w:t>
      </w:r>
    </w:p>
    <w:p w14:paraId="268C15DF" w14:textId="77777777" w:rsidR="008179F6" w:rsidRPr="008179F6" w:rsidRDefault="008179F6" w:rsidP="008179F6">
      <w:pPr>
        <w:pStyle w:val="PolicyReferences"/>
      </w:pPr>
    </w:p>
    <w:p w14:paraId="30EB4C64" w14:textId="4DDE58D7" w:rsidR="008179F6" w:rsidRPr="008179F6" w:rsidRDefault="008179F6" w:rsidP="008179F6">
      <w:pPr>
        <w:pStyle w:val="PolicyReferences"/>
      </w:pPr>
      <w:r w:rsidRPr="008179F6">
        <w:t>BBFA - Board Member Ethics and Conflicts of Interest</w:t>
      </w:r>
    </w:p>
    <w:sectPr w:rsidR="008179F6" w:rsidRPr="008179F6" w:rsidSect="00383CD5">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B8F9A" w14:textId="77777777" w:rsidR="00383CD5" w:rsidRDefault="00383CD5" w:rsidP="00FC3907">
      <w:r>
        <w:separator/>
      </w:r>
    </w:p>
  </w:endnote>
  <w:endnote w:type="continuationSeparator" w:id="0">
    <w:p w14:paraId="6BC33F1A" w14:textId="77777777" w:rsidR="00383CD5" w:rsidRDefault="00383CD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EC232" w14:textId="77777777" w:rsidR="004E2B45" w:rsidRDefault="004E2B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83CD5" w14:paraId="62DF2480" w14:textId="77777777" w:rsidTr="004616AD">
      <w:tc>
        <w:tcPr>
          <w:tcW w:w="2340" w:type="dxa"/>
        </w:tcPr>
        <w:p w14:paraId="4BFADD4F" w14:textId="77474941" w:rsidR="00383CD5" w:rsidRDefault="00383CD5" w:rsidP="004616AD">
          <w:pPr>
            <w:pStyle w:val="Footer"/>
            <w:rPr>
              <w:noProof/>
              <w:sz w:val="20"/>
            </w:rPr>
          </w:pPr>
        </w:p>
      </w:tc>
      <w:tc>
        <w:tcPr>
          <w:tcW w:w="7956" w:type="dxa"/>
        </w:tcPr>
        <w:p w14:paraId="6B1E9EA6" w14:textId="77777777" w:rsidR="004E2B45" w:rsidRDefault="004E2B45" w:rsidP="004616AD">
          <w:pPr>
            <w:pStyle w:val="Footer"/>
            <w:jc w:val="right"/>
          </w:pPr>
          <w:r>
            <w:t>Board Member Ethics and Nepotism – BBFB</w:t>
          </w:r>
        </w:p>
        <w:p w14:paraId="5E28EB7E" w14:textId="049F3771" w:rsidR="00383CD5" w:rsidRDefault="00383CD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58839A3" w14:textId="77777777" w:rsidR="00383CD5" w:rsidRPr="00782930" w:rsidRDefault="00383CD5"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A5C2E" w14:textId="77777777" w:rsidR="004E2B45" w:rsidRDefault="004E2B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BB4C9" w14:textId="77777777" w:rsidR="00383CD5" w:rsidRDefault="00383CD5" w:rsidP="00FC3907">
      <w:r>
        <w:separator/>
      </w:r>
    </w:p>
  </w:footnote>
  <w:footnote w:type="continuationSeparator" w:id="0">
    <w:p w14:paraId="532C96D9" w14:textId="77777777" w:rsidR="00383CD5" w:rsidRDefault="00383CD5" w:rsidP="00FC3907">
      <w:r>
        <w:continuationSeparator/>
      </w:r>
    </w:p>
  </w:footnote>
  <w:footnote w:id="1">
    <w:p w14:paraId="613D4094" w14:textId="77777777" w:rsidR="00383CD5" w:rsidRDefault="00383CD5">
      <w:pPr>
        <w:pStyle w:val="FootnoteText"/>
      </w:pPr>
      <w:r>
        <w:rPr>
          <w:rStyle w:val="FootnoteReference"/>
        </w:rPr>
        <w:footnoteRef/>
      </w:r>
      <w:r>
        <w:t xml:space="preserve"> The term spouse includes domestic partner.</w:t>
      </w:r>
    </w:p>
  </w:footnote>
  <w:footnote w:id="2">
    <w:p w14:paraId="05E36402" w14:textId="77777777" w:rsidR="00383CD5" w:rsidRDefault="00383CD5">
      <w:pPr>
        <w:pStyle w:val="FootnoteText"/>
      </w:pPr>
      <w:r>
        <w:rPr>
          <w:rStyle w:val="FootnoteReference"/>
        </w:rPr>
        <w:footnoteRef/>
      </w:r>
      <w:r>
        <w:t xml:space="preserve"> Examples of benefits may include, but not be limited to, elements of an official compensation package including benefits such as insurance, tuition or retirement allotments.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AE40F" w14:textId="77777777" w:rsidR="004E2B45" w:rsidRPr="003F782C" w:rsidRDefault="004E2B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4DC24" w14:textId="77777777" w:rsidR="004E2B45" w:rsidRDefault="004E2B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095E5" w14:textId="77777777" w:rsidR="004E2B45" w:rsidRDefault="004E2B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237014670">
    <w:abstractNumId w:val="7"/>
  </w:num>
  <w:num w:numId="2" w16cid:durableId="1439715729">
    <w:abstractNumId w:val="4"/>
  </w:num>
  <w:num w:numId="3" w16cid:durableId="998730912">
    <w:abstractNumId w:val="4"/>
  </w:num>
  <w:num w:numId="4" w16cid:durableId="2123454264">
    <w:abstractNumId w:val="3"/>
  </w:num>
  <w:num w:numId="5" w16cid:durableId="566190738">
    <w:abstractNumId w:val="3"/>
  </w:num>
  <w:num w:numId="6" w16cid:durableId="1957592692">
    <w:abstractNumId w:val="2"/>
  </w:num>
  <w:num w:numId="7" w16cid:durableId="1773279605">
    <w:abstractNumId w:val="2"/>
  </w:num>
  <w:num w:numId="8" w16cid:durableId="46153228">
    <w:abstractNumId w:val="1"/>
  </w:num>
  <w:num w:numId="9" w16cid:durableId="1948151537">
    <w:abstractNumId w:val="1"/>
  </w:num>
  <w:num w:numId="10" w16cid:durableId="2146002347">
    <w:abstractNumId w:val="0"/>
  </w:num>
  <w:num w:numId="11" w16cid:durableId="812260368">
    <w:abstractNumId w:val="0"/>
  </w:num>
  <w:num w:numId="12" w16cid:durableId="240529994">
    <w:abstractNumId w:val="6"/>
  </w:num>
  <w:num w:numId="13" w16cid:durableId="702367254">
    <w:abstractNumId w:val="9"/>
  </w:num>
  <w:num w:numId="14" w16cid:durableId="843086055">
    <w:abstractNumId w:val="8"/>
  </w:num>
  <w:num w:numId="15" w16cid:durableId="18465531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4096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66229"/>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6981"/>
    <w:rsid w:val="0018025F"/>
    <w:rsid w:val="001C1D43"/>
    <w:rsid w:val="001C3978"/>
    <w:rsid w:val="001C5C15"/>
    <w:rsid w:val="001E1260"/>
    <w:rsid w:val="001E416C"/>
    <w:rsid w:val="001E7AE7"/>
    <w:rsid w:val="001F4D2D"/>
    <w:rsid w:val="0021369D"/>
    <w:rsid w:val="00217190"/>
    <w:rsid w:val="00224022"/>
    <w:rsid w:val="002249E3"/>
    <w:rsid w:val="002345DA"/>
    <w:rsid w:val="00246025"/>
    <w:rsid w:val="0028031C"/>
    <w:rsid w:val="00280B93"/>
    <w:rsid w:val="002821D2"/>
    <w:rsid w:val="00284A5E"/>
    <w:rsid w:val="00286D2D"/>
    <w:rsid w:val="002A7657"/>
    <w:rsid w:val="002C77C7"/>
    <w:rsid w:val="002E771E"/>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3CD5"/>
    <w:rsid w:val="00385E10"/>
    <w:rsid w:val="003915B0"/>
    <w:rsid w:val="003B3329"/>
    <w:rsid w:val="003E6E0C"/>
    <w:rsid w:val="003F782C"/>
    <w:rsid w:val="003F7B66"/>
    <w:rsid w:val="004148FD"/>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2B45"/>
    <w:rsid w:val="004E3582"/>
    <w:rsid w:val="004F53EB"/>
    <w:rsid w:val="005130E3"/>
    <w:rsid w:val="0051750D"/>
    <w:rsid w:val="00524F11"/>
    <w:rsid w:val="00533BA4"/>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06891"/>
    <w:rsid w:val="0061672C"/>
    <w:rsid w:val="00620A00"/>
    <w:rsid w:val="00621D2B"/>
    <w:rsid w:val="0062603D"/>
    <w:rsid w:val="00634B0E"/>
    <w:rsid w:val="00645006"/>
    <w:rsid w:val="00660AC5"/>
    <w:rsid w:val="00662E7C"/>
    <w:rsid w:val="006705C2"/>
    <w:rsid w:val="006728D3"/>
    <w:rsid w:val="00683B68"/>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851CD"/>
    <w:rsid w:val="007A0E9B"/>
    <w:rsid w:val="007A3694"/>
    <w:rsid w:val="007A7F92"/>
    <w:rsid w:val="007B228A"/>
    <w:rsid w:val="007B36E2"/>
    <w:rsid w:val="007B384B"/>
    <w:rsid w:val="007D02D3"/>
    <w:rsid w:val="007E3300"/>
    <w:rsid w:val="007E4701"/>
    <w:rsid w:val="007F0455"/>
    <w:rsid w:val="008073B2"/>
    <w:rsid w:val="008152CF"/>
    <w:rsid w:val="008179F6"/>
    <w:rsid w:val="00823A93"/>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0B86"/>
    <w:rsid w:val="009317A1"/>
    <w:rsid w:val="00934177"/>
    <w:rsid w:val="00940E79"/>
    <w:rsid w:val="009510E8"/>
    <w:rsid w:val="009510FB"/>
    <w:rsid w:val="00963266"/>
    <w:rsid w:val="00972985"/>
    <w:rsid w:val="00976D56"/>
    <w:rsid w:val="00976F42"/>
    <w:rsid w:val="00977D62"/>
    <w:rsid w:val="009816CA"/>
    <w:rsid w:val="0098208D"/>
    <w:rsid w:val="00982B4E"/>
    <w:rsid w:val="009854C4"/>
    <w:rsid w:val="009A42F6"/>
    <w:rsid w:val="009B1678"/>
    <w:rsid w:val="009C4D2A"/>
    <w:rsid w:val="009D427B"/>
    <w:rsid w:val="009D6C26"/>
    <w:rsid w:val="009E5525"/>
    <w:rsid w:val="009F2011"/>
    <w:rsid w:val="009F24C0"/>
    <w:rsid w:val="009F4F41"/>
    <w:rsid w:val="009F694C"/>
    <w:rsid w:val="009F7274"/>
    <w:rsid w:val="00A15392"/>
    <w:rsid w:val="00A20986"/>
    <w:rsid w:val="00A23231"/>
    <w:rsid w:val="00A268EF"/>
    <w:rsid w:val="00A312B5"/>
    <w:rsid w:val="00A61DAA"/>
    <w:rsid w:val="00A7204A"/>
    <w:rsid w:val="00A967F8"/>
    <w:rsid w:val="00AC3EDD"/>
    <w:rsid w:val="00AC5141"/>
    <w:rsid w:val="00AC671E"/>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77D8E"/>
    <w:rsid w:val="00C82AB8"/>
    <w:rsid w:val="00C971DD"/>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E0255"/>
    <w:rsid w:val="00DE0C18"/>
    <w:rsid w:val="00DE1216"/>
    <w:rsid w:val="00DF0AE6"/>
    <w:rsid w:val="00DF464B"/>
    <w:rsid w:val="00E009DD"/>
    <w:rsid w:val="00E07338"/>
    <w:rsid w:val="00E34F37"/>
    <w:rsid w:val="00E56759"/>
    <w:rsid w:val="00E60543"/>
    <w:rsid w:val="00E67AB7"/>
    <w:rsid w:val="00E70BB8"/>
    <w:rsid w:val="00E71A63"/>
    <w:rsid w:val="00E727A4"/>
    <w:rsid w:val="00E81F69"/>
    <w:rsid w:val="00E85605"/>
    <w:rsid w:val="00E908E7"/>
    <w:rsid w:val="00E9130E"/>
    <w:rsid w:val="00EA05AE"/>
    <w:rsid w:val="00EA3062"/>
    <w:rsid w:val="00EC519B"/>
    <w:rsid w:val="00EE49D0"/>
    <w:rsid w:val="00EE6419"/>
    <w:rsid w:val="00EF573E"/>
    <w:rsid w:val="00F166D4"/>
    <w:rsid w:val="00F16CA1"/>
    <w:rsid w:val="00F45027"/>
    <w:rsid w:val="00F45D0D"/>
    <w:rsid w:val="00F53699"/>
    <w:rsid w:val="00F704CA"/>
    <w:rsid w:val="00F774CC"/>
    <w:rsid w:val="00F80E45"/>
    <w:rsid w:val="00F83CBC"/>
    <w:rsid w:val="00F91523"/>
    <w:rsid w:val="00F94BBC"/>
    <w:rsid w:val="00FA481C"/>
    <w:rsid w:val="00FB3011"/>
    <w:rsid w:val="00FB52F8"/>
    <w:rsid w:val="00FC3907"/>
    <w:rsid w:val="00FD60A2"/>
    <w:rsid w:val="00FE1111"/>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E4A767A"/>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383CD5"/>
    <w:rPr>
      <w:color w:val="0000FF"/>
      <w:u w:val="single"/>
    </w:rPr>
  </w:style>
  <w:style w:type="paragraph" w:styleId="Revision">
    <w:name w:val="Revision"/>
    <w:hidden/>
    <w:uiPriority w:val="99"/>
    <w:semiHidden/>
    <w:rsid w:val="00533BA4"/>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0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659"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2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C367D-48D4-4993-B67A-6A352D108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447</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Policy - Board Member Ethics and Nepotism</vt:lpstr>
    </vt:vector>
  </TitlesOfParts>
  <Company>OSBA</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BBFB - Board Member Ethics and Nepotism</dc:title>
  <dc:subject>Lourdes Public CS Board Policy</dc:subject>
  <dc:creator>Oregon School Boards Association</dc:creator>
  <cp:keywords/>
  <dc:description/>
  <cp:lastModifiedBy>Colleen Allen</cp:lastModifiedBy>
  <cp:revision>21</cp:revision>
  <dcterms:created xsi:type="dcterms:W3CDTF">2018-03-23T19:08:00Z</dcterms:created>
  <dcterms:modified xsi:type="dcterms:W3CDTF">2025-05-22T14:32:00Z</dcterms:modified>
</cp:coreProperties>
</file>