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E403E" w14:textId="77777777" w:rsidR="001A4B17" w:rsidRPr="00976D56" w:rsidRDefault="001A4B17" w:rsidP="001E1260">
      <w:pPr>
        <w:pStyle w:val="PolicyTitleBox"/>
      </w:pPr>
      <w:r>
        <w:t>Lourdes Public Charter School</w:t>
      </w:r>
    </w:p>
    <w:p w14:paraId="50C144C3" w14:textId="77777777" w:rsidR="00CC7D46" w:rsidRDefault="00CC7D46" w:rsidP="00CC7D46"/>
    <w:p w14:paraId="2177D657" w14:textId="77777777" w:rsidR="001E1260" w:rsidRDefault="001E1260" w:rsidP="001E1260">
      <w:pPr>
        <w:pStyle w:val="PolicyCode"/>
      </w:pPr>
      <w:r>
        <w:t>Code:</w:t>
      </w:r>
      <w:r>
        <w:tab/>
      </w:r>
      <w:r w:rsidR="00864BBE">
        <w:t>KN</w:t>
      </w:r>
    </w:p>
    <w:p w14:paraId="0D6697DB" w14:textId="491A672A" w:rsidR="001E1260" w:rsidRDefault="001E1260" w:rsidP="001E1260">
      <w:pPr>
        <w:pStyle w:val="PolicyCode"/>
      </w:pPr>
      <w:r>
        <w:t>Adopted:</w:t>
      </w:r>
      <w:r>
        <w:tab/>
      </w:r>
      <w:r w:rsidR="005976CA">
        <w:t>4/28/25</w:t>
      </w:r>
    </w:p>
    <w:p w14:paraId="33DC74A4" w14:textId="77777777" w:rsidR="001E1260" w:rsidRPr="001E1260" w:rsidRDefault="001E1260" w:rsidP="00CC7D46"/>
    <w:p w14:paraId="2B738761" w14:textId="77777777" w:rsidR="00EF573E" w:rsidRDefault="00864BBE" w:rsidP="00EF573E">
      <w:pPr>
        <w:pStyle w:val="PolicyTitle"/>
      </w:pPr>
      <w:r>
        <w:t>Relations with Law Enforcement Agencies</w:t>
      </w:r>
    </w:p>
    <w:p w14:paraId="0A1D58E0" w14:textId="77777777" w:rsidR="00EF573E" w:rsidRDefault="00EF573E" w:rsidP="00EF573E"/>
    <w:p w14:paraId="22E74B8A" w14:textId="77777777" w:rsidR="00864BBE" w:rsidRDefault="00864BBE" w:rsidP="00864BBE">
      <w:pPr>
        <w:pStyle w:val="PolicyBodyText"/>
      </w:pPr>
      <w:r>
        <w:t xml:space="preserve">The </w:t>
      </w:r>
      <w:r w:rsidRPr="00232251">
        <w:t>Board</w:t>
      </w:r>
      <w:r>
        <w:t xml:space="preserve"> recognizes that cooperation with law enforcement agencies is essential for the protection of staff and students, for maintaining a safe environment in the public charter school and for safeguarding public charter school property.</w:t>
      </w:r>
    </w:p>
    <w:p w14:paraId="1E49AF86" w14:textId="77777777" w:rsidR="00864BBE" w:rsidRDefault="00864BBE" w:rsidP="00864BBE">
      <w:pPr>
        <w:pStyle w:val="PolicyBodyText"/>
      </w:pPr>
    </w:p>
    <w:p w14:paraId="33FD9700" w14:textId="77777777" w:rsidR="00864BBE" w:rsidRDefault="00864BBE" w:rsidP="00864BBE">
      <w:pPr>
        <w:pStyle w:val="PolicyBodyText"/>
      </w:pPr>
      <w:r>
        <w:t>Law enforcement officials may enter school facilities if a crime has been committed on public charter school property or to investigate matters concerning staff and students upon request initiated by either agency officials or by public charter school administrators.</w:t>
      </w:r>
    </w:p>
    <w:p w14:paraId="22969C7D" w14:textId="77777777" w:rsidR="00864BBE" w:rsidRDefault="00864BBE" w:rsidP="00864BBE">
      <w:pPr>
        <w:pStyle w:val="PolicyBodyText"/>
      </w:pPr>
    </w:p>
    <w:p w14:paraId="06FE37D0" w14:textId="648B8CAE" w:rsidR="00864BBE" w:rsidRDefault="00864BBE" w:rsidP="00864BBE">
      <w:pPr>
        <w:pStyle w:val="PolicyBodyText"/>
      </w:pPr>
      <w:r>
        <w:t xml:space="preserve">The </w:t>
      </w:r>
      <w:r w:rsidR="004A4A6F">
        <w:t>administrator</w:t>
      </w:r>
      <w:r>
        <w:t xml:space="preserve"> will develop administrative regulations to implement this policy, including procedures for handling investigations, administrator requests for assistance and required referrals to law enforcement agencies.</w:t>
      </w:r>
    </w:p>
    <w:p w14:paraId="61AFD637" w14:textId="77777777" w:rsidR="00864BBE" w:rsidRDefault="00864BBE" w:rsidP="00864BBE">
      <w:pPr>
        <w:pStyle w:val="PolicyBodyText"/>
      </w:pPr>
    </w:p>
    <w:p w14:paraId="31B9E9E7" w14:textId="77777777" w:rsidR="00864BBE" w:rsidRDefault="00864BBE" w:rsidP="00864BBE">
      <w:pPr>
        <w:pStyle w:val="PolicyBodyText"/>
      </w:pPr>
      <w:r>
        <w:t>END OF POLICY</w:t>
      </w:r>
    </w:p>
    <w:p w14:paraId="444F084D" w14:textId="77777777" w:rsidR="00864BBE" w:rsidRDefault="00864BBE" w:rsidP="00864BBE">
      <w:pPr>
        <w:pStyle w:val="PolicyLine"/>
      </w:pPr>
    </w:p>
    <w:p w14:paraId="26FE5375" w14:textId="77777777" w:rsidR="00864BBE" w:rsidRPr="00EF17AC" w:rsidRDefault="00864BBE" w:rsidP="00497465">
      <w:pPr>
        <w:pStyle w:val="PolicyReferencesHeading"/>
      </w:pPr>
      <w:r w:rsidRPr="00EF17AC">
        <w:t>Legal Reference(s):</w:t>
      </w:r>
    </w:p>
    <w:p w14:paraId="05D46F0C" w14:textId="77777777" w:rsidR="00864BBE" w:rsidRPr="00EF17AC" w:rsidRDefault="00864BBE" w:rsidP="00864BBE">
      <w:pPr>
        <w:pStyle w:val="PolicyReferences"/>
      </w:pPr>
    </w:p>
    <w:p w14:paraId="41B4D409" w14:textId="77777777" w:rsidR="00864BBE" w:rsidRPr="00EF17AC" w:rsidRDefault="00864BBE" w:rsidP="00864BBE">
      <w:pPr>
        <w:pStyle w:val="PolicyReferences"/>
        <w:sectPr w:rsidR="00864BBE" w:rsidRPr="00EF17AC" w:rsidSect="00864B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51372B58" w14:textId="77777777" w:rsidR="00864BBE" w:rsidRPr="00EF17AC" w:rsidRDefault="00864BBE" w:rsidP="00864BBE">
      <w:pPr>
        <w:pStyle w:val="PolicyReferences"/>
      </w:pPr>
      <w:r w:rsidRPr="00EF17AC">
        <w:fldChar w:fldCharType="begin"/>
      </w:r>
      <w:r w:rsidRPr="00EF17AC">
        <w:instrText xml:space="preserve">   HYPERLINK "http://policy.osba.org/orsredir.asp?ors=ors-329" </w:instrText>
      </w:r>
      <w:r w:rsidRPr="00EF17AC">
        <w:fldChar w:fldCharType="separate"/>
      </w:r>
      <w:r w:rsidRPr="00EF17AC">
        <w:rPr>
          <w:rStyle w:val="SYSHYPERTEXT"/>
        </w:rPr>
        <w:t>ORS 329</w:t>
      </w:r>
      <w:r w:rsidRPr="00EF17AC">
        <w:fldChar w:fldCharType="end"/>
      </w:r>
      <w:r w:rsidRPr="00EF17AC">
        <w:t>.150</w:t>
      </w:r>
    </w:p>
    <w:p w14:paraId="4C86B326" w14:textId="77777777" w:rsidR="00864BBE" w:rsidRPr="00EF17AC" w:rsidRDefault="00864BBE" w:rsidP="00864BBE">
      <w:pPr>
        <w:pStyle w:val="PolicyReferences"/>
      </w:pPr>
      <w:hyperlink r:id="rId14" w:history="1">
        <w:r w:rsidRPr="00EF17AC">
          <w:rPr>
            <w:rStyle w:val="SYSHYPERTEXT"/>
          </w:rPr>
          <w:t>ORS 338</w:t>
        </w:r>
      </w:hyperlink>
      <w:r w:rsidRPr="00EF17AC">
        <w:t>.115(2)</w:t>
      </w:r>
    </w:p>
    <w:p w14:paraId="66938D06" w14:textId="77777777" w:rsidR="00864BBE" w:rsidRPr="00EF17AC" w:rsidRDefault="00864BBE" w:rsidP="00864BBE">
      <w:pPr>
        <w:pStyle w:val="PolicyReferences"/>
      </w:pPr>
      <w:hyperlink r:id="rId15" w:history="1">
        <w:r w:rsidRPr="00EF17AC">
          <w:rPr>
            <w:rStyle w:val="SYSHYPERTEXT"/>
          </w:rPr>
          <w:t>ORS 419B</w:t>
        </w:r>
      </w:hyperlink>
      <w:r w:rsidRPr="00EF17AC">
        <w:t>.015</w:t>
      </w:r>
    </w:p>
    <w:p w14:paraId="4595FF50" w14:textId="77777777" w:rsidR="00864BBE" w:rsidRPr="00EF17AC" w:rsidRDefault="00864BBE" w:rsidP="00864BBE">
      <w:pPr>
        <w:pStyle w:val="PolicyReferences"/>
      </w:pPr>
      <w:hyperlink r:id="rId16" w:history="1">
        <w:r w:rsidRPr="00EF17AC">
          <w:rPr>
            <w:rStyle w:val="SYSHYPERTEXT"/>
          </w:rPr>
          <w:t>ORS 419B</w:t>
        </w:r>
      </w:hyperlink>
      <w:r w:rsidRPr="00EF17AC">
        <w:t>.045</w:t>
      </w:r>
    </w:p>
    <w:p w14:paraId="26707BA0" w14:textId="77777777" w:rsidR="00232251" w:rsidRPr="00EF17AC" w:rsidRDefault="00232251" w:rsidP="00864BBE">
      <w:pPr>
        <w:pStyle w:val="PolicyReferences"/>
        <w:sectPr w:rsidR="00232251" w:rsidRPr="00EF17AC" w:rsidSect="00232251">
          <w:footerReference w:type="default" r:id="rId17"/>
          <w:type w:val="continuous"/>
          <w:pgSz w:w="12240" w:h="15840"/>
          <w:pgMar w:top="936" w:right="720" w:bottom="720" w:left="1224" w:header="432" w:footer="720" w:gutter="0"/>
          <w:cols w:num="3" w:space="360"/>
          <w:noEndnote/>
          <w:docGrid w:linePitch="326"/>
        </w:sectPr>
      </w:pPr>
    </w:p>
    <w:p w14:paraId="4443819E" w14:textId="77777777" w:rsidR="00864BBE" w:rsidRPr="00EF17AC" w:rsidRDefault="00864BBE" w:rsidP="00864BBE">
      <w:pPr>
        <w:pStyle w:val="PolicyReferences"/>
        <w:sectPr w:rsidR="00864BBE" w:rsidRPr="00EF17AC" w:rsidSect="00864BBE">
          <w:type w:val="continuous"/>
          <w:pgSz w:w="12240" w:h="15840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noEndnote/>
          <w:docGrid w:linePitch="326"/>
        </w:sectPr>
      </w:pPr>
      <w:r w:rsidRPr="00EF17AC">
        <w:br w:type="column"/>
      </w:r>
      <w:r w:rsidRPr="00EF17AC">
        <w:br w:type="column"/>
      </w:r>
    </w:p>
    <w:p w14:paraId="6CD051BA" w14:textId="77777777" w:rsidR="00864BBE" w:rsidRPr="00EF17AC" w:rsidRDefault="00864BBE" w:rsidP="00864BBE">
      <w:pPr>
        <w:pStyle w:val="PolicyReferences"/>
      </w:pPr>
      <w:r w:rsidRPr="00EF17AC">
        <w:rPr>
          <w:i/>
          <w:iCs/>
        </w:rPr>
        <w:t>Greene v. Camreta</w:t>
      </w:r>
      <w:r w:rsidRPr="00EF17AC">
        <w:t xml:space="preserve">, 588 F.3d 1011 (9th Cir. 2009), vacated in part by, remanded by </w:t>
      </w:r>
      <w:r w:rsidRPr="00EF17AC">
        <w:rPr>
          <w:i/>
          <w:iCs/>
        </w:rPr>
        <w:t>Camreta v. Greene</w:t>
      </w:r>
      <w:r w:rsidRPr="00EF17AC">
        <w:t xml:space="preserve">, 131 S. Ct. 2020 (U.S. 2011); vacated in part, remanded by </w:t>
      </w:r>
      <w:r w:rsidRPr="00EF17AC">
        <w:rPr>
          <w:i/>
          <w:iCs/>
        </w:rPr>
        <w:t>Greene v. Camreta</w:t>
      </w:r>
      <w:r w:rsidRPr="00EF17AC">
        <w:t xml:space="preserve"> 661 F. 3d 1201 (9</w:t>
      </w:r>
      <w:r w:rsidRPr="00EF17AC">
        <w:rPr>
          <w:vertAlign w:val="superscript"/>
        </w:rPr>
        <w:t>th</w:t>
      </w:r>
      <w:r w:rsidRPr="00EF17AC">
        <w:t xml:space="preserve"> Cir. 2011).</w:t>
      </w:r>
    </w:p>
    <w:p w14:paraId="2E6445D5" w14:textId="77777777" w:rsidR="00396E42" w:rsidRPr="00EF17AC" w:rsidRDefault="00864BBE" w:rsidP="00864BBE">
      <w:pPr>
        <w:pStyle w:val="PolicyReferences"/>
      </w:pPr>
      <w:r w:rsidRPr="00EF17AC">
        <w:t>Letter Opinion, Office of the Attorney General (August 18, 1986).</w:t>
      </w:r>
      <w:bookmarkStart w:id="2" w:name="LawsEnd"/>
      <w:bookmarkEnd w:id="2"/>
    </w:p>
    <w:p w14:paraId="2EAE1DEF" w14:textId="77777777" w:rsidR="00EF17AC" w:rsidRPr="00EF17AC" w:rsidRDefault="00EF17AC" w:rsidP="00864BBE">
      <w:pPr>
        <w:pStyle w:val="PolicyReferences"/>
      </w:pPr>
    </w:p>
    <w:p w14:paraId="072B7518" w14:textId="77777777" w:rsidR="00EF17AC" w:rsidRPr="00EF17AC" w:rsidRDefault="00EF17AC" w:rsidP="00864BBE">
      <w:pPr>
        <w:pStyle w:val="PolicyReferences"/>
      </w:pPr>
    </w:p>
    <w:p w14:paraId="5B801794" w14:textId="7601DBF9" w:rsidR="00EF17AC" w:rsidRPr="00EF17AC" w:rsidRDefault="00EF17AC" w:rsidP="00EF17AC">
      <w:pPr>
        <w:pStyle w:val="PolicyReferences"/>
        <w:rPr>
          <w:b/>
        </w:rPr>
      </w:pPr>
      <w:bookmarkStart w:id="3" w:name="XREFS"/>
      <w:bookmarkEnd w:id="3"/>
      <w:r w:rsidRPr="00EF17AC">
        <w:rPr>
          <w:b/>
        </w:rPr>
        <w:t>Cross Reference(s):</w:t>
      </w:r>
    </w:p>
    <w:p w14:paraId="5E6E73C7" w14:textId="77777777" w:rsidR="00EF17AC" w:rsidRPr="00EF17AC" w:rsidRDefault="00EF17AC" w:rsidP="00EF17AC">
      <w:pPr>
        <w:pStyle w:val="PolicyReferences"/>
      </w:pPr>
    </w:p>
    <w:p w14:paraId="508AD98B" w14:textId="1BD67241" w:rsidR="00EF17AC" w:rsidRPr="00EF17AC" w:rsidRDefault="00EF17AC" w:rsidP="00EF17AC">
      <w:pPr>
        <w:pStyle w:val="PolicyReferences"/>
      </w:pPr>
      <w:r w:rsidRPr="00EF17AC">
        <w:t>JFG - Student Searches</w:t>
      </w:r>
    </w:p>
    <w:sectPr w:rsidR="00EF17AC" w:rsidRPr="00EF17AC" w:rsidSect="00864BBE">
      <w:footerReference w:type="default" r:id="rId18"/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AD36C" w14:textId="77777777" w:rsidR="00864BBE" w:rsidRDefault="00864BBE" w:rsidP="00FC3907">
      <w:r>
        <w:separator/>
      </w:r>
    </w:p>
  </w:endnote>
  <w:endnote w:type="continuationSeparator" w:id="0">
    <w:p w14:paraId="67582EBF" w14:textId="77777777" w:rsidR="00864BBE" w:rsidRDefault="00864BBE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4C74D" w14:textId="77777777" w:rsidR="005976CA" w:rsidRDefault="005976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864BBE" w14:paraId="0A75CAE2" w14:textId="77777777" w:rsidTr="004616AD">
      <w:tc>
        <w:tcPr>
          <w:tcW w:w="2340" w:type="dxa"/>
        </w:tcPr>
        <w:p w14:paraId="1AAF65AF" w14:textId="556A41F2" w:rsidR="00864BBE" w:rsidRDefault="00864BBE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55DC9EE0" w14:textId="77777777" w:rsidR="00864BBE" w:rsidRDefault="00864BBE" w:rsidP="004616AD">
          <w:pPr>
            <w:pStyle w:val="Footer"/>
            <w:jc w:val="right"/>
          </w:pPr>
          <w:r>
            <w:t>Relations with Law Enforcement Agencies – KN</w:t>
          </w:r>
        </w:p>
        <w:p w14:paraId="0BC7C8FA" w14:textId="77777777" w:rsidR="00864BBE" w:rsidRDefault="00864BBE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63F4EC15" w14:textId="77777777" w:rsidR="00864BBE" w:rsidRPr="00782930" w:rsidRDefault="00864BBE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F052" w14:textId="77777777" w:rsidR="005976CA" w:rsidRDefault="005976C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864BBE" w14:paraId="05D94467" w14:textId="77777777" w:rsidTr="004616AD">
      <w:tc>
        <w:tcPr>
          <w:tcW w:w="2340" w:type="dxa"/>
        </w:tcPr>
        <w:p w14:paraId="5C700240" w14:textId="77777777" w:rsidR="00864BBE" w:rsidRDefault="00864BBE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HR3/01/105/31/17│PH</w:t>
          </w:r>
        </w:p>
      </w:tc>
      <w:tc>
        <w:tcPr>
          <w:tcW w:w="7956" w:type="dxa"/>
        </w:tcPr>
        <w:p w14:paraId="5013483C" w14:textId="77777777" w:rsidR="00864BBE" w:rsidRDefault="00864BBE" w:rsidP="004616AD">
          <w:pPr>
            <w:pStyle w:val="Footer"/>
            <w:jc w:val="right"/>
          </w:pPr>
          <w:r>
            <w:t>Relations with Law Enforcement Agencies – KN</w:t>
          </w:r>
        </w:p>
        <w:p w14:paraId="0EC710B9" w14:textId="77777777" w:rsidR="00864BBE" w:rsidRDefault="00864BBE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7B21E9EC" w14:textId="77777777" w:rsidR="00864BBE" w:rsidRPr="00782930" w:rsidRDefault="00864BBE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864BBE" w14:paraId="3F9C753F" w14:textId="77777777" w:rsidTr="004616AD">
      <w:tc>
        <w:tcPr>
          <w:tcW w:w="2340" w:type="dxa"/>
        </w:tcPr>
        <w:p w14:paraId="36C567E7" w14:textId="77777777" w:rsidR="00864BBE" w:rsidRDefault="00864BBE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HR3/01/105/31/17│PH</w:t>
          </w:r>
        </w:p>
      </w:tc>
      <w:tc>
        <w:tcPr>
          <w:tcW w:w="7956" w:type="dxa"/>
        </w:tcPr>
        <w:p w14:paraId="4E2FE993" w14:textId="77777777" w:rsidR="00864BBE" w:rsidRDefault="00864BBE" w:rsidP="004616AD">
          <w:pPr>
            <w:pStyle w:val="Footer"/>
            <w:jc w:val="right"/>
          </w:pPr>
          <w:r>
            <w:t>Relations with Law Enforcement Agencies – KN</w:t>
          </w:r>
        </w:p>
        <w:p w14:paraId="1F209262" w14:textId="77777777" w:rsidR="00864BBE" w:rsidRDefault="00864BBE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704ABBD7" w14:textId="77777777" w:rsidR="00864BBE" w:rsidRPr="00782930" w:rsidRDefault="00864BBE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71EDA" w14:textId="77777777" w:rsidR="00864BBE" w:rsidRDefault="00864BBE" w:rsidP="00FC3907">
      <w:r>
        <w:separator/>
      </w:r>
    </w:p>
  </w:footnote>
  <w:footnote w:type="continuationSeparator" w:id="0">
    <w:p w14:paraId="36014D40" w14:textId="77777777" w:rsidR="00864BBE" w:rsidRDefault="00864BBE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9F007" w14:textId="77777777" w:rsidR="005976CA" w:rsidRPr="007E25EF" w:rsidRDefault="005976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ACB19" w14:textId="77777777" w:rsidR="005976CA" w:rsidRDefault="005976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0D813" w14:textId="77777777" w:rsidR="005976CA" w:rsidRDefault="005976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036930234">
    <w:abstractNumId w:val="7"/>
  </w:num>
  <w:num w:numId="2" w16cid:durableId="537476612">
    <w:abstractNumId w:val="4"/>
  </w:num>
  <w:num w:numId="3" w16cid:durableId="1127774107">
    <w:abstractNumId w:val="4"/>
  </w:num>
  <w:num w:numId="4" w16cid:durableId="648635958">
    <w:abstractNumId w:val="3"/>
  </w:num>
  <w:num w:numId="5" w16cid:durableId="2043089588">
    <w:abstractNumId w:val="3"/>
  </w:num>
  <w:num w:numId="6" w16cid:durableId="307786504">
    <w:abstractNumId w:val="2"/>
  </w:num>
  <w:num w:numId="7" w16cid:durableId="204372140">
    <w:abstractNumId w:val="2"/>
  </w:num>
  <w:num w:numId="8" w16cid:durableId="828249036">
    <w:abstractNumId w:val="1"/>
  </w:num>
  <w:num w:numId="9" w16cid:durableId="229736243">
    <w:abstractNumId w:val="1"/>
  </w:num>
  <w:num w:numId="10" w16cid:durableId="729693601">
    <w:abstractNumId w:val="0"/>
  </w:num>
  <w:num w:numId="11" w16cid:durableId="1288581635">
    <w:abstractNumId w:val="0"/>
  </w:num>
  <w:num w:numId="12" w16cid:durableId="625964522">
    <w:abstractNumId w:val="6"/>
  </w:num>
  <w:num w:numId="13" w16cid:durableId="476454707">
    <w:abstractNumId w:val="9"/>
  </w:num>
  <w:num w:numId="14" w16cid:durableId="1266498362">
    <w:abstractNumId w:val="8"/>
  </w:num>
  <w:num w:numId="15" w16cid:durableId="13057001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066E8"/>
    <w:rsid w:val="00123136"/>
    <w:rsid w:val="00125E1F"/>
    <w:rsid w:val="00137065"/>
    <w:rsid w:val="001479B1"/>
    <w:rsid w:val="00151EC6"/>
    <w:rsid w:val="00156EA7"/>
    <w:rsid w:val="0018025F"/>
    <w:rsid w:val="001A4B17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2251"/>
    <w:rsid w:val="002345DA"/>
    <w:rsid w:val="00244EDA"/>
    <w:rsid w:val="00246025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149D5"/>
    <w:rsid w:val="003233D7"/>
    <w:rsid w:val="003234E0"/>
    <w:rsid w:val="00346329"/>
    <w:rsid w:val="00354BAF"/>
    <w:rsid w:val="00355C5E"/>
    <w:rsid w:val="00363573"/>
    <w:rsid w:val="00363AE7"/>
    <w:rsid w:val="003655BE"/>
    <w:rsid w:val="00367B06"/>
    <w:rsid w:val="003804C0"/>
    <w:rsid w:val="00385E10"/>
    <w:rsid w:val="003915B0"/>
    <w:rsid w:val="00396E42"/>
    <w:rsid w:val="003B3329"/>
    <w:rsid w:val="003C339F"/>
    <w:rsid w:val="003E6E0C"/>
    <w:rsid w:val="003F7B66"/>
    <w:rsid w:val="00415660"/>
    <w:rsid w:val="00415A69"/>
    <w:rsid w:val="004347FA"/>
    <w:rsid w:val="00440997"/>
    <w:rsid w:val="00443C38"/>
    <w:rsid w:val="00453EF5"/>
    <w:rsid w:val="0045511F"/>
    <w:rsid w:val="00455739"/>
    <w:rsid w:val="00456577"/>
    <w:rsid w:val="00472B26"/>
    <w:rsid w:val="00484B66"/>
    <w:rsid w:val="00490A75"/>
    <w:rsid w:val="0049277F"/>
    <w:rsid w:val="00494174"/>
    <w:rsid w:val="00497465"/>
    <w:rsid w:val="004A4A6F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976CA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07430"/>
    <w:rsid w:val="0061672C"/>
    <w:rsid w:val="00620542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25EF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64BBE"/>
    <w:rsid w:val="00865789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264"/>
    <w:rsid w:val="008F4D57"/>
    <w:rsid w:val="00907FA5"/>
    <w:rsid w:val="009107AB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1E39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37C85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50D2B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34F37"/>
    <w:rsid w:val="00E56094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0B54"/>
    <w:rsid w:val="00EE49D0"/>
    <w:rsid w:val="00EF17AC"/>
    <w:rsid w:val="00EF573E"/>
    <w:rsid w:val="00F166D4"/>
    <w:rsid w:val="00F16CA1"/>
    <w:rsid w:val="00F44631"/>
    <w:rsid w:val="00F45027"/>
    <w:rsid w:val="00F45D0D"/>
    <w:rsid w:val="00F704CA"/>
    <w:rsid w:val="00F774CC"/>
    <w:rsid w:val="00F80E45"/>
    <w:rsid w:val="00F91523"/>
    <w:rsid w:val="00F94BBC"/>
    <w:rsid w:val="00FA481C"/>
    <w:rsid w:val="00FB08BA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8F9D0FA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864BBE"/>
    <w:rPr>
      <w:color w:val="0000FF"/>
      <w:u w:val="single"/>
    </w:rPr>
  </w:style>
  <w:style w:type="paragraph" w:styleId="Revision">
    <w:name w:val="Revision"/>
    <w:hidden/>
    <w:uiPriority w:val="99"/>
    <w:semiHidden/>
    <w:rsid w:val="008F4264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41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419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92045-B972-4F5A-BBE6-057AC3ACC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OSBA Policy</vt:lpstr>
    </vt:vector>
  </TitlesOfParts>
  <Company>OSBA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 - Relations with Law Enforcement Agencies</dc:title>
  <dc:subject>Lourdes Board Policy</dc:subject>
  <dc:creator>Oregon School Boards Association</dc:creator>
  <cp:keywords/>
  <dc:description/>
  <cp:lastModifiedBy>Colleen Allen</cp:lastModifiedBy>
  <cp:revision>19</cp:revision>
  <dcterms:created xsi:type="dcterms:W3CDTF">2018-03-09T23:31:00Z</dcterms:created>
  <dcterms:modified xsi:type="dcterms:W3CDTF">2025-05-22T16:12:00Z</dcterms:modified>
</cp:coreProperties>
</file>