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C8C1D" w14:textId="77777777" w:rsidR="006E00B3" w:rsidRDefault="006E00B3">
      <w:pPr>
        <w:jc w:val="center"/>
        <w:rPr>
          <w:b/>
          <w:bCs/>
          <w:color w:val="0070C0"/>
          <w:sz w:val="32"/>
          <w:szCs w:val="32"/>
          <w:u w:val="single"/>
        </w:rPr>
      </w:pPr>
    </w:p>
    <w:p w14:paraId="14380C47" w14:textId="77777777" w:rsidR="006E00B3" w:rsidRDefault="00000000">
      <w:pPr>
        <w:tabs>
          <w:tab w:val="left" w:pos="-90"/>
          <w:tab w:val="left" w:pos="0"/>
          <w:tab w:val="left" w:pos="2070"/>
          <w:tab w:val="left" w:pos="3870"/>
          <w:tab w:val="left" w:pos="5670"/>
          <w:tab w:val="left" w:pos="7830"/>
          <w:tab w:val="left" w:pos="8550"/>
          <w:tab w:val="left" w:pos="8640"/>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202 </w:t>
      </w:r>
      <w:r>
        <w:rPr>
          <w:rFonts w:ascii="Times New Roman" w:eastAsia="Times New Roman" w:hAnsi="Times New Roman" w:cs="Times New Roman"/>
          <w:b/>
          <w:bCs/>
          <w:sz w:val="28"/>
          <w:szCs w:val="28"/>
        </w:rPr>
        <w:t>5</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sz w:val="28"/>
          <w:szCs w:val="28"/>
        </w:rPr>
        <w:t>Informe anual sobre la calidad del agua potable</w:t>
      </w:r>
    </w:p>
    <w:p w14:paraId="453BCE2B" w14:textId="77777777" w:rsidR="006E00B3" w:rsidRDefault="00000000">
      <w:pPr>
        <w:keepLines/>
        <w:tabs>
          <w:tab w:val="left" w:pos="-90"/>
          <w:tab w:val="left" w:pos="0"/>
          <w:tab w:val="left" w:pos="2070"/>
          <w:tab w:val="left" w:pos="3870"/>
          <w:tab w:val="left" w:pos="5670"/>
          <w:tab w:val="left" w:pos="7830"/>
          <w:tab w:val="left" w:pos="8550"/>
          <w:tab w:val="left" w:pos="8640"/>
        </w:tabs>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Gregory Meadows en </w:t>
      </w:r>
      <w:proofErr w:type="spellStart"/>
      <w:r>
        <w:rPr>
          <w:rFonts w:ascii="Times New Roman" w:eastAsia="Times New Roman" w:hAnsi="Times New Roman" w:cs="Times New Roman"/>
          <w:b/>
          <w:bCs/>
          <w:color w:val="000000"/>
          <w:sz w:val="28"/>
          <w:szCs w:val="28"/>
        </w:rPr>
        <w:t>Belvoir</w:t>
      </w:r>
      <w:proofErr w:type="spellEnd"/>
      <w:r>
        <w:rPr>
          <w:rFonts w:ascii="Times New Roman" w:eastAsia="Times New Roman" w:hAnsi="Times New Roman" w:cs="Times New Roman"/>
          <w:b/>
          <w:bCs/>
          <w:color w:val="000000"/>
          <w:sz w:val="28"/>
          <w:szCs w:val="28"/>
        </w:rPr>
        <w:t xml:space="preserve"> No. 1</w:t>
      </w:r>
    </w:p>
    <w:p w14:paraId="22612150" w14:textId="77777777" w:rsidR="006E00B3" w:rsidRDefault="00000000">
      <w:pPr>
        <w:keepLines/>
        <w:tabs>
          <w:tab w:val="left" w:pos="-90"/>
          <w:tab w:val="left" w:pos="0"/>
          <w:tab w:val="left" w:pos="2070"/>
          <w:tab w:val="left" w:pos="3870"/>
          <w:tab w:val="left" w:pos="5670"/>
          <w:tab w:val="left" w:pos="7830"/>
          <w:tab w:val="left" w:pos="8550"/>
          <w:tab w:val="left" w:pos="8640"/>
        </w:tabs>
        <w:spacing w:after="0" w:line="240" w:lineRule="auto"/>
        <w:jc w:val="center"/>
        <w:rPr>
          <w:rFonts w:ascii="Times New Roman" w:eastAsia="Times New Roman" w:hAnsi="Times New Roman" w:cs="Times New Roman"/>
          <w:b/>
          <w:bCs/>
          <w:color w:val="3366FF"/>
          <w:sz w:val="28"/>
          <w:szCs w:val="28"/>
        </w:rPr>
      </w:pPr>
      <w:r>
        <w:rPr>
          <w:rFonts w:ascii="Times New Roman" w:eastAsia="Times New Roman" w:hAnsi="Times New Roman" w:cs="Times New Roman"/>
          <w:color w:val="000000"/>
          <w:sz w:val="28"/>
          <w:szCs w:val="28"/>
        </w:rPr>
        <w:t>Número de sistema de agua: 04-74-140</w:t>
      </w:r>
    </w:p>
    <w:p w14:paraId="0347BDCD" w14:textId="77777777" w:rsidR="006E00B3" w:rsidRDefault="006E00B3">
      <w:pPr>
        <w:spacing w:after="0" w:line="240" w:lineRule="auto"/>
        <w:rPr>
          <w:rFonts w:ascii="Times New Roman" w:eastAsia="Times New Roman" w:hAnsi="Times New Roman" w:cs="Times New Roman"/>
          <w:color w:val="000000"/>
          <w:sz w:val="20"/>
          <w:szCs w:val="20"/>
        </w:rPr>
      </w:pPr>
    </w:p>
    <w:p w14:paraId="72491CBD" w14:textId="77777777" w:rsidR="006E00B3" w:rsidRDefault="00000000">
      <w:pPr>
        <w:spacing w:after="0" w:line="240" w:lineRule="auto"/>
        <w:rPr>
          <w:rFonts w:ascii="Times New Roman" w:eastAsia="Times New Roman" w:hAnsi="Times New Roman" w:cs="Times New Roman"/>
          <w:b/>
          <w:bCs/>
          <w:sz w:val="8"/>
          <w:szCs w:val="8"/>
        </w:rPr>
      </w:pPr>
      <w:bookmarkStart w:id="0" w:name="_heading=h.hw3ef2mb4quv" w:colFirst="0" w:colLast="0"/>
      <w:bookmarkEnd w:id="0"/>
      <w:r>
        <w:rPr>
          <w:rFonts w:ascii="Times New Roman" w:eastAsia="Times New Roman" w:hAnsi="Times New Roman" w:cs="Times New Roman"/>
          <w:color w:val="000000"/>
          <w:sz w:val="18"/>
          <w:szCs w:val="18"/>
        </w:rPr>
        <w:t>Nos complace presentarles el Informe Anual de Calidad del Agua Potable de este año. Este informe ofrece una visión general de la calidad del agua del año pasado. Incluye detalles sobre su(s) fuente(s) de agua, su composición y cómo se compara con los estándares establecidos por los organismos reguladores. Nuestro objetivo constante es brindarle un suministro de agua potable seguro y confiable. Queremos que comprenda los esfuerzos que realizamos para mejorar continuamente el proceso de tratamiento del agua y proteger nuestros recursos hídricos. Nos comprometemos a garantizar la calidad de su agua y a proporcionarle esta información, ya que los clientes informados son nuestros mejores aliados. Si tiene alguna pregunta sobre este informe o sobre su agua, comuníquese con Lee Latham al 252-947-</w:t>
      </w:r>
      <w:proofErr w:type="gramStart"/>
      <w:r>
        <w:rPr>
          <w:rFonts w:ascii="Times New Roman" w:eastAsia="Times New Roman" w:hAnsi="Times New Roman" w:cs="Times New Roman"/>
          <w:color w:val="000000"/>
          <w:sz w:val="18"/>
          <w:szCs w:val="18"/>
        </w:rPr>
        <w:t xml:space="preserve">5507 </w:t>
      </w:r>
      <w:r>
        <w:rPr>
          <w:rFonts w:ascii="Times New Roman" w:eastAsia="Times New Roman" w:hAnsi="Times New Roman" w:cs="Times New Roman"/>
          <w:sz w:val="18"/>
          <w:szCs w:val="18"/>
        </w:rPr>
        <w:t>.</w:t>
      </w:r>
      <w:proofErr w:type="gramEnd"/>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Queremos que nuestros valiosos clientes estén informados sobre su servicio de agua.</w:t>
      </w:r>
    </w:p>
    <w:p w14:paraId="79E07280" w14:textId="77777777" w:rsidR="006E00B3" w:rsidRDefault="006E00B3">
      <w:pPr>
        <w:spacing w:after="0" w:line="240" w:lineRule="auto"/>
        <w:rPr>
          <w:rFonts w:ascii="Times New Roman" w:eastAsia="Times New Roman" w:hAnsi="Times New Roman" w:cs="Times New Roman"/>
          <w:sz w:val="24"/>
          <w:szCs w:val="24"/>
        </w:rPr>
      </w:pPr>
    </w:p>
    <w:p w14:paraId="32958260"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Lo que la EPA quiere que sepas</w:t>
      </w:r>
    </w:p>
    <w:p w14:paraId="2CB769AE"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20"/>
          <w:szCs w:val="20"/>
        </w:rPr>
      </w:pPr>
    </w:p>
    <w:p w14:paraId="135DF2A8"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 razonable esperar que el agua potable, incluida el agua embotellada, contenga al menos pequeñas cantidades de algunos contaminantes. La presencia de contaminantes no indica necesariamente que el agua represente un riesgo para la salud. Para obtener más información sobre los contaminantes y sus posibles efectos en la salud, puede llamar a la Línea Directa de Agua Potable Segura de la Agencia de Protección Ambiental (800-426-4791).</w:t>
      </w:r>
    </w:p>
    <w:p w14:paraId="1632E496"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p>
    <w:p w14:paraId="397801E5"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Algunas personas pueden ser más vulnerables a los contaminantes en el agua potable que la población general. Las personas inmunocomprometidas, como las que padecen cáncer y reciben quimioterapia, las que han recibido trasplantes de órganos, las que tienen VIH/SIDA u otros trastornos del sistema inmunitario, algunos ancianos y los bebés, pueden correr un riesgo particular de contraer infecciones. Estas personas deben consultar a sus proveedores de atención médica sobre el agua potable. Las directrices de la EPA/CDC sobre las medidas adecuadas para reducir el riesgo de infección por </w:t>
      </w:r>
      <w:proofErr w:type="spellStart"/>
      <w:r>
        <w:rPr>
          <w:rFonts w:ascii="Times New Roman" w:eastAsia="Times New Roman" w:hAnsi="Times New Roman" w:cs="Times New Roman"/>
          <w:i/>
          <w:iCs/>
          <w:color w:val="000000"/>
          <w:sz w:val="20"/>
          <w:szCs w:val="20"/>
        </w:rPr>
        <w:t>Cryptosporidium</w:t>
      </w:r>
      <w:proofErr w:type="spellEnd"/>
      <w:r>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y otros contaminantes microbianos están disponibles en la Línea Directa de Agua Potable Segura (800-426-4791).</w:t>
      </w:r>
    </w:p>
    <w:p w14:paraId="4BED78E5"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color w:val="000000"/>
          <w:sz w:val="20"/>
          <w:szCs w:val="20"/>
        </w:rPr>
      </w:pPr>
    </w:p>
    <w:p w14:paraId="7043C6B3"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Las fuentes de agua potable (tanto agua del grifo como agua embotellada) incluyen ríos, lagos, arroyos, estanques, embalses, manantiales y pozos. A medida que el agua viaja sobre la superficie de la tierra o a través del suelo, disuelve minerales que se encuentran de forma natural y, en algunos casos, material radiactivo, y puede recoger sustancias que resultan de la presencia de animales o de la actividad humana. Los contaminantes que pueden estar presentes en el agua de origen incluyen </w:t>
      </w:r>
      <w:r>
        <w:rPr>
          <w:rFonts w:ascii="Times New Roman" w:eastAsia="Times New Roman" w:hAnsi="Times New Roman" w:cs="Times New Roman"/>
          <w:sz w:val="20"/>
          <w:szCs w:val="20"/>
          <w:u w:val="single"/>
        </w:rPr>
        <w:t xml:space="preserve">contaminantes microbianos </w:t>
      </w:r>
      <w:r>
        <w:rPr>
          <w:rFonts w:ascii="Times New Roman" w:eastAsia="Times New Roman" w:hAnsi="Times New Roman" w:cs="Times New Roman"/>
          <w:sz w:val="20"/>
          <w:szCs w:val="20"/>
        </w:rPr>
        <w:t xml:space="preserve">, como virus y bacterias, que pueden provenir de plantas de tratamiento de aguas residuales, sistemas sépticos, operaciones agrícolas y ganaderas y vida silvestre; </w:t>
      </w:r>
      <w:r>
        <w:rPr>
          <w:rFonts w:ascii="Times New Roman" w:eastAsia="Times New Roman" w:hAnsi="Times New Roman" w:cs="Times New Roman"/>
          <w:sz w:val="20"/>
          <w:szCs w:val="20"/>
          <w:u w:val="single"/>
        </w:rPr>
        <w:t xml:space="preserve">contaminantes inorgánicos </w:t>
      </w:r>
      <w:r>
        <w:rPr>
          <w:rFonts w:ascii="Times New Roman" w:eastAsia="Times New Roman" w:hAnsi="Times New Roman" w:cs="Times New Roman"/>
          <w:sz w:val="20"/>
          <w:szCs w:val="20"/>
        </w:rPr>
        <w:t xml:space="preserve">, como sales y metales, que pueden ser de origen natural o resultar de la escorrentía de aguas pluviales urbanas, descargas de aguas residuales industriales o domésticas, producción de petróleo y gas, minería o agricultura; </w:t>
      </w:r>
      <w:r>
        <w:rPr>
          <w:rFonts w:ascii="Times New Roman" w:eastAsia="Times New Roman" w:hAnsi="Times New Roman" w:cs="Times New Roman"/>
          <w:sz w:val="20"/>
          <w:szCs w:val="20"/>
          <w:u w:val="single"/>
        </w:rPr>
        <w:t xml:space="preserve">pesticidas y herbicidas </w:t>
      </w:r>
      <w:r>
        <w:rPr>
          <w:rFonts w:ascii="Times New Roman" w:eastAsia="Times New Roman" w:hAnsi="Times New Roman" w:cs="Times New Roman"/>
          <w:sz w:val="20"/>
          <w:szCs w:val="20"/>
        </w:rPr>
        <w:t xml:space="preserve">, que pueden provenir de una variedad de fuentes como la agricultura, la escorrentía de aguas pluviales urbanas y usos residenciales; </w:t>
      </w:r>
      <w:r>
        <w:rPr>
          <w:rFonts w:ascii="Times New Roman" w:eastAsia="Times New Roman" w:hAnsi="Times New Roman" w:cs="Times New Roman"/>
          <w:sz w:val="20"/>
          <w:szCs w:val="20"/>
          <w:u w:val="single"/>
        </w:rPr>
        <w:t xml:space="preserve">contaminantes químicos orgánicos </w:t>
      </w:r>
      <w:r>
        <w:rPr>
          <w:rFonts w:ascii="Times New Roman" w:eastAsia="Times New Roman" w:hAnsi="Times New Roman" w:cs="Times New Roman"/>
          <w:sz w:val="20"/>
          <w:szCs w:val="20"/>
        </w:rPr>
        <w:t xml:space="preserve">, incluidos los compuestos orgánicos volátiles y sintéticos, que son subproductos de procesos industriales y de la producción de petróleo, y que también pueden provenir de gasolineras, escorrentía de aguas pluviales urbanas y sistemas sépticos; y </w:t>
      </w:r>
      <w:r>
        <w:rPr>
          <w:rFonts w:ascii="Times New Roman" w:eastAsia="Times New Roman" w:hAnsi="Times New Roman" w:cs="Times New Roman"/>
          <w:sz w:val="20"/>
          <w:szCs w:val="20"/>
          <w:u w:val="single"/>
        </w:rPr>
        <w:t xml:space="preserve">contaminantes radiactivos </w:t>
      </w:r>
      <w:r>
        <w:rPr>
          <w:rFonts w:ascii="Times New Roman" w:eastAsia="Times New Roman" w:hAnsi="Times New Roman" w:cs="Times New Roman"/>
          <w:sz w:val="20"/>
          <w:szCs w:val="20"/>
        </w:rPr>
        <w:t>, que pueden ser de origen natural o ser el resultado de la producción de petróleo y gas y de las actividades mineras.</w:t>
      </w:r>
    </w:p>
    <w:p w14:paraId="732AB53D"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p>
    <w:p w14:paraId="4877DADF"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 garantizar que el agua del grifo sea potable, la EPA establece regulaciones que limitan la cantidad de ciertos contaminantes en el agua suministrada por los sistemas públicos de abastecimiento. Las regulaciones de la FDA establecen límites para los contaminantes en el agua embotellada, la cual debe brindar la misma protección para la salud pública.</w:t>
      </w:r>
    </w:p>
    <w:p w14:paraId="391484A3" w14:textId="77777777" w:rsidR="006E00B3" w:rsidRDefault="006E00B3">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bCs/>
          <w:color w:val="000000"/>
          <w:sz w:val="24"/>
          <w:szCs w:val="24"/>
        </w:rPr>
      </w:pPr>
    </w:p>
    <w:p w14:paraId="63314312" w14:textId="77777777" w:rsidR="006E00B3"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El agua que utiliza este sistema es agua subterránea procedente de un pozo profundo situado en la propiedad.</w:t>
      </w:r>
    </w:p>
    <w:p w14:paraId="73E6EBEB" w14:textId="77777777" w:rsidR="006E00B3" w:rsidRDefault="006E00B3">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FF"/>
          <w:sz w:val="20"/>
          <w:szCs w:val="20"/>
        </w:rPr>
      </w:pPr>
    </w:p>
    <w:p w14:paraId="7CF5832A" w14:textId="77777777" w:rsidR="006E00B3" w:rsidRDefault="00000000">
      <w:pPr>
        <w:keepNext/>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Resultados del Programa de Evaluación de Fuentes de Agua (SWAP)</w:t>
      </w:r>
    </w:p>
    <w:p w14:paraId="71B5D891" w14:textId="77777777" w:rsidR="006E00B3" w:rsidRDefault="0000000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El Departamento de Calidad Ambiental de Carolina del Norte (DEQ), Sección de Suministro Público de Agua (PWS), Programa de Evaluación de Fuentes de Agua (SWAP), realizó evaluaciones de todas las fuentes de agua potable en Carolina del Norte. El objetivo de las evaluaciones fue determinar la susceptibilidad de cada fuente de agua potable (pozo o toma de agua superficial) a las Fuentes Potenciales de Contaminación (PCS). Los resultados de la evaluación están disponibles en los Informes de Evaluación del SWAP, que incluyen mapas, información general y una clasificación de susceptibilidad relativa: Alta, Moderada o Baja.</w:t>
      </w:r>
    </w:p>
    <w:p w14:paraId="68422BAF" w14:textId="77777777" w:rsidR="006E00B3" w:rsidRDefault="006E00B3">
      <w:pPr>
        <w:spacing w:after="0" w:line="240" w:lineRule="auto"/>
        <w:rPr>
          <w:rFonts w:ascii="Times New Roman" w:eastAsia="Times New Roman" w:hAnsi="Times New Roman" w:cs="Times New Roman"/>
          <w:sz w:val="8"/>
          <w:szCs w:val="8"/>
        </w:rPr>
      </w:pPr>
    </w:p>
    <w:p w14:paraId="4D92BFE6" w14:textId="77777777" w:rsidR="006E00B3" w:rsidRDefault="0000000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La calificación de susceptibilidad relativa de cada fuente para Gregory Meadows en </w:t>
      </w:r>
      <w:proofErr w:type="spellStart"/>
      <w:r>
        <w:rPr>
          <w:rFonts w:ascii="Times New Roman" w:eastAsia="Times New Roman" w:hAnsi="Times New Roman" w:cs="Times New Roman"/>
          <w:sz w:val="18"/>
          <w:szCs w:val="18"/>
        </w:rPr>
        <w:t>Belvoir</w:t>
      </w:r>
      <w:proofErr w:type="spellEnd"/>
      <w:r>
        <w:rPr>
          <w:rFonts w:ascii="Times New Roman" w:eastAsia="Times New Roman" w:hAnsi="Times New Roman" w:cs="Times New Roman"/>
          <w:sz w:val="18"/>
          <w:szCs w:val="18"/>
        </w:rPr>
        <w:t xml:space="preserve"> No. 1 se determinó combinando la calificación de contaminantes (número y ubicación de los sistemas de control de contaminación dentro del área de evaluación) y la calificación de vulnerabilidad inherente (es decir, características o condiciones existentes del pozo o cuenca hidrográfica y su área de evaluación delimitada). Los resultados de la evaluación se resumen en la tabla a continuación:</w:t>
      </w:r>
    </w:p>
    <w:p w14:paraId="11D8C6E7" w14:textId="77777777" w:rsidR="006E00B3" w:rsidRDefault="006E00B3">
      <w:pPr>
        <w:spacing w:after="0" w:line="240" w:lineRule="auto"/>
        <w:rPr>
          <w:rFonts w:ascii="Times New Roman" w:eastAsia="Times New Roman" w:hAnsi="Times New Roman" w:cs="Times New Roman"/>
          <w:color w:val="0000FF"/>
          <w:sz w:val="8"/>
          <w:szCs w:val="8"/>
        </w:rPr>
      </w:pPr>
    </w:p>
    <w:p w14:paraId="4453586B" w14:textId="77777777" w:rsidR="006E00B3" w:rsidRDefault="00000000">
      <w:pPr>
        <w:spacing w:after="0" w:line="240" w:lineRule="auto"/>
        <w:ind w:left="720" w:hanging="72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Susceptibilidad de las fuentes a las fuentes potenciales de contaminación (PCS)</w:t>
      </w:r>
    </w:p>
    <w:tbl>
      <w:tblPr>
        <w:tblStyle w:val="a"/>
        <w:tblW w:w="67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4"/>
        <w:gridCol w:w="2298"/>
        <w:gridCol w:w="2267"/>
      </w:tblGrid>
      <w:tr w:rsidR="006E00B3" w14:paraId="23C5B067" w14:textId="77777777">
        <w:trPr>
          <w:trHeight w:val="263"/>
          <w:jc w:val="center"/>
        </w:trPr>
        <w:tc>
          <w:tcPr>
            <w:tcW w:w="2174" w:type="dxa"/>
            <w:tcBorders>
              <w:top w:val="single" w:sz="4" w:space="0" w:color="000000"/>
              <w:left w:val="single" w:sz="4" w:space="0" w:color="000000"/>
              <w:bottom w:val="single" w:sz="4" w:space="0" w:color="000000"/>
              <w:right w:val="single" w:sz="4" w:space="0" w:color="000000"/>
            </w:tcBorders>
          </w:tcPr>
          <w:p w14:paraId="4C73EC2B" w14:textId="77777777" w:rsidR="006E00B3"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Nombre de la fuente</w:t>
            </w:r>
          </w:p>
        </w:tc>
        <w:tc>
          <w:tcPr>
            <w:tcW w:w="2298" w:type="dxa"/>
            <w:tcBorders>
              <w:top w:val="single" w:sz="4" w:space="0" w:color="000000"/>
              <w:left w:val="single" w:sz="4" w:space="0" w:color="000000"/>
              <w:bottom w:val="single" w:sz="4" w:space="0" w:color="000000"/>
              <w:right w:val="single" w:sz="4" w:space="0" w:color="000000"/>
            </w:tcBorders>
          </w:tcPr>
          <w:p w14:paraId="16380BA9" w14:textId="77777777" w:rsidR="006E00B3"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Calificación de susceptibilidad</w:t>
            </w:r>
          </w:p>
        </w:tc>
        <w:tc>
          <w:tcPr>
            <w:tcW w:w="2267" w:type="dxa"/>
            <w:tcBorders>
              <w:top w:val="single" w:sz="4" w:space="0" w:color="000000"/>
              <w:left w:val="single" w:sz="4" w:space="0" w:color="000000"/>
              <w:bottom w:val="single" w:sz="4" w:space="0" w:color="000000"/>
              <w:right w:val="single" w:sz="4" w:space="0" w:color="000000"/>
            </w:tcBorders>
          </w:tcPr>
          <w:p w14:paraId="7F24044B" w14:textId="77777777" w:rsidR="006E00B3"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Fecha del informe SWAP</w:t>
            </w:r>
          </w:p>
        </w:tc>
      </w:tr>
      <w:tr w:rsidR="006E00B3" w14:paraId="357FFBB2" w14:textId="77777777">
        <w:trPr>
          <w:trHeight w:val="263"/>
          <w:jc w:val="center"/>
        </w:trPr>
        <w:tc>
          <w:tcPr>
            <w:tcW w:w="2174" w:type="dxa"/>
            <w:tcBorders>
              <w:top w:val="single" w:sz="4" w:space="0" w:color="000000"/>
              <w:left w:val="single" w:sz="4" w:space="0" w:color="000000"/>
              <w:bottom w:val="single" w:sz="4" w:space="0" w:color="000000"/>
              <w:right w:val="single" w:sz="4" w:space="0" w:color="000000"/>
            </w:tcBorders>
          </w:tcPr>
          <w:p w14:paraId="720D1C55" w14:textId="77777777" w:rsidR="006E00B3"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Pozo </w:t>
            </w:r>
            <w:proofErr w:type="spellStart"/>
            <w:r>
              <w:rPr>
                <w:rFonts w:ascii="Times New Roman" w:eastAsia="Times New Roman" w:hAnsi="Times New Roman" w:cs="Times New Roman"/>
                <w:sz w:val="20"/>
                <w:szCs w:val="20"/>
              </w:rPr>
              <w:t>n.°</w:t>
            </w:r>
            <w:proofErr w:type="spellEnd"/>
            <w:r>
              <w:rPr>
                <w:rFonts w:ascii="Times New Roman" w:eastAsia="Times New Roman" w:hAnsi="Times New Roman" w:cs="Times New Roman"/>
                <w:sz w:val="20"/>
                <w:szCs w:val="20"/>
              </w:rPr>
              <w:t xml:space="preserve"> 1</w:t>
            </w:r>
          </w:p>
        </w:tc>
        <w:tc>
          <w:tcPr>
            <w:tcW w:w="2298" w:type="dxa"/>
            <w:tcBorders>
              <w:top w:val="single" w:sz="4" w:space="0" w:color="000000"/>
              <w:left w:val="single" w:sz="4" w:space="0" w:color="000000"/>
              <w:bottom w:val="single" w:sz="4" w:space="0" w:color="000000"/>
              <w:right w:val="single" w:sz="4" w:space="0" w:color="000000"/>
            </w:tcBorders>
          </w:tcPr>
          <w:p w14:paraId="7C04DC91" w14:textId="77777777" w:rsidR="006E00B3"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Más bajo</w:t>
            </w:r>
          </w:p>
        </w:tc>
        <w:tc>
          <w:tcPr>
            <w:tcW w:w="2267" w:type="dxa"/>
            <w:tcBorders>
              <w:top w:val="single" w:sz="4" w:space="0" w:color="000000"/>
              <w:left w:val="single" w:sz="4" w:space="0" w:color="000000"/>
              <w:bottom w:val="single" w:sz="4" w:space="0" w:color="000000"/>
              <w:right w:val="single" w:sz="4" w:space="0" w:color="000000"/>
            </w:tcBorders>
          </w:tcPr>
          <w:p w14:paraId="618E91E5" w14:textId="77777777" w:rsidR="006E00B3"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Septiembre de 2020</w:t>
            </w:r>
          </w:p>
        </w:tc>
      </w:tr>
    </w:tbl>
    <w:p w14:paraId="09E7BF06" w14:textId="77777777" w:rsidR="006E00B3" w:rsidRDefault="0000000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El informe completo de evaluación SWAP para Gregory Meadows en </w:t>
      </w:r>
      <w:proofErr w:type="spellStart"/>
      <w:r>
        <w:rPr>
          <w:rFonts w:ascii="Times New Roman" w:eastAsia="Times New Roman" w:hAnsi="Times New Roman" w:cs="Times New Roman"/>
          <w:sz w:val="18"/>
          <w:szCs w:val="18"/>
        </w:rPr>
        <w:t>Belvoir</w:t>
      </w:r>
      <w:proofErr w:type="spellEnd"/>
      <w:r>
        <w:rPr>
          <w:rFonts w:ascii="Times New Roman" w:eastAsia="Times New Roman" w:hAnsi="Times New Roman" w:cs="Times New Roman"/>
          <w:sz w:val="18"/>
          <w:szCs w:val="18"/>
        </w:rPr>
        <w:t xml:space="preserve"> No. 1</w:t>
      </w:r>
      <w:r>
        <w:rPr>
          <w:rFonts w:ascii="Times New Roman" w:eastAsia="Times New Roman" w:hAnsi="Times New Roman" w:cs="Times New Roman"/>
          <w:color w:val="2E653E"/>
          <w:sz w:val="18"/>
          <w:szCs w:val="18"/>
        </w:rPr>
        <w:t xml:space="preserve"> </w:t>
      </w:r>
      <w:r>
        <w:rPr>
          <w:rFonts w:ascii="Times New Roman" w:eastAsia="Times New Roman" w:hAnsi="Times New Roman" w:cs="Times New Roman"/>
          <w:sz w:val="18"/>
          <w:szCs w:val="18"/>
        </w:rPr>
        <w:t xml:space="preserve">Puede consultarse en la web en: </w:t>
      </w:r>
      <w:hyperlink r:id="rId8">
        <w:r>
          <w:rPr>
            <w:rFonts w:ascii="Times New Roman" w:eastAsia="Times New Roman" w:hAnsi="Times New Roman" w:cs="Times New Roman"/>
            <w:color w:val="0000FF"/>
            <w:sz w:val="18"/>
            <w:szCs w:val="18"/>
            <w:u w:val="single"/>
          </w:rPr>
          <w:t xml:space="preserve">https://www.ncwater.org/?page=600 </w:t>
        </w:r>
      </w:hyperlink>
      <w:r>
        <w:rPr>
          <w:rFonts w:ascii="Times New Roman" w:eastAsia="Times New Roman" w:hAnsi="Times New Roman" w:cs="Times New Roman"/>
          <w:sz w:val="18"/>
          <w:szCs w:val="18"/>
        </w:rPr>
        <w:t xml:space="preserve">Tenga en cuenta que, dado que los resultados e informes de SWAP son actualizados periódicamente por la Sección PWS, los resultados disponibles en este sitio web pueden diferir de los resultados que estaban disponibles cuando se preparó este CCR. Si no puede acceder a su informe SWAP en la web, puede enviar una solicitud por escrito para obtener una copia impresa a: </w:t>
      </w:r>
      <w:proofErr w:type="spellStart"/>
      <w:r>
        <w:rPr>
          <w:rFonts w:ascii="Times New Roman" w:eastAsia="Times New Roman" w:hAnsi="Times New Roman" w:cs="Times New Roman"/>
          <w:sz w:val="18"/>
          <w:szCs w:val="18"/>
        </w:rPr>
        <w:t>Source</w:t>
      </w:r>
      <w:proofErr w:type="spellEnd"/>
      <w:r>
        <w:rPr>
          <w:rFonts w:ascii="Times New Roman" w:eastAsia="Times New Roman" w:hAnsi="Times New Roman" w:cs="Times New Roman"/>
          <w:sz w:val="18"/>
          <w:szCs w:val="18"/>
        </w:rPr>
        <w:t xml:space="preserve"> Water </w:t>
      </w:r>
      <w:proofErr w:type="spellStart"/>
      <w:r>
        <w:rPr>
          <w:rFonts w:ascii="Times New Roman" w:eastAsia="Times New Roman" w:hAnsi="Times New Roman" w:cs="Times New Roman"/>
          <w:sz w:val="18"/>
          <w:szCs w:val="18"/>
        </w:rPr>
        <w:t>Assessment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Program</w:t>
      </w:r>
      <w:proofErr w:type="spellEnd"/>
      <w:r>
        <w:rPr>
          <w:rFonts w:ascii="Times New Roman" w:eastAsia="Times New Roman" w:hAnsi="Times New Roman" w:cs="Times New Roman"/>
          <w:sz w:val="18"/>
          <w:szCs w:val="18"/>
        </w:rPr>
        <w:t xml:space="preserve"> – </w:t>
      </w:r>
      <w:proofErr w:type="spellStart"/>
      <w:r>
        <w:rPr>
          <w:rFonts w:ascii="Times New Roman" w:eastAsia="Times New Roman" w:hAnsi="Times New Roman" w:cs="Times New Roman"/>
          <w:sz w:val="18"/>
          <w:szCs w:val="18"/>
        </w:rPr>
        <w:t>Report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Request</w:t>
      </w:r>
      <w:proofErr w:type="spellEnd"/>
      <w:r>
        <w:rPr>
          <w:rFonts w:ascii="Times New Roman" w:eastAsia="Times New Roman" w:hAnsi="Times New Roman" w:cs="Times New Roman"/>
          <w:sz w:val="18"/>
          <w:szCs w:val="18"/>
        </w:rPr>
        <w:t xml:space="preserve">, 1634 Mail Service Center, Raleigh, NC 27699-1634, o enviar solicitudes por correo electrónico a </w:t>
      </w:r>
      <w:proofErr w:type="gramStart"/>
      <w:r>
        <w:rPr>
          <w:rFonts w:ascii="Times New Roman" w:eastAsia="Times New Roman" w:hAnsi="Times New Roman" w:cs="Times New Roman"/>
          <w:sz w:val="18"/>
          <w:szCs w:val="18"/>
          <w:u w:val="single"/>
        </w:rPr>
        <w:t xml:space="preserve">swap@deq.nc.gov </w:t>
      </w:r>
      <w:r>
        <w:rPr>
          <w:rFonts w:ascii="Times New Roman" w:eastAsia="Times New Roman" w:hAnsi="Times New Roman" w:cs="Times New Roman"/>
          <w:sz w:val="18"/>
          <w:szCs w:val="18"/>
        </w:rPr>
        <w:t>.</w:t>
      </w:r>
      <w:proofErr w:type="gramEnd"/>
      <w:r>
        <w:rPr>
          <w:rFonts w:ascii="Times New Roman" w:eastAsia="Times New Roman" w:hAnsi="Times New Roman" w:cs="Times New Roman"/>
          <w:sz w:val="18"/>
          <w:szCs w:val="18"/>
        </w:rPr>
        <w:t xml:space="preserve"> Indique el nombre y número de su sistema, y proporcione su nombre, dirección postal y número de teléfono. Si tiene alguna pregunta sobre el informe SWAP, comuníquese con el personal de </w:t>
      </w:r>
      <w:proofErr w:type="spellStart"/>
      <w:r>
        <w:rPr>
          <w:rFonts w:ascii="Times New Roman" w:eastAsia="Times New Roman" w:hAnsi="Times New Roman" w:cs="Times New Roman"/>
          <w:sz w:val="18"/>
          <w:szCs w:val="18"/>
        </w:rPr>
        <w:t>Source</w:t>
      </w:r>
      <w:proofErr w:type="spellEnd"/>
      <w:r>
        <w:rPr>
          <w:rFonts w:ascii="Times New Roman" w:eastAsia="Times New Roman" w:hAnsi="Times New Roman" w:cs="Times New Roman"/>
          <w:sz w:val="18"/>
          <w:szCs w:val="18"/>
        </w:rPr>
        <w:t xml:space="preserve"> Water </w:t>
      </w:r>
      <w:proofErr w:type="spellStart"/>
      <w:r>
        <w:rPr>
          <w:rFonts w:ascii="Times New Roman" w:eastAsia="Times New Roman" w:hAnsi="Times New Roman" w:cs="Times New Roman"/>
          <w:sz w:val="18"/>
          <w:szCs w:val="18"/>
        </w:rPr>
        <w:t>Assessment</w:t>
      </w:r>
      <w:proofErr w:type="spellEnd"/>
      <w:r>
        <w:rPr>
          <w:rFonts w:ascii="Times New Roman" w:eastAsia="Times New Roman" w:hAnsi="Times New Roman" w:cs="Times New Roman"/>
          <w:sz w:val="18"/>
          <w:szCs w:val="18"/>
        </w:rPr>
        <w:t xml:space="preserve"> por teléfono al (919) 707-9098.</w:t>
      </w:r>
      <w:r>
        <w:rPr>
          <w:noProof/>
        </w:rPr>
        <mc:AlternateContent>
          <mc:Choice Requires="wpg">
            <w:drawing>
              <wp:anchor distT="0" distB="0" distL="114300" distR="114300" simplePos="0" relativeHeight="251658240" behindDoc="0" locked="0" layoutInCell="1" hidden="0" allowOverlap="1" wp14:anchorId="503E34F8" wp14:editId="7D82FE8F">
                <wp:simplePos x="0" y="0"/>
                <wp:positionH relativeFrom="column">
                  <wp:posOffset>-933443</wp:posOffset>
                </wp:positionH>
                <wp:positionV relativeFrom="paragraph">
                  <wp:posOffset>625476</wp:posOffset>
                </wp:positionV>
                <wp:extent cx="838200" cy="495300"/>
                <wp:effectExtent l="0" t="0" r="0" b="0"/>
                <wp:wrapNone/>
                <wp:docPr id="1" name="Rectangle 1"/>
                <wp:cNvGraphicFramePr/>
                <a:graphic xmlns:a="http://schemas.openxmlformats.org/drawingml/2006/main">
                  <a:graphicData uri="http://schemas.microsoft.com/office/word/2010/wordprocessingShape">
                    <wps:wsp>
                      <wps:cNvSpPr/>
                      <wps:spPr>
                        <a:xfrm>
                          <a:off x="4945950" y="3551400"/>
                          <a:ext cx="800100" cy="457200"/>
                        </a:xfrm>
                        <a:prstGeom prst="rect">
                          <a:avLst/>
                        </a:prstGeom>
                        <a:solidFill>
                          <a:srgbClr val="FFFFFF"/>
                        </a:solidFill>
                        <a:ln>
                          <a:noFill/>
                        </a:ln>
                      </wps:spPr>
                      <wps:txbx>
                        <w:txbxContent>
                          <w:p w14:paraId="628120CF" w14:textId="77777777" w:rsidR="006E00B3" w:rsidRDefault="006E00B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a="http://schemas.openxmlformats.org/drawingml/2006/main" xmlns:pic="http://schemas.openxmlformats.org/drawingml/2006/picture"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sl="http://schemas.openxmlformats.org/schemaLibrary/2006/main">
            <w:drawing>
              <wp:anchor allowOverlap="1" behindDoc="0" distB="0" distT="0" distL="114300" distR="114300" hidden="0" layoutInCell="1" locked="0" relativeHeight="0" simplePos="0">
                <wp:simplePos x="0" y="0"/>
                <wp:positionH relativeFrom="column">
                  <wp:posOffset>-933443</wp:posOffset>
                </wp:positionH>
                <wp:positionV relativeFrom="paragraph">
                  <wp:posOffset>625476</wp:posOffset>
                </wp:positionV>
                <wp:extent cx="838200" cy="4953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838200" cy="4953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56CA671" wp14:editId="543A0581">
                <wp:simplePos x="0" y="0"/>
                <wp:positionH relativeFrom="column">
                  <wp:posOffset>-933443</wp:posOffset>
                </wp:positionH>
                <wp:positionV relativeFrom="paragraph">
                  <wp:posOffset>625476</wp:posOffset>
                </wp:positionV>
                <wp:extent cx="838200" cy="495300"/>
                <wp:effectExtent l="0" t="0" r="0" b="0"/>
                <wp:wrapNone/>
                <wp:docPr id="2" name="Rectangle 2"/>
                <wp:cNvGraphicFramePr/>
                <a:graphic xmlns:a="http://schemas.openxmlformats.org/drawingml/2006/main">
                  <a:graphicData uri="http://schemas.microsoft.com/office/word/2010/wordprocessingShape">
                    <wps:wsp>
                      <wps:cNvSpPr/>
                      <wps:spPr>
                        <a:xfrm>
                          <a:off x="4945950" y="3551400"/>
                          <a:ext cx="800100" cy="457200"/>
                        </a:xfrm>
                        <a:prstGeom prst="rect">
                          <a:avLst/>
                        </a:prstGeom>
                        <a:solidFill>
                          <a:srgbClr val="FFFFFF"/>
                        </a:solidFill>
                        <a:ln>
                          <a:noFill/>
                        </a:ln>
                      </wps:spPr>
                      <wps:txbx>
                        <w:txbxContent>
                          <w:p w14:paraId="09BB6D11" w14:textId="77777777" w:rsidR="006E00B3" w:rsidRDefault="006E00B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a="http://schemas.openxmlformats.org/drawingml/2006/main" xmlns:pic="http://schemas.openxmlformats.org/drawingml/2006/picture"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sl="http://schemas.openxmlformats.org/schemaLibrary/2006/main">
            <w:drawing>
              <wp:anchor allowOverlap="1" behindDoc="0" distB="0" distT="0" distL="114300" distR="114300" hidden="0" layoutInCell="1" locked="0" relativeHeight="0" simplePos="0">
                <wp:simplePos x="0" y="0"/>
                <wp:positionH relativeFrom="column">
                  <wp:posOffset>-933443</wp:posOffset>
                </wp:positionH>
                <wp:positionV relativeFrom="paragraph">
                  <wp:posOffset>625476</wp:posOffset>
                </wp:positionV>
                <wp:extent cx="838200" cy="495300"/>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838200" cy="495300"/>
                        </a:xfrm>
                        <a:prstGeom prst="rect"/>
                        <a:ln/>
                      </pic:spPr>
                    </pic:pic>
                  </a:graphicData>
                </a:graphic>
              </wp:anchor>
            </w:drawing>
          </mc:Fallback>
        </mc:AlternateContent>
      </w:r>
    </w:p>
    <w:p w14:paraId="1A97F71D" w14:textId="77777777" w:rsidR="006E00B3" w:rsidRDefault="006E00B3">
      <w:pPr>
        <w:spacing w:after="0" w:line="240" w:lineRule="auto"/>
        <w:rPr>
          <w:rFonts w:ascii="Times New Roman" w:eastAsia="Times New Roman" w:hAnsi="Times New Roman" w:cs="Times New Roman"/>
          <w:sz w:val="20"/>
          <w:szCs w:val="20"/>
        </w:rPr>
      </w:pPr>
    </w:p>
    <w:p w14:paraId="52EFD446" w14:textId="77777777" w:rsidR="006E00B3" w:rsidRDefault="006E00B3">
      <w:pPr>
        <w:spacing w:after="0" w:line="240" w:lineRule="auto"/>
        <w:rPr>
          <w:rFonts w:ascii="Times New Roman" w:eastAsia="Times New Roman" w:hAnsi="Times New Roman" w:cs="Times New Roman"/>
          <w:sz w:val="20"/>
          <w:szCs w:val="20"/>
        </w:rPr>
      </w:pPr>
    </w:p>
    <w:p w14:paraId="55AF58DF" w14:textId="77777777" w:rsidR="006E00B3" w:rsidRDefault="00000000">
      <w:pPr>
        <w:tabs>
          <w:tab w:val="left" w:pos="-90"/>
          <w:tab w:val="left" w:pos="27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270" w:hanging="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Ayude a proteger su fuente de agua</w:t>
      </w:r>
    </w:p>
    <w:p w14:paraId="42F13BE0" w14:textId="77777777" w:rsidR="006E00B3" w:rsidRDefault="006E00B3">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sz w:val="20"/>
          <w:szCs w:val="20"/>
        </w:rPr>
      </w:pPr>
    </w:p>
    <w:p w14:paraId="3B92EA8D" w14:textId="77777777" w:rsidR="006E00B3"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sz w:val="20"/>
          <w:szCs w:val="20"/>
        </w:rPr>
      </w:pPr>
      <w:bookmarkStart w:id="1" w:name="_heading=h.u5g9x64ptl0n" w:colFirst="0" w:colLast="0"/>
      <w:bookmarkEnd w:id="1"/>
      <w:r>
        <w:rPr>
          <w:rFonts w:ascii="Times New Roman" w:eastAsia="Times New Roman" w:hAnsi="Times New Roman" w:cs="Times New Roman"/>
          <w:sz w:val="20"/>
          <w:szCs w:val="20"/>
        </w:rPr>
        <w:t>La protección del agua potable es responsabilidad de todos. Puedes ayudar a proteger las fuentes de agua potable de tu comunidad de varias maneras: desecha los productos químicos correctamente, lleva el aceite de motor usado a un centro de reciclaje, participa como voluntario en iniciativas comunitarias para proteger la fuente de agua y evita que los fluidos no regulados lleguen a las aguas pluviales.</w:t>
      </w:r>
    </w:p>
    <w:p w14:paraId="0E3CE576" w14:textId="77777777" w:rsidR="006E00B3" w:rsidRDefault="006E00B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8"/>
          <w:szCs w:val="8"/>
        </w:rPr>
      </w:pPr>
    </w:p>
    <w:p w14:paraId="513BA939" w14:textId="77777777" w:rsidR="006E00B3" w:rsidRDefault="006E00B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16"/>
          <w:szCs w:val="16"/>
        </w:rPr>
      </w:pPr>
    </w:p>
    <w:p w14:paraId="78D7C2E0" w14:textId="77777777" w:rsidR="006E00B3" w:rsidRDefault="0000000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Infracciones que recibió su sistema de agua durante el año del informe </w:t>
      </w:r>
      <w:r>
        <w:rPr>
          <w:rFonts w:ascii="Times New Roman" w:eastAsia="Times New Roman" w:hAnsi="Times New Roman" w:cs="Times New Roman"/>
          <w:b/>
          <w:bCs/>
          <w:sz w:val="24"/>
          <w:szCs w:val="24"/>
        </w:rPr>
        <w:t>2025</w:t>
      </w:r>
    </w:p>
    <w:p w14:paraId="085BFD0C" w14:textId="77777777" w:rsidR="006E00B3" w:rsidRDefault="006E00B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8"/>
          <w:szCs w:val="8"/>
        </w:rPr>
      </w:pPr>
    </w:p>
    <w:p w14:paraId="4C07579A"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Durante </w:t>
      </w:r>
      <w:proofErr w:type="gramStart"/>
      <w:r>
        <w:rPr>
          <w:rFonts w:ascii="Times New Roman" w:eastAsia="Times New Roman" w:hAnsi="Times New Roman" w:cs="Times New Roman"/>
          <w:color w:val="000000"/>
          <w:sz w:val="20"/>
          <w:szCs w:val="20"/>
        </w:rPr>
        <w:t xml:space="preserve">2025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o durante cualquier período de cumplimiento que finalizó </w:t>
      </w:r>
      <w:r>
        <w:rPr>
          <w:rFonts w:ascii="Times New Roman" w:eastAsia="Times New Roman" w:hAnsi="Times New Roman" w:cs="Times New Roman"/>
          <w:sz w:val="20"/>
          <w:szCs w:val="20"/>
        </w:rPr>
        <w:t xml:space="preserve">en 2025, </w:t>
      </w:r>
      <w:r>
        <w:rPr>
          <w:rFonts w:ascii="Times New Roman" w:eastAsia="Times New Roman" w:hAnsi="Times New Roman" w:cs="Times New Roman"/>
          <w:color w:val="000000"/>
          <w:sz w:val="20"/>
          <w:szCs w:val="20"/>
        </w:rPr>
        <w:t>no recibimos ninguna infracción.</w:t>
      </w:r>
    </w:p>
    <w:p w14:paraId="50B88929"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16"/>
          <w:szCs w:val="16"/>
          <w:u w:val="single"/>
        </w:rPr>
      </w:pPr>
    </w:p>
    <w:p w14:paraId="5272B80B" w14:textId="77777777" w:rsidR="006E00B3"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u w:val="single"/>
        </w:rPr>
        <w:t>Definiciones importantes sobre el agua potable:</w:t>
      </w:r>
      <w:r>
        <w:rPr>
          <w:rFonts w:ascii="Times New Roman" w:eastAsia="Times New Roman" w:hAnsi="Times New Roman" w:cs="Times New Roman"/>
          <w:b/>
          <w:bCs/>
          <w:color w:val="000000"/>
        </w:rPr>
        <w:t xml:space="preserve"> </w:t>
      </w:r>
    </w:p>
    <w:p w14:paraId="160B6925" w14:textId="77777777" w:rsidR="006E00B3" w:rsidRDefault="00000000">
      <w:pPr>
        <w:numPr>
          <w:ilvl w:val="0"/>
          <w:numId w:val="1"/>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No aplicable (N/</w:t>
      </w:r>
      <w:proofErr w:type="gramStart"/>
      <w:r>
        <w:rPr>
          <w:rFonts w:ascii="Times New Roman" w:eastAsia="Times New Roman" w:hAnsi="Times New Roman" w:cs="Times New Roman"/>
          <w:b/>
          <w:bCs/>
          <w:i/>
          <w:iCs/>
          <w:color w:val="000000"/>
          <w:sz w:val="20"/>
          <w:szCs w:val="20"/>
        </w:rPr>
        <w:t xml:space="preserve">A </w:t>
      </w:r>
      <w:r>
        <w:rPr>
          <w:rFonts w:ascii="Times New Roman" w:eastAsia="Times New Roman" w:hAnsi="Times New Roman" w:cs="Times New Roman"/>
          <w:i/>
          <w:iCs/>
          <w:color w:val="000000"/>
          <w:sz w:val="20"/>
          <w:szCs w:val="20"/>
        </w:rPr>
        <w:t>)</w:t>
      </w:r>
      <w:proofErr w:type="gramEnd"/>
      <w:r>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Información no aplicable/no requerida para ese sistema de agua en particular o para esa regla en particular.</w:t>
      </w:r>
    </w:p>
    <w:p w14:paraId="4ECD808A" w14:textId="77777777" w:rsidR="006E00B3" w:rsidRDefault="00000000">
      <w:pPr>
        <w:numPr>
          <w:ilvl w:val="0"/>
          <w:numId w:val="1"/>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No detectados (ND</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el análisis de laboratorio indica que el contaminante no está presente en el nivel de detección establecido para la metodología particular utilizada.</w:t>
      </w:r>
    </w:p>
    <w:p w14:paraId="3CC90EA4" w14:textId="77777777" w:rsidR="006E00B3" w:rsidRDefault="00000000">
      <w:pPr>
        <w:numPr>
          <w:ilvl w:val="0"/>
          <w:numId w:val="1"/>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Partes por millón (ppm) o miligramos por litro (mg/L</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una parte por millón equivale a un minuto en dos años o a un centavo en 10 000 dólares.</w:t>
      </w:r>
    </w:p>
    <w:p w14:paraId="0843819F" w14:textId="77777777" w:rsidR="006E00B3" w:rsidRDefault="00000000">
      <w:pPr>
        <w:numPr>
          <w:ilvl w:val="0"/>
          <w:numId w:val="1"/>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Partes por mil millones (</w:t>
      </w:r>
      <w:proofErr w:type="spellStart"/>
      <w:r>
        <w:rPr>
          <w:rFonts w:ascii="Times New Roman" w:eastAsia="Times New Roman" w:hAnsi="Times New Roman" w:cs="Times New Roman"/>
          <w:b/>
          <w:bCs/>
          <w:i/>
          <w:iCs/>
          <w:color w:val="000000"/>
          <w:sz w:val="20"/>
          <w:szCs w:val="20"/>
        </w:rPr>
        <w:t>ppb</w:t>
      </w:r>
      <w:proofErr w:type="spellEnd"/>
      <w:r>
        <w:rPr>
          <w:rFonts w:ascii="Times New Roman" w:eastAsia="Times New Roman" w:hAnsi="Times New Roman" w:cs="Times New Roman"/>
          <w:b/>
          <w:bCs/>
          <w:i/>
          <w:iCs/>
          <w:color w:val="000000"/>
          <w:sz w:val="20"/>
          <w:szCs w:val="20"/>
        </w:rPr>
        <w:t>) o microgramos por litro (</w:t>
      </w:r>
      <w:proofErr w:type="spellStart"/>
      <w:r>
        <w:rPr>
          <w:rFonts w:ascii="Times New Roman" w:eastAsia="Times New Roman" w:hAnsi="Times New Roman" w:cs="Times New Roman"/>
          <w:b/>
          <w:bCs/>
          <w:i/>
          <w:iCs/>
          <w:color w:val="000000"/>
          <w:sz w:val="20"/>
          <w:szCs w:val="20"/>
        </w:rPr>
        <w:t>ug</w:t>
      </w:r>
      <w:proofErr w:type="spellEnd"/>
      <w:r>
        <w:rPr>
          <w:rFonts w:ascii="Times New Roman" w:eastAsia="Times New Roman" w:hAnsi="Times New Roman" w:cs="Times New Roman"/>
          <w:b/>
          <w:bCs/>
          <w:i/>
          <w:iCs/>
          <w:color w:val="000000"/>
          <w:sz w:val="20"/>
          <w:szCs w:val="20"/>
        </w:rPr>
        <w:t>/L</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una parte por mil millones equivale a un minuto en 2000 años, o a un centavo en 10 000 000 de dólares.</w:t>
      </w:r>
    </w:p>
    <w:p w14:paraId="20D074A6" w14:textId="77777777" w:rsidR="006E00B3" w:rsidRDefault="00000000">
      <w:pPr>
        <w:numPr>
          <w:ilvl w:val="0"/>
          <w:numId w:val="2"/>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Nivel de acción</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i/>
          <w:iCs/>
          <w:color w:val="000000"/>
          <w:sz w:val="20"/>
          <w:szCs w:val="20"/>
        </w:rPr>
        <w:t xml:space="preserve">(AL) </w:t>
      </w:r>
      <w:r>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La concentración de un contaminante que, si se supera, activa el tratamiento u otros requisitos que un sistema de agua debe cumplir.</w:t>
      </w:r>
    </w:p>
    <w:p w14:paraId="7817CD82" w14:textId="77777777" w:rsidR="006E00B3" w:rsidRDefault="00000000">
      <w:pPr>
        <w:numPr>
          <w:ilvl w:val="0"/>
          <w:numId w:val="2"/>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Técnica de Tratamiento (</w:t>
      </w:r>
      <w:proofErr w:type="gramStart"/>
      <w:r>
        <w:rPr>
          <w:rFonts w:ascii="Times New Roman" w:eastAsia="Times New Roman" w:hAnsi="Times New Roman" w:cs="Times New Roman"/>
          <w:b/>
          <w:bCs/>
          <w:i/>
          <w:iCs/>
          <w:color w:val="000000"/>
          <w:sz w:val="20"/>
          <w:szCs w:val="20"/>
        </w:rPr>
        <w:t xml:space="preserve">TT </w:t>
      </w:r>
      <w:r>
        <w:rPr>
          <w:rFonts w:ascii="Times New Roman" w:eastAsia="Times New Roman" w:hAnsi="Times New Roman" w:cs="Times New Roman"/>
          <w:i/>
          <w:iCs/>
          <w:color w:val="000000"/>
          <w:sz w:val="20"/>
          <w:szCs w:val="20"/>
        </w:rPr>
        <w:t>)</w:t>
      </w:r>
      <w:proofErr w:type="gram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00"/>
          <w:sz w:val="20"/>
          <w:szCs w:val="20"/>
        </w:rPr>
        <w:t>Un proceso obligatorio destinado a reducir el nivel de un contaminante en el agua potable.</w:t>
      </w:r>
    </w:p>
    <w:p w14:paraId="4433DFD3" w14:textId="77777777" w:rsidR="006E00B3" w:rsidRDefault="00000000">
      <w:pPr>
        <w:numPr>
          <w:ilvl w:val="0"/>
          <w:numId w:val="2"/>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Nivel Máximo de Desinfección Residual (MRDL</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El nivel más alto de desinfectante permitido en el agua potable. Existe evidencia convincente de que la adición de un desinfectante es necesaria para el control de contaminantes microbianos.</w:t>
      </w:r>
    </w:p>
    <w:p w14:paraId="151E7533" w14:textId="77777777" w:rsidR="006E00B3" w:rsidRDefault="00000000">
      <w:pPr>
        <w:numPr>
          <w:ilvl w:val="0"/>
          <w:numId w:val="2"/>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Objetivo de nivel máximo de desinfección residual</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i/>
          <w:iCs/>
          <w:color w:val="000000"/>
          <w:sz w:val="20"/>
          <w:szCs w:val="20"/>
        </w:rPr>
        <w:t xml:space="preserve">(MRDLG) </w:t>
      </w:r>
      <w:r>
        <w:rPr>
          <w:rFonts w:ascii="Times New Roman" w:eastAsia="Times New Roman" w:hAnsi="Times New Roman" w:cs="Times New Roman"/>
          <w:color w:val="000000"/>
          <w:sz w:val="20"/>
          <w:szCs w:val="20"/>
        </w:rPr>
        <w:t>– Nivel de desinfectante para agua potable por debajo del cual no existe riesgo conocido ni esperado para la salud. Los MRDLG no reflejan los beneficios del uso de desinfectantes para controlar los contaminantes microbianos.</w:t>
      </w:r>
    </w:p>
    <w:p w14:paraId="4C82ED4F" w14:textId="77777777" w:rsidR="006E00B3" w:rsidRDefault="00000000">
      <w:pPr>
        <w:numPr>
          <w:ilvl w:val="0"/>
          <w:numId w:val="2"/>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Promedio anual móvil por ubicación (LRAA</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el promedio de los resultados analíticos de las muestras tomadas en una ubicación de monitoreo particular durante los cuatro trimestres calendario anteriores bajo la Regla de desinfectantes y subproductos de desinfección de etapa 2.</w:t>
      </w:r>
    </w:p>
    <w:p w14:paraId="55D6C9FD" w14:textId="77777777" w:rsidR="006E00B3" w:rsidRDefault="00000000">
      <w:pPr>
        <w:numPr>
          <w:ilvl w:val="0"/>
          <w:numId w:val="2"/>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Promedio anual móvil (RAA</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el promedio de los resultados analíticos de las muestras tomadas durante los cuatro trimestres calendario anteriores.</w:t>
      </w:r>
    </w:p>
    <w:p w14:paraId="2C0FC408" w14:textId="77777777" w:rsidR="006E00B3" w:rsidRDefault="00000000">
      <w:pPr>
        <w:numPr>
          <w:ilvl w:val="0"/>
          <w:numId w:val="3"/>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righ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Nivel Máximo de Contaminante (NMC</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El nivel más alto de un contaminante permitido en el agua potable. Los NMC se establecen lo más cerca posible de los NMCG utilizando la mejor tecnología de tratamiento disponible.</w:t>
      </w:r>
    </w:p>
    <w:p w14:paraId="73E02791" w14:textId="77777777" w:rsidR="006E00B3" w:rsidRDefault="00000000">
      <w:pPr>
        <w:numPr>
          <w:ilvl w:val="0"/>
          <w:numId w:val="3"/>
        </w:numPr>
        <w:pBdr>
          <w:top w:val="nil"/>
          <w:left w:val="nil"/>
          <w:bottom w:val="nil"/>
          <w:right w:val="nil"/>
          <w:between w:val="nil"/>
        </w:pBd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Objetivo de nivel máximo de contaminante</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i/>
          <w:iCs/>
          <w:color w:val="000000"/>
          <w:sz w:val="20"/>
          <w:szCs w:val="20"/>
        </w:rPr>
        <w:t xml:space="preserve">(MCLG) </w:t>
      </w:r>
      <w:r>
        <w:rPr>
          <w:rFonts w:ascii="Times New Roman" w:eastAsia="Times New Roman" w:hAnsi="Times New Roman" w:cs="Times New Roman"/>
          <w:color w:val="000000"/>
          <w:sz w:val="20"/>
          <w:szCs w:val="20"/>
        </w:rPr>
        <w:t>- Nivel de un contaminante en el agua potable por debajo del cual no existe riesgo conocido o esperado para la salud. Los MCLG permiten un margen de seguridad.</w:t>
      </w:r>
    </w:p>
    <w:p w14:paraId="795ADC82" w14:textId="77777777" w:rsidR="006E00B3" w:rsidRDefault="006E00B3">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2DCA6ABA" w14:textId="77777777" w:rsidR="006E00B3" w:rsidRDefault="00000000">
      <w:pPr>
        <w:spacing w:after="0" w:line="240" w:lineRule="auto"/>
        <w:rPr>
          <w:rFonts w:ascii="Times New Roman" w:eastAsia="Times New Roman" w:hAnsi="Times New Roman" w:cs="Times New Roman"/>
          <w:b/>
          <w:bCs/>
          <w:sz w:val="20"/>
          <w:szCs w:val="20"/>
        </w:rPr>
      </w:pPr>
      <w:r>
        <w:rPr>
          <w:noProof/>
        </w:rPr>
        <mc:AlternateContent>
          <mc:Choice Requires="wpg">
            <w:drawing>
              <wp:anchor distT="0" distB="0" distL="0" distR="0" simplePos="0" relativeHeight="251660288" behindDoc="1" locked="0" layoutInCell="1" hidden="0" allowOverlap="1" wp14:anchorId="50F21881" wp14:editId="72A2E341">
                <wp:simplePos x="0" y="0"/>
                <wp:positionH relativeFrom="column">
                  <wp:posOffset>-19043</wp:posOffset>
                </wp:positionH>
                <wp:positionV relativeFrom="paragraph">
                  <wp:posOffset>-19043</wp:posOffset>
                </wp:positionV>
                <wp:extent cx="7170420" cy="65405"/>
                <wp:effectExtent l="0" t="0" r="0" b="0"/>
                <wp:wrapNone/>
                <wp:docPr id="3" name="Rectangle 3"/>
                <wp:cNvGraphicFramePr/>
                <a:graphic xmlns:a="http://schemas.openxmlformats.org/drawingml/2006/main">
                  <a:graphicData uri="http://schemas.microsoft.com/office/word/2010/wordprocessingShape">
                    <wps:wsp>
                      <wps:cNvSpPr/>
                      <wps:spPr>
                        <a:xfrm>
                          <a:off x="1779840" y="3766348"/>
                          <a:ext cx="7132320" cy="27305"/>
                        </a:xfrm>
                        <a:prstGeom prst="rect">
                          <a:avLst/>
                        </a:prstGeom>
                        <a:solidFill>
                          <a:srgbClr val="000000"/>
                        </a:solidFill>
                        <a:ln>
                          <a:noFill/>
                        </a:ln>
                      </wps:spPr>
                      <wps:txbx>
                        <w:txbxContent>
                          <w:p w14:paraId="09831227" w14:textId="77777777" w:rsidR="006E00B3" w:rsidRDefault="006E00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-19043</wp:posOffset>
                </wp:positionH>
                <wp:positionV relativeFrom="paragraph">
                  <wp:posOffset>-19043</wp:posOffset>
                </wp:positionV>
                <wp:extent cx="7170420" cy="65405"/>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170420" cy="65405"/>
                        </a:xfrm>
                        <a:prstGeom prst="rect"/>
                        <a:ln/>
                      </pic:spPr>
                    </pic:pic>
                  </a:graphicData>
                </a:graphic>
              </wp:anchor>
            </w:drawing>
          </mc:Fallback>
        </mc:AlternateContent>
      </w:r>
    </w:p>
    <w:p w14:paraId="496D3304" w14:textId="77777777" w:rsidR="006E00B3"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Tablas de datos de calidad del agua sobre contaminantes detectados</w:t>
      </w:r>
    </w:p>
    <w:p w14:paraId="7D4B0B4C" w14:textId="77777777" w:rsidR="006E00B3" w:rsidRDefault="006E00B3">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jc w:val="both"/>
        <w:rPr>
          <w:rFonts w:ascii="Times New Roman" w:eastAsia="Times New Roman" w:hAnsi="Times New Roman" w:cs="Times New Roman"/>
          <w:color w:val="000000"/>
          <w:sz w:val="20"/>
          <w:szCs w:val="20"/>
        </w:rPr>
      </w:pPr>
    </w:p>
    <w:p w14:paraId="42FD6390" w14:textId="77777777" w:rsidR="006E00B3"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De acuerdo con las leyes federales y estatales, </w:t>
      </w:r>
      <w:r>
        <w:rPr>
          <w:rFonts w:ascii="Times New Roman" w:eastAsia="Times New Roman" w:hAnsi="Times New Roman" w:cs="Times New Roman"/>
          <w:color w:val="000000"/>
          <w:sz w:val="20"/>
          <w:szCs w:val="20"/>
        </w:rPr>
        <w:t xml:space="preserve">monitoreamos de forma rutinaria más de 150 contaminantes en su agua potable. Las tablas a continuación enumeran todos los contaminantes del agua potable que </w:t>
      </w:r>
      <w:r>
        <w:rPr>
          <w:rFonts w:ascii="Times New Roman" w:eastAsia="Times New Roman" w:hAnsi="Times New Roman" w:cs="Times New Roman"/>
          <w:sz w:val="20"/>
          <w:szCs w:val="20"/>
          <w:u w:val="single"/>
        </w:rPr>
        <w:t xml:space="preserve">detectamos </w:t>
      </w:r>
      <w:r>
        <w:rPr>
          <w:rFonts w:ascii="Times New Roman" w:eastAsia="Times New Roman" w:hAnsi="Times New Roman" w:cs="Times New Roman"/>
          <w:color w:val="000000"/>
          <w:sz w:val="20"/>
          <w:szCs w:val="20"/>
        </w:rPr>
        <w:t xml:space="preserve">en la última ronda de muestreo para cada grupo de contaminantes en particular. La presencia de contaminantes no </w:t>
      </w:r>
      <w:r>
        <w:rPr>
          <w:rFonts w:ascii="Times New Roman" w:eastAsia="Times New Roman" w:hAnsi="Times New Roman" w:cs="Times New Roman"/>
          <w:color w:val="000000"/>
          <w:sz w:val="20"/>
          <w:szCs w:val="20"/>
          <w:u w:val="single"/>
        </w:rPr>
        <w:t xml:space="preserve">indica </w:t>
      </w:r>
      <w:r>
        <w:rPr>
          <w:rFonts w:ascii="Times New Roman" w:eastAsia="Times New Roman" w:hAnsi="Times New Roman" w:cs="Times New Roman"/>
          <w:color w:val="000000"/>
          <w:sz w:val="20"/>
          <w:szCs w:val="20"/>
        </w:rPr>
        <w:t xml:space="preserve">necesariamente que el agua represente un riesgo para la salud. </w:t>
      </w:r>
      <w:r>
        <w:rPr>
          <w:rFonts w:ascii="Times New Roman" w:eastAsia="Times New Roman" w:hAnsi="Times New Roman" w:cs="Times New Roman"/>
          <w:b/>
          <w:bCs/>
          <w:color w:val="000000"/>
          <w:sz w:val="20"/>
          <w:szCs w:val="20"/>
        </w:rPr>
        <w:t xml:space="preserve">Salvo que se indique lo contrario, los datos presentados en esta tabla corresponden a pruebas realizadas del 1 de enero al 31 de diciembre de 2025. La </w:t>
      </w:r>
      <w:r>
        <w:rPr>
          <w:rFonts w:ascii="Times New Roman" w:eastAsia="Times New Roman" w:hAnsi="Times New Roman" w:cs="Times New Roman"/>
          <w:b/>
          <w:bCs/>
          <w:sz w:val="20"/>
          <w:szCs w:val="20"/>
        </w:rPr>
        <w:t xml:space="preserve">EPA </w:t>
      </w:r>
      <w:r>
        <w:rPr>
          <w:rFonts w:ascii="Times New Roman" w:eastAsia="Times New Roman" w:hAnsi="Times New Roman" w:cs="Times New Roman"/>
          <w:color w:val="000000"/>
          <w:sz w:val="20"/>
          <w:szCs w:val="20"/>
        </w:rPr>
        <w:t>y el estado nos permiten monitorear ciertos contaminantes con una frecuencia menor a una vez al año, ya que no se espera que las concentraciones de estos contaminantes varíen significativamente de un año a otro. Algunos de los datos, aunque representativos de la calidad del agua, tienen más de un año de antigüedad.</w:t>
      </w:r>
    </w:p>
    <w:p w14:paraId="0DE15605" w14:textId="77777777" w:rsidR="006E00B3" w:rsidRDefault="006E00B3">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jc w:val="both"/>
        <w:rPr>
          <w:rFonts w:ascii="Times New Roman" w:eastAsia="Times New Roman" w:hAnsi="Times New Roman" w:cs="Times New Roman"/>
          <w:color w:val="000000"/>
          <w:sz w:val="20"/>
          <w:szCs w:val="20"/>
        </w:rPr>
      </w:pPr>
    </w:p>
    <w:p w14:paraId="18ADB4F7" w14:textId="77777777" w:rsidR="006E00B3" w:rsidRDefault="00000000">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Contaminantes de plomo y cobre</w:t>
      </w:r>
    </w:p>
    <w:tbl>
      <w:tblPr>
        <w:tblStyle w:val="a0"/>
        <w:tblW w:w="10694" w:type="dxa"/>
        <w:tblInd w:w="190" w:type="dxa"/>
        <w:tblLayout w:type="fixed"/>
        <w:tblLook w:val="0000" w:firstRow="0" w:lastRow="0" w:firstColumn="0" w:lastColumn="0" w:noHBand="0" w:noVBand="0"/>
      </w:tblPr>
      <w:tblGrid>
        <w:gridCol w:w="1350"/>
        <w:gridCol w:w="1080"/>
        <w:gridCol w:w="1260"/>
        <w:gridCol w:w="1170"/>
        <w:gridCol w:w="1398"/>
        <w:gridCol w:w="865"/>
        <w:gridCol w:w="871"/>
        <w:gridCol w:w="2700"/>
      </w:tblGrid>
      <w:tr w:rsidR="006E00B3" w14:paraId="46C4EDB9" w14:textId="77777777">
        <w:tc>
          <w:tcPr>
            <w:tcW w:w="1350" w:type="dxa"/>
            <w:tcBorders>
              <w:top w:val="single" w:sz="4" w:space="0" w:color="000000"/>
              <w:left w:val="single" w:sz="4" w:space="0" w:color="000000"/>
              <w:bottom w:val="single" w:sz="4" w:space="0" w:color="000000"/>
              <w:right w:val="single" w:sz="4" w:space="0" w:color="000000"/>
            </w:tcBorders>
            <w:vAlign w:val="center"/>
          </w:tcPr>
          <w:p w14:paraId="5B043594"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4B886467"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Contaminante (unidades)</w:t>
            </w:r>
          </w:p>
          <w:p w14:paraId="4A80A400"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4207302"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Fecha de muestra</w:t>
            </w:r>
          </w:p>
        </w:tc>
        <w:tc>
          <w:tcPr>
            <w:tcW w:w="1260" w:type="dxa"/>
            <w:tcBorders>
              <w:top w:val="single" w:sz="4" w:space="0" w:color="000000"/>
              <w:left w:val="single" w:sz="4" w:space="0" w:color="000000"/>
              <w:bottom w:val="single" w:sz="4" w:space="0" w:color="000000"/>
              <w:right w:val="single" w:sz="4" w:space="0" w:color="000000"/>
            </w:tcBorders>
            <w:vAlign w:val="center"/>
          </w:tcPr>
          <w:p w14:paraId="2BE8F9DB"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Tu agua</w:t>
            </w:r>
          </w:p>
          <w:p w14:paraId="23C61024"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 Percentil</w:t>
            </w:r>
            <w:proofErr w:type="gramEnd"/>
            <w:r>
              <w:rPr>
                <w:rFonts w:ascii="Times New Roman" w:eastAsia="Times New Roman" w:hAnsi="Times New Roman" w:cs="Times New Roman"/>
                <w:color w:val="000000"/>
                <w:sz w:val="16"/>
                <w:szCs w:val="16"/>
              </w:rPr>
              <w:t xml:space="preserve"> </w:t>
            </w:r>
            <w:proofErr w:type="gramStart"/>
            <w:r>
              <w:rPr>
                <w:rFonts w:ascii="Times New Roman" w:eastAsia="Times New Roman" w:hAnsi="Times New Roman" w:cs="Times New Roman"/>
                <w:color w:val="000000"/>
                <w:sz w:val="16"/>
                <w:szCs w:val="16"/>
                <w:vertAlign w:val="superscript"/>
              </w:rPr>
              <w:t xml:space="preserve">90 </w:t>
            </w:r>
            <w:r>
              <w:rPr>
                <w:rFonts w:ascii="Times New Roman" w:eastAsia="Times New Roman" w:hAnsi="Times New Roman" w:cs="Times New Roman"/>
                <w:color w:val="000000"/>
                <w:sz w:val="16"/>
                <w:szCs w:val="16"/>
              </w:rPr>
              <w:t>)</w:t>
            </w:r>
            <w:proofErr w:type="gramEnd"/>
          </w:p>
        </w:tc>
        <w:tc>
          <w:tcPr>
            <w:tcW w:w="1170" w:type="dxa"/>
            <w:tcBorders>
              <w:top w:val="single" w:sz="4" w:space="0" w:color="000000"/>
              <w:left w:val="single" w:sz="4" w:space="0" w:color="000000"/>
              <w:bottom w:val="single" w:sz="4" w:space="0" w:color="000000"/>
              <w:right w:val="single" w:sz="4" w:space="0" w:color="000000"/>
            </w:tcBorders>
            <w:vAlign w:val="center"/>
          </w:tcPr>
          <w:p w14:paraId="0065F6CB"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Número de sitios encontrados por encima de AL</w:t>
            </w:r>
          </w:p>
        </w:tc>
        <w:tc>
          <w:tcPr>
            <w:tcW w:w="1398" w:type="dxa"/>
            <w:tcBorders>
              <w:top w:val="single" w:sz="4" w:space="0" w:color="000000"/>
              <w:left w:val="single" w:sz="4" w:space="0" w:color="000000"/>
              <w:bottom w:val="single" w:sz="4" w:space="0" w:color="000000"/>
              <w:right w:val="single" w:sz="4" w:space="0" w:color="000000"/>
            </w:tcBorders>
          </w:tcPr>
          <w:p w14:paraId="62B988AF"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Rango</w:t>
            </w:r>
          </w:p>
          <w:p w14:paraId="02BD9199"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3D874B49"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Bajo Alto</w:t>
            </w:r>
          </w:p>
        </w:tc>
        <w:tc>
          <w:tcPr>
            <w:tcW w:w="865" w:type="dxa"/>
            <w:tcBorders>
              <w:top w:val="single" w:sz="4" w:space="0" w:color="000000"/>
              <w:left w:val="single" w:sz="4" w:space="0" w:color="000000"/>
              <w:bottom w:val="single" w:sz="4" w:space="0" w:color="000000"/>
              <w:right w:val="single" w:sz="4" w:space="0" w:color="000000"/>
            </w:tcBorders>
            <w:vAlign w:val="center"/>
          </w:tcPr>
          <w:p w14:paraId="0A600BE9"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MCLG</w:t>
            </w:r>
          </w:p>
        </w:tc>
        <w:tc>
          <w:tcPr>
            <w:tcW w:w="871" w:type="dxa"/>
            <w:tcBorders>
              <w:top w:val="single" w:sz="4" w:space="0" w:color="000000"/>
              <w:left w:val="single" w:sz="4" w:space="0" w:color="000000"/>
              <w:bottom w:val="single" w:sz="4" w:space="0" w:color="000000"/>
              <w:right w:val="single" w:sz="4" w:space="0" w:color="000000"/>
            </w:tcBorders>
            <w:vAlign w:val="center"/>
          </w:tcPr>
          <w:p w14:paraId="21B5B2B4"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Alabama</w:t>
            </w:r>
          </w:p>
        </w:tc>
        <w:tc>
          <w:tcPr>
            <w:tcW w:w="2700" w:type="dxa"/>
            <w:tcBorders>
              <w:top w:val="single" w:sz="4" w:space="0" w:color="000000"/>
              <w:left w:val="single" w:sz="4" w:space="0" w:color="000000"/>
              <w:bottom w:val="single" w:sz="4" w:space="0" w:color="000000"/>
              <w:right w:val="single" w:sz="4" w:space="0" w:color="000000"/>
            </w:tcBorders>
            <w:vAlign w:val="center"/>
          </w:tcPr>
          <w:p w14:paraId="52955AB0"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Posible fuente de contaminación</w:t>
            </w:r>
          </w:p>
        </w:tc>
      </w:tr>
      <w:tr w:rsidR="006E00B3" w14:paraId="3192FE5D" w14:textId="77777777">
        <w:trPr>
          <w:trHeight w:val="508"/>
        </w:trPr>
        <w:tc>
          <w:tcPr>
            <w:tcW w:w="1350" w:type="dxa"/>
            <w:tcBorders>
              <w:top w:val="single" w:sz="4" w:space="0" w:color="000000"/>
              <w:left w:val="single" w:sz="4" w:space="0" w:color="000000"/>
              <w:bottom w:val="single" w:sz="4" w:space="0" w:color="000000"/>
              <w:right w:val="single" w:sz="4" w:space="0" w:color="000000"/>
            </w:tcBorders>
            <w:vAlign w:val="center"/>
          </w:tcPr>
          <w:p w14:paraId="0BE0BF9B"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Cobre (ppm)</w:t>
            </w:r>
          </w:p>
          <w:p w14:paraId="48235847"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 percentil</w:t>
            </w:r>
            <w:proofErr w:type="gramEnd"/>
            <w:r>
              <w:rPr>
                <w:rFonts w:ascii="Times New Roman" w:eastAsia="Times New Roman" w:hAnsi="Times New Roman" w:cs="Times New Roman"/>
                <w:color w:val="000000"/>
                <w:sz w:val="16"/>
                <w:szCs w:val="16"/>
              </w:rPr>
              <w:t xml:space="preserve"> </w:t>
            </w:r>
            <w:proofErr w:type="gramStart"/>
            <w:r>
              <w:rPr>
                <w:rFonts w:ascii="Times New Roman" w:eastAsia="Times New Roman" w:hAnsi="Times New Roman" w:cs="Times New Roman"/>
                <w:color w:val="000000"/>
                <w:sz w:val="16"/>
                <w:szCs w:val="16"/>
                <w:vertAlign w:val="superscript"/>
              </w:rPr>
              <w:t xml:space="preserve">90 </w:t>
            </w:r>
            <w:r>
              <w:rPr>
                <w:rFonts w:ascii="Times New Roman" w:eastAsia="Times New Roman" w:hAnsi="Times New Roman" w:cs="Times New Roman"/>
                <w:color w:val="000000"/>
                <w:sz w:val="16"/>
                <w:szCs w:val="16"/>
              </w:rPr>
              <w:t>)</w:t>
            </w:r>
            <w:proofErr w:type="gramEnd"/>
          </w:p>
        </w:tc>
        <w:tc>
          <w:tcPr>
            <w:tcW w:w="1080" w:type="dxa"/>
            <w:tcBorders>
              <w:top w:val="single" w:sz="4" w:space="0" w:color="000000"/>
              <w:left w:val="single" w:sz="4" w:space="0" w:color="000000"/>
              <w:bottom w:val="single" w:sz="4" w:space="0" w:color="000000"/>
              <w:right w:val="single" w:sz="4" w:space="0" w:color="000000"/>
            </w:tcBorders>
            <w:vAlign w:val="center"/>
          </w:tcPr>
          <w:p w14:paraId="0EFE73C3"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25-06-2024</w:t>
            </w:r>
          </w:p>
        </w:tc>
        <w:tc>
          <w:tcPr>
            <w:tcW w:w="1260" w:type="dxa"/>
            <w:tcBorders>
              <w:top w:val="single" w:sz="4" w:space="0" w:color="000000"/>
              <w:left w:val="single" w:sz="4" w:space="0" w:color="000000"/>
              <w:bottom w:val="single" w:sz="4" w:space="0" w:color="000000"/>
              <w:right w:val="single" w:sz="4" w:space="0" w:color="000000"/>
            </w:tcBorders>
            <w:vAlign w:val="center"/>
          </w:tcPr>
          <w:p w14:paraId="52ABBCC1"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0,003</w:t>
            </w:r>
          </w:p>
        </w:tc>
        <w:tc>
          <w:tcPr>
            <w:tcW w:w="1170" w:type="dxa"/>
            <w:tcBorders>
              <w:top w:val="single" w:sz="4" w:space="0" w:color="000000"/>
              <w:left w:val="single" w:sz="4" w:space="0" w:color="000000"/>
              <w:bottom w:val="single" w:sz="4" w:space="0" w:color="000000"/>
              <w:right w:val="single" w:sz="4" w:space="0" w:color="000000"/>
            </w:tcBorders>
            <w:vAlign w:val="center"/>
          </w:tcPr>
          <w:p w14:paraId="21752BCE"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398" w:type="dxa"/>
            <w:tcBorders>
              <w:top w:val="single" w:sz="4" w:space="0" w:color="000000"/>
              <w:left w:val="single" w:sz="4" w:space="0" w:color="000000"/>
              <w:bottom w:val="single" w:sz="4" w:space="0" w:color="000000"/>
              <w:right w:val="single" w:sz="4" w:space="0" w:color="000000"/>
            </w:tcBorders>
          </w:tcPr>
          <w:p w14:paraId="271E42B2"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4EF17DBB"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0,0028 - 0,003</w:t>
            </w:r>
          </w:p>
        </w:tc>
        <w:tc>
          <w:tcPr>
            <w:tcW w:w="865" w:type="dxa"/>
            <w:tcBorders>
              <w:top w:val="single" w:sz="4" w:space="0" w:color="000000"/>
              <w:left w:val="single" w:sz="4" w:space="0" w:color="000000"/>
              <w:bottom w:val="single" w:sz="4" w:space="0" w:color="000000"/>
              <w:right w:val="single" w:sz="4" w:space="0" w:color="000000"/>
            </w:tcBorders>
            <w:vAlign w:val="center"/>
          </w:tcPr>
          <w:p w14:paraId="21714B53"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871" w:type="dxa"/>
            <w:tcBorders>
              <w:top w:val="single" w:sz="4" w:space="0" w:color="000000"/>
              <w:left w:val="single" w:sz="4" w:space="0" w:color="000000"/>
              <w:bottom w:val="single" w:sz="4" w:space="0" w:color="000000"/>
              <w:right w:val="single" w:sz="4" w:space="0" w:color="000000"/>
            </w:tcBorders>
            <w:vAlign w:val="center"/>
          </w:tcPr>
          <w:p w14:paraId="12636135"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AL=1,3</w:t>
            </w:r>
          </w:p>
        </w:tc>
        <w:tc>
          <w:tcPr>
            <w:tcW w:w="2700" w:type="dxa"/>
            <w:tcBorders>
              <w:top w:val="single" w:sz="4" w:space="0" w:color="000000"/>
              <w:left w:val="single" w:sz="4" w:space="0" w:color="000000"/>
              <w:bottom w:val="single" w:sz="4" w:space="0" w:color="000000"/>
              <w:right w:val="single" w:sz="4" w:space="0" w:color="000000"/>
            </w:tcBorders>
            <w:vAlign w:val="center"/>
          </w:tcPr>
          <w:p w14:paraId="0994EE9F"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Corrosión de las tuberías domésticas; erosión de depósitos naturales.</w:t>
            </w:r>
          </w:p>
        </w:tc>
      </w:tr>
      <w:tr w:rsidR="006E00B3" w14:paraId="0C7B760D" w14:textId="77777777">
        <w:trPr>
          <w:trHeight w:val="562"/>
        </w:trPr>
        <w:tc>
          <w:tcPr>
            <w:tcW w:w="1350" w:type="dxa"/>
            <w:tcBorders>
              <w:top w:val="single" w:sz="4" w:space="0" w:color="000000"/>
              <w:left w:val="single" w:sz="4" w:space="0" w:color="000000"/>
              <w:bottom w:val="single" w:sz="4" w:space="0" w:color="000000"/>
              <w:right w:val="single" w:sz="4" w:space="0" w:color="000000"/>
            </w:tcBorders>
            <w:vAlign w:val="center"/>
          </w:tcPr>
          <w:p w14:paraId="6F34FCE4"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Plomo (</w:t>
            </w:r>
            <w:proofErr w:type="spellStart"/>
            <w:r>
              <w:rPr>
                <w:rFonts w:ascii="Times New Roman" w:eastAsia="Times New Roman" w:hAnsi="Times New Roman" w:cs="Times New Roman"/>
                <w:color w:val="000000"/>
                <w:sz w:val="16"/>
                <w:szCs w:val="16"/>
              </w:rPr>
              <w:t>ppb</w:t>
            </w:r>
            <w:proofErr w:type="spellEnd"/>
            <w:r>
              <w:rPr>
                <w:rFonts w:ascii="Times New Roman" w:eastAsia="Times New Roman" w:hAnsi="Times New Roman" w:cs="Times New Roman"/>
                <w:color w:val="000000"/>
                <w:sz w:val="16"/>
                <w:szCs w:val="16"/>
              </w:rPr>
              <w:t>)</w:t>
            </w:r>
          </w:p>
          <w:p w14:paraId="5ED69F20"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 percentil</w:t>
            </w:r>
            <w:proofErr w:type="gramEnd"/>
            <w:r>
              <w:rPr>
                <w:rFonts w:ascii="Times New Roman" w:eastAsia="Times New Roman" w:hAnsi="Times New Roman" w:cs="Times New Roman"/>
                <w:color w:val="000000"/>
                <w:sz w:val="16"/>
                <w:szCs w:val="16"/>
              </w:rPr>
              <w:t xml:space="preserve"> </w:t>
            </w:r>
            <w:proofErr w:type="gramStart"/>
            <w:r>
              <w:rPr>
                <w:rFonts w:ascii="Times New Roman" w:eastAsia="Times New Roman" w:hAnsi="Times New Roman" w:cs="Times New Roman"/>
                <w:color w:val="000000"/>
                <w:sz w:val="16"/>
                <w:szCs w:val="16"/>
                <w:vertAlign w:val="superscript"/>
              </w:rPr>
              <w:t xml:space="preserve">90 </w:t>
            </w:r>
            <w:r>
              <w:rPr>
                <w:rFonts w:ascii="Times New Roman" w:eastAsia="Times New Roman" w:hAnsi="Times New Roman" w:cs="Times New Roman"/>
                <w:color w:val="000000"/>
                <w:sz w:val="16"/>
                <w:szCs w:val="16"/>
              </w:rPr>
              <w:t>)</w:t>
            </w:r>
            <w:proofErr w:type="gramEnd"/>
          </w:p>
        </w:tc>
        <w:tc>
          <w:tcPr>
            <w:tcW w:w="1080" w:type="dxa"/>
            <w:tcBorders>
              <w:top w:val="single" w:sz="4" w:space="0" w:color="000000"/>
              <w:left w:val="single" w:sz="4" w:space="0" w:color="000000"/>
              <w:bottom w:val="single" w:sz="4" w:space="0" w:color="000000"/>
              <w:right w:val="single" w:sz="4" w:space="0" w:color="000000"/>
            </w:tcBorders>
            <w:vAlign w:val="center"/>
          </w:tcPr>
          <w:p w14:paraId="6AA388D5"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25-06-2024</w:t>
            </w:r>
          </w:p>
        </w:tc>
        <w:tc>
          <w:tcPr>
            <w:tcW w:w="1260" w:type="dxa"/>
            <w:tcBorders>
              <w:top w:val="single" w:sz="4" w:space="0" w:color="000000"/>
              <w:left w:val="single" w:sz="4" w:space="0" w:color="000000"/>
              <w:bottom w:val="single" w:sz="4" w:space="0" w:color="000000"/>
              <w:right w:val="single" w:sz="4" w:space="0" w:color="000000"/>
            </w:tcBorders>
            <w:vAlign w:val="center"/>
          </w:tcPr>
          <w:p w14:paraId="1EC53709"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0EDD1E14"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DAKOTA DEL NORTE</w:t>
            </w:r>
          </w:p>
        </w:tc>
        <w:tc>
          <w:tcPr>
            <w:tcW w:w="1170" w:type="dxa"/>
            <w:tcBorders>
              <w:top w:val="single" w:sz="4" w:space="0" w:color="000000"/>
              <w:left w:val="single" w:sz="4" w:space="0" w:color="000000"/>
              <w:bottom w:val="single" w:sz="4" w:space="0" w:color="000000"/>
              <w:right w:val="single" w:sz="4" w:space="0" w:color="000000"/>
            </w:tcBorders>
            <w:vAlign w:val="center"/>
          </w:tcPr>
          <w:p w14:paraId="53D79585"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398" w:type="dxa"/>
            <w:tcBorders>
              <w:top w:val="single" w:sz="4" w:space="0" w:color="000000"/>
              <w:left w:val="single" w:sz="4" w:space="0" w:color="000000"/>
              <w:bottom w:val="single" w:sz="4" w:space="0" w:color="000000"/>
              <w:right w:val="single" w:sz="4" w:space="0" w:color="000000"/>
            </w:tcBorders>
          </w:tcPr>
          <w:p w14:paraId="108FE842"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7BCDF6C0"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 / A</w:t>
            </w:r>
          </w:p>
        </w:tc>
        <w:tc>
          <w:tcPr>
            <w:tcW w:w="865" w:type="dxa"/>
            <w:tcBorders>
              <w:top w:val="single" w:sz="4" w:space="0" w:color="000000"/>
              <w:left w:val="single" w:sz="4" w:space="0" w:color="000000"/>
              <w:bottom w:val="single" w:sz="4" w:space="0" w:color="000000"/>
              <w:right w:val="single" w:sz="4" w:space="0" w:color="000000"/>
            </w:tcBorders>
            <w:vAlign w:val="center"/>
          </w:tcPr>
          <w:p w14:paraId="27802E98"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71" w:type="dxa"/>
            <w:tcBorders>
              <w:top w:val="single" w:sz="4" w:space="0" w:color="000000"/>
              <w:left w:val="single" w:sz="4" w:space="0" w:color="000000"/>
              <w:bottom w:val="single" w:sz="4" w:space="0" w:color="000000"/>
              <w:right w:val="single" w:sz="4" w:space="0" w:color="000000"/>
            </w:tcBorders>
            <w:vAlign w:val="center"/>
          </w:tcPr>
          <w:p w14:paraId="7B884705"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AL=15</w:t>
            </w:r>
          </w:p>
        </w:tc>
        <w:tc>
          <w:tcPr>
            <w:tcW w:w="2700" w:type="dxa"/>
            <w:tcBorders>
              <w:top w:val="single" w:sz="4" w:space="0" w:color="000000"/>
              <w:left w:val="single" w:sz="4" w:space="0" w:color="000000"/>
              <w:bottom w:val="single" w:sz="4" w:space="0" w:color="000000"/>
              <w:right w:val="single" w:sz="4" w:space="0" w:color="000000"/>
            </w:tcBorders>
            <w:vAlign w:val="center"/>
          </w:tcPr>
          <w:p w14:paraId="361987CC"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Corrosión de las tuberías domésticas; erosión de depósitos naturales.</w:t>
            </w:r>
          </w:p>
        </w:tc>
      </w:tr>
    </w:tbl>
    <w:p w14:paraId="776C9B7F"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p>
    <w:p w14:paraId="1C9661FB"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tabla anterior resume nuestros datos más recientes de muestreo de plomo y cobre. Si desea consultar los datos completos de muestreo de plomo, comuníquese con </w:t>
      </w:r>
      <w:r>
        <w:rPr>
          <w:rFonts w:ascii="Times New Roman" w:eastAsia="Times New Roman" w:hAnsi="Times New Roman" w:cs="Times New Roman"/>
          <w:color w:val="000000"/>
          <w:sz w:val="18"/>
          <w:szCs w:val="18"/>
        </w:rPr>
        <w:t xml:space="preserve">Lee Latham al </w:t>
      </w:r>
      <w:r>
        <w:rPr>
          <w:rFonts w:ascii="Times New Roman" w:eastAsia="Times New Roman" w:hAnsi="Times New Roman" w:cs="Times New Roman"/>
          <w:sz w:val="18"/>
          <w:szCs w:val="18"/>
        </w:rPr>
        <w:t>252-947-</w:t>
      </w:r>
      <w:proofErr w:type="gramStart"/>
      <w:r>
        <w:rPr>
          <w:rFonts w:ascii="Times New Roman" w:eastAsia="Times New Roman" w:hAnsi="Times New Roman" w:cs="Times New Roman"/>
          <w:sz w:val="18"/>
          <w:szCs w:val="18"/>
        </w:rPr>
        <w:t xml:space="preserve">5507 </w:t>
      </w:r>
      <w:r>
        <w:rPr>
          <w:rFonts w:ascii="Times New Roman" w:eastAsia="Times New Roman" w:hAnsi="Times New Roman" w:cs="Times New Roman"/>
          <w:color w:val="000000"/>
          <w:sz w:val="18"/>
          <w:szCs w:val="18"/>
        </w:rPr>
        <w:t>.</w:t>
      </w:r>
      <w:proofErr w:type="gramEnd"/>
    </w:p>
    <w:p w14:paraId="5039A3FD"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p>
    <w:p w14:paraId="4E54F787" w14:textId="77777777" w:rsidR="006E00B3"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Hemos estado trabajando para identificar los materiales de las tuberías de servicio en todo el sistema de agua y hemos preparado un inventario de todas las tuberías de servicio de nuestro sistema. Para acceder a este inventario, comuníquese con </w:t>
      </w:r>
      <w:r>
        <w:rPr>
          <w:rFonts w:ascii="Times New Roman" w:eastAsia="Times New Roman" w:hAnsi="Times New Roman" w:cs="Times New Roman"/>
          <w:color w:val="000000"/>
          <w:sz w:val="18"/>
          <w:szCs w:val="18"/>
        </w:rPr>
        <w:t xml:space="preserve">Lee Latham al </w:t>
      </w:r>
      <w:r>
        <w:rPr>
          <w:rFonts w:ascii="Times New Roman" w:eastAsia="Times New Roman" w:hAnsi="Times New Roman" w:cs="Times New Roman"/>
          <w:sz w:val="18"/>
          <w:szCs w:val="18"/>
        </w:rPr>
        <w:t>252-947-</w:t>
      </w:r>
      <w:proofErr w:type="gramStart"/>
      <w:r>
        <w:rPr>
          <w:rFonts w:ascii="Times New Roman" w:eastAsia="Times New Roman" w:hAnsi="Times New Roman" w:cs="Times New Roman"/>
          <w:sz w:val="18"/>
          <w:szCs w:val="18"/>
        </w:rPr>
        <w:t xml:space="preserve">5507 </w:t>
      </w:r>
      <w:r>
        <w:rPr>
          <w:rFonts w:ascii="Times New Roman" w:eastAsia="Times New Roman" w:hAnsi="Times New Roman" w:cs="Times New Roman"/>
          <w:color w:val="000000"/>
          <w:sz w:val="18"/>
          <w:szCs w:val="18"/>
        </w:rPr>
        <w:t>.</w:t>
      </w:r>
      <w:proofErr w:type="gramEnd"/>
    </w:p>
    <w:p w14:paraId="2CA8CEFC" w14:textId="77777777" w:rsidR="006E00B3" w:rsidRDefault="006E00B3">
      <w:pPr>
        <w:spacing w:after="0" w:line="240" w:lineRule="auto"/>
        <w:rPr>
          <w:rFonts w:ascii="Times New Roman" w:eastAsia="Times New Roman" w:hAnsi="Times New Roman" w:cs="Times New Roman"/>
          <w:sz w:val="20"/>
          <w:szCs w:val="20"/>
        </w:rPr>
      </w:pPr>
    </w:p>
    <w:p w14:paraId="63196453"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plomo puede causar graves problemas de salud, especialmente en mujeres embarazadas y niños pequeños. El plomo en el agua potable proviene principalmente de materiales y componentes asociados con las tuberías de servicio y la plomería doméstica. </w:t>
      </w:r>
      <w:r>
        <w:rPr>
          <w:rFonts w:ascii="Times New Roman" w:eastAsia="Times New Roman" w:hAnsi="Times New Roman" w:cs="Times New Roman"/>
          <w:sz w:val="18"/>
          <w:szCs w:val="18"/>
        </w:rPr>
        <w:t xml:space="preserve">Gregory Meadows en </w:t>
      </w:r>
      <w:proofErr w:type="spellStart"/>
      <w:r>
        <w:rPr>
          <w:rFonts w:ascii="Times New Roman" w:eastAsia="Times New Roman" w:hAnsi="Times New Roman" w:cs="Times New Roman"/>
          <w:sz w:val="18"/>
          <w:szCs w:val="18"/>
        </w:rPr>
        <w:t>Belvoir</w:t>
      </w:r>
      <w:proofErr w:type="spellEnd"/>
      <w:r>
        <w:rPr>
          <w:rFonts w:ascii="Times New Roman" w:eastAsia="Times New Roman" w:hAnsi="Times New Roman" w:cs="Times New Roman"/>
          <w:sz w:val="18"/>
          <w:szCs w:val="18"/>
        </w:rPr>
        <w:t xml:space="preserve"> No. 1</w:t>
      </w:r>
      <w:r>
        <w:rPr>
          <w:rFonts w:ascii="Times New Roman" w:eastAsia="Times New Roman" w:hAnsi="Times New Roman" w:cs="Times New Roman"/>
          <w:color w:val="2E653E"/>
          <w:sz w:val="18"/>
          <w:szCs w:val="18"/>
        </w:rPr>
        <w:t xml:space="preserve"> </w:t>
      </w:r>
      <w:r>
        <w:rPr>
          <w:rFonts w:ascii="Times New Roman" w:eastAsia="Times New Roman" w:hAnsi="Times New Roman" w:cs="Times New Roman"/>
          <w:sz w:val="20"/>
          <w:szCs w:val="20"/>
        </w:rPr>
        <w:t xml:space="preserve">es responsable de proporcionar agua potable de alta calidad y de eliminar las tuberías de plomo, pero no puede controlar la variedad de materiales utilizados en los componentes de plomería de su hogar. Usted comparte la responsabilidad de protegerse a sí mismo y a su familia del plomo en las tuberías de su hogar. Puede asumir la responsabilidad identificando y eliminando los materiales de plomo en las tuberías de su hogar y tomando medidas para reducir el riesgo para su familia. Antes de beber agua del grifo, enjuague las tuberías durante varios minutos dejando correr el grifo, duchándose, lavando la ropa o los platos. También puede usar un filtro certificado por un certificador acreditado por el Instituto Nacional Estadounidense de Estándares para reducir el plomo en el agua potable. Si le preocupa el plomo en su agua y desea que se analice, comuníquese con </w:t>
      </w:r>
      <w:r>
        <w:rPr>
          <w:rFonts w:ascii="Times New Roman" w:eastAsia="Times New Roman" w:hAnsi="Times New Roman" w:cs="Times New Roman"/>
          <w:sz w:val="18"/>
          <w:szCs w:val="18"/>
        </w:rPr>
        <w:t xml:space="preserve">Gregory Meadows en </w:t>
      </w:r>
      <w:proofErr w:type="spellStart"/>
      <w:r>
        <w:rPr>
          <w:rFonts w:ascii="Times New Roman" w:eastAsia="Times New Roman" w:hAnsi="Times New Roman" w:cs="Times New Roman"/>
          <w:sz w:val="18"/>
          <w:szCs w:val="18"/>
        </w:rPr>
        <w:t>Belvoir</w:t>
      </w:r>
      <w:proofErr w:type="spellEnd"/>
      <w:r>
        <w:rPr>
          <w:rFonts w:ascii="Times New Roman" w:eastAsia="Times New Roman" w:hAnsi="Times New Roman" w:cs="Times New Roman"/>
          <w:sz w:val="18"/>
          <w:szCs w:val="18"/>
        </w:rPr>
        <w:t xml:space="preserve"> No. 1.</w:t>
      </w:r>
      <w:r>
        <w:rPr>
          <w:rFonts w:ascii="Times New Roman" w:eastAsia="Times New Roman" w:hAnsi="Times New Roman" w:cs="Times New Roman"/>
          <w:color w:val="2E653E"/>
          <w:sz w:val="18"/>
          <w:szCs w:val="18"/>
        </w:rPr>
        <w:t xml:space="preserve"> </w:t>
      </w:r>
      <w:r>
        <w:rPr>
          <w:rFonts w:ascii="Times New Roman" w:eastAsia="Times New Roman" w:hAnsi="Times New Roman" w:cs="Times New Roman"/>
          <w:color w:val="000000"/>
          <w:sz w:val="18"/>
          <w:szCs w:val="18"/>
        </w:rPr>
        <w:t xml:space="preserve">al </w:t>
      </w:r>
      <w:r>
        <w:rPr>
          <w:rFonts w:ascii="Times New Roman" w:eastAsia="Times New Roman" w:hAnsi="Times New Roman" w:cs="Times New Roman"/>
          <w:sz w:val="18"/>
          <w:szCs w:val="18"/>
        </w:rPr>
        <w:t>252-947-</w:t>
      </w:r>
      <w:proofErr w:type="gramStart"/>
      <w:r>
        <w:rPr>
          <w:rFonts w:ascii="Times New Roman" w:eastAsia="Times New Roman" w:hAnsi="Times New Roman" w:cs="Times New Roman"/>
          <w:sz w:val="18"/>
          <w:szCs w:val="18"/>
        </w:rPr>
        <w:t xml:space="preserve">5507 </w:t>
      </w:r>
      <w:r>
        <w:rPr>
          <w:rFonts w:ascii="Times New Roman" w:eastAsia="Times New Roman" w:hAnsi="Times New Roman" w:cs="Times New Roman"/>
          <w:color w:val="000000"/>
          <w:sz w:val="18"/>
          <w:szCs w:val="18"/>
        </w:rPr>
        <w:t>.</w:t>
      </w:r>
      <w:proofErr w:type="gramEnd"/>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20"/>
          <w:szCs w:val="20"/>
        </w:rPr>
        <w:t xml:space="preserve">Puede encontrar información sobre el plomo en el agua potable, los métodos de análisis y las medidas que puede tomar para minimizar la exposición en </w:t>
      </w:r>
      <w:hyperlink r:id="rId10">
        <w:r>
          <w:rPr>
            <w:rFonts w:ascii="Times New Roman" w:eastAsia="Times New Roman" w:hAnsi="Times New Roman" w:cs="Times New Roman"/>
            <w:i/>
            <w:iCs/>
            <w:color w:val="0000FF"/>
            <w:sz w:val="20"/>
            <w:szCs w:val="20"/>
            <w:u w:val="single"/>
          </w:rPr>
          <w:t xml:space="preserve">http://www.epa.gov/safewater/lead </w:t>
        </w:r>
      </w:hyperlink>
      <w:r>
        <w:rPr>
          <w:rFonts w:ascii="Times New Roman" w:eastAsia="Times New Roman" w:hAnsi="Times New Roman" w:cs="Times New Roman"/>
          <w:i/>
          <w:iCs/>
          <w:sz w:val="20"/>
          <w:szCs w:val="20"/>
        </w:rPr>
        <w:t>.</w:t>
      </w:r>
    </w:p>
    <w:p w14:paraId="602AA8A1" w14:textId="77777777" w:rsidR="006E00B3" w:rsidRDefault="006E00B3">
      <w:pPr>
        <w:spacing w:after="0" w:line="240" w:lineRule="auto"/>
        <w:rPr>
          <w:rFonts w:ascii="Times New Roman" w:eastAsia="Times New Roman" w:hAnsi="Times New Roman" w:cs="Times New Roman"/>
          <w:i/>
          <w:iCs/>
          <w:sz w:val="20"/>
          <w:szCs w:val="20"/>
        </w:rPr>
      </w:pPr>
    </w:p>
    <w:p w14:paraId="5F941894" w14:textId="77777777" w:rsidR="006E00B3" w:rsidRDefault="00000000">
      <w:pPr>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Trihalometanos totales (TTHM) y ácidos </w:t>
      </w:r>
      <w:proofErr w:type="spellStart"/>
      <w:r>
        <w:rPr>
          <w:rFonts w:ascii="Times New Roman" w:eastAsia="Times New Roman" w:hAnsi="Times New Roman" w:cs="Times New Roman"/>
          <w:b/>
          <w:bCs/>
          <w:sz w:val="20"/>
          <w:szCs w:val="20"/>
        </w:rPr>
        <w:t>haloacéticos</w:t>
      </w:r>
      <w:proofErr w:type="spellEnd"/>
      <w:r>
        <w:rPr>
          <w:rFonts w:ascii="Times New Roman" w:eastAsia="Times New Roman" w:hAnsi="Times New Roman" w:cs="Times New Roman"/>
          <w:b/>
          <w:bCs/>
          <w:sz w:val="20"/>
          <w:szCs w:val="20"/>
        </w:rPr>
        <w:t xml:space="preserve"> (cinco) (HAA5)</w:t>
      </w:r>
    </w:p>
    <w:tbl>
      <w:tblPr>
        <w:tblStyle w:val="a1"/>
        <w:tblW w:w="1088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1080"/>
        <w:gridCol w:w="1170"/>
        <w:gridCol w:w="2250"/>
        <w:gridCol w:w="1440"/>
        <w:gridCol w:w="900"/>
        <w:gridCol w:w="630"/>
        <w:gridCol w:w="2160"/>
      </w:tblGrid>
      <w:tr w:rsidR="006E00B3" w14:paraId="71F6710E" w14:textId="77777777">
        <w:trPr>
          <w:trHeight w:val="730"/>
        </w:trPr>
        <w:tc>
          <w:tcPr>
            <w:tcW w:w="1252" w:type="dxa"/>
          </w:tcPr>
          <w:p w14:paraId="4F7FDBC7" w14:textId="77777777" w:rsidR="006E00B3" w:rsidRDefault="006E00B3">
            <w:pPr>
              <w:spacing w:before="2" w:after="0" w:line="200" w:lineRule="auto"/>
              <w:rPr>
                <w:rFonts w:ascii="Times New Roman" w:eastAsia="Times New Roman" w:hAnsi="Times New Roman" w:cs="Times New Roman"/>
                <w:sz w:val="20"/>
                <w:szCs w:val="20"/>
              </w:rPr>
            </w:pPr>
          </w:p>
          <w:p w14:paraId="771F3E5A" w14:textId="77777777" w:rsidR="006E00B3" w:rsidRDefault="00000000">
            <w:pPr>
              <w:spacing w:after="0" w:line="240" w:lineRule="auto"/>
              <w:ind w:left="156" w:right="-20"/>
              <w:rPr>
                <w:rFonts w:ascii="Times New Roman" w:eastAsia="Times New Roman" w:hAnsi="Times New Roman" w:cs="Times New Roman"/>
                <w:sz w:val="20"/>
                <w:szCs w:val="20"/>
              </w:rPr>
            </w:pPr>
            <w:r>
              <w:rPr>
                <w:rFonts w:ascii="Times New Roman" w:eastAsia="Times New Roman" w:hAnsi="Times New Roman" w:cs="Times New Roman"/>
                <w:sz w:val="16"/>
                <w:szCs w:val="16"/>
              </w:rPr>
              <w:t>Subproducto de la desinfección</w:t>
            </w:r>
          </w:p>
        </w:tc>
        <w:tc>
          <w:tcPr>
            <w:tcW w:w="1080" w:type="dxa"/>
            <w:vAlign w:val="center"/>
          </w:tcPr>
          <w:p w14:paraId="04A7F377" w14:textId="77777777" w:rsidR="006E00B3" w:rsidRDefault="00000000">
            <w:pPr>
              <w:spacing w:after="0" w:line="240" w:lineRule="auto"/>
              <w:ind w:left="81"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Año de muestreo</w:t>
            </w:r>
          </w:p>
        </w:tc>
        <w:tc>
          <w:tcPr>
            <w:tcW w:w="1170" w:type="dxa"/>
            <w:vAlign w:val="center"/>
          </w:tcPr>
          <w:p w14:paraId="3A33DDF1" w14:textId="77777777" w:rsidR="006E00B3" w:rsidRDefault="006E00B3">
            <w:pPr>
              <w:spacing w:before="2" w:after="0" w:line="200" w:lineRule="auto"/>
              <w:jc w:val="center"/>
              <w:rPr>
                <w:rFonts w:ascii="Times New Roman" w:eastAsia="Times New Roman" w:hAnsi="Times New Roman" w:cs="Times New Roman"/>
                <w:sz w:val="16"/>
                <w:szCs w:val="16"/>
              </w:rPr>
            </w:pPr>
          </w:p>
          <w:p w14:paraId="72D64BDA" w14:textId="77777777" w:rsidR="006E00B3" w:rsidRDefault="00000000">
            <w:pPr>
              <w:spacing w:after="0" w:line="240" w:lineRule="auto"/>
              <w:ind w:left="66"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Violación de MCL</w:t>
            </w:r>
          </w:p>
          <w:p w14:paraId="2228DA37" w14:textId="77777777" w:rsidR="006E00B3" w:rsidRDefault="00000000">
            <w:pPr>
              <w:spacing w:after="0" w:line="240" w:lineRule="auto"/>
              <w:ind w:left="66"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Sí/No</w:t>
            </w:r>
          </w:p>
        </w:tc>
        <w:tc>
          <w:tcPr>
            <w:tcW w:w="2250" w:type="dxa"/>
            <w:vAlign w:val="center"/>
          </w:tcPr>
          <w:p w14:paraId="144838BD"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Tu agua</w:t>
            </w:r>
          </w:p>
        </w:tc>
        <w:tc>
          <w:tcPr>
            <w:tcW w:w="1440" w:type="dxa"/>
            <w:vAlign w:val="center"/>
          </w:tcPr>
          <w:p w14:paraId="31B56C73"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Rango</w:t>
            </w:r>
          </w:p>
          <w:p w14:paraId="180E3DB0"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sz w:val="16"/>
                <w:szCs w:val="16"/>
              </w:rPr>
            </w:pPr>
          </w:p>
          <w:p w14:paraId="75614E78"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Bajo Alto</w:t>
            </w:r>
          </w:p>
        </w:tc>
        <w:tc>
          <w:tcPr>
            <w:tcW w:w="900" w:type="dxa"/>
            <w:vAlign w:val="center"/>
          </w:tcPr>
          <w:p w14:paraId="310C4103"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MCLG</w:t>
            </w:r>
          </w:p>
        </w:tc>
        <w:tc>
          <w:tcPr>
            <w:tcW w:w="630" w:type="dxa"/>
            <w:vAlign w:val="center"/>
          </w:tcPr>
          <w:p w14:paraId="3E26EDD3"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MCL</w:t>
            </w:r>
          </w:p>
        </w:tc>
        <w:tc>
          <w:tcPr>
            <w:tcW w:w="2160" w:type="dxa"/>
            <w:vAlign w:val="center"/>
          </w:tcPr>
          <w:p w14:paraId="767E9A68"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Posible fuente de contaminación</w:t>
            </w:r>
          </w:p>
        </w:tc>
      </w:tr>
      <w:tr w:rsidR="006E00B3" w14:paraId="6D8F4253" w14:textId="77777777">
        <w:trPr>
          <w:trHeight w:val="444"/>
        </w:trPr>
        <w:tc>
          <w:tcPr>
            <w:tcW w:w="1252" w:type="dxa"/>
            <w:vAlign w:val="center"/>
          </w:tcPr>
          <w:p w14:paraId="165C07DF" w14:textId="77777777" w:rsidR="006E00B3" w:rsidRDefault="00000000">
            <w:pPr>
              <w:spacing w:after="0" w:line="265" w:lineRule="auto"/>
              <w:ind w:left="52" w:right="3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TTHM (</w:t>
            </w:r>
            <w:proofErr w:type="spellStart"/>
            <w:r>
              <w:rPr>
                <w:rFonts w:ascii="Times New Roman" w:eastAsia="Times New Roman" w:hAnsi="Times New Roman" w:cs="Times New Roman"/>
                <w:sz w:val="16"/>
                <w:szCs w:val="16"/>
              </w:rPr>
              <w:t>ppb</w:t>
            </w:r>
            <w:proofErr w:type="spellEnd"/>
            <w:r>
              <w:rPr>
                <w:rFonts w:ascii="Times New Roman" w:eastAsia="Times New Roman" w:hAnsi="Times New Roman" w:cs="Times New Roman"/>
                <w:sz w:val="16"/>
                <w:szCs w:val="16"/>
              </w:rPr>
              <w:t>)</w:t>
            </w:r>
          </w:p>
        </w:tc>
        <w:tc>
          <w:tcPr>
            <w:tcW w:w="1080" w:type="dxa"/>
            <w:vAlign w:val="center"/>
          </w:tcPr>
          <w:p w14:paraId="63A6AB22" w14:textId="77777777" w:rsidR="006E00B3" w:rsidRDefault="00000000">
            <w:pPr>
              <w:spacing w:after="0" w:line="240" w:lineRule="auto"/>
              <w:ind w:right="27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2024</w:t>
            </w:r>
          </w:p>
        </w:tc>
        <w:tc>
          <w:tcPr>
            <w:tcW w:w="1170" w:type="dxa"/>
            <w:vAlign w:val="center"/>
          </w:tcPr>
          <w:p w14:paraId="0C002F3E" w14:textId="77777777" w:rsidR="006E00B3" w:rsidRDefault="00000000">
            <w:pPr>
              <w:spacing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w:t>
            </w:r>
          </w:p>
        </w:tc>
        <w:tc>
          <w:tcPr>
            <w:tcW w:w="2250" w:type="dxa"/>
          </w:tcPr>
          <w:p w14:paraId="7E21029C" w14:textId="77777777" w:rsidR="006E00B3" w:rsidRDefault="00000000">
            <w:pPr>
              <w:spacing w:before="62" w:after="0" w:line="265" w:lineRule="auto"/>
              <w:ind w:left="64" w:right="4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13.5</w:t>
            </w:r>
          </w:p>
        </w:tc>
        <w:tc>
          <w:tcPr>
            <w:tcW w:w="1440" w:type="dxa"/>
          </w:tcPr>
          <w:p w14:paraId="536E1780" w14:textId="77777777" w:rsidR="006E00B3" w:rsidRDefault="006E00B3">
            <w:pPr>
              <w:spacing w:after="0" w:line="240" w:lineRule="auto"/>
              <w:ind w:left="58" w:right="-20"/>
              <w:jc w:val="center"/>
              <w:rPr>
                <w:rFonts w:ascii="Times New Roman" w:eastAsia="Times New Roman" w:hAnsi="Times New Roman" w:cs="Times New Roman"/>
                <w:sz w:val="16"/>
                <w:szCs w:val="16"/>
              </w:rPr>
            </w:pPr>
          </w:p>
          <w:p w14:paraId="41887B04" w14:textId="77777777" w:rsidR="006E00B3" w:rsidRDefault="00000000">
            <w:pPr>
              <w:spacing w:after="0" w:line="240" w:lineRule="auto"/>
              <w:ind w:left="58"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 / A</w:t>
            </w:r>
          </w:p>
        </w:tc>
        <w:tc>
          <w:tcPr>
            <w:tcW w:w="900" w:type="dxa"/>
            <w:vAlign w:val="center"/>
          </w:tcPr>
          <w:p w14:paraId="2BE42969" w14:textId="77777777" w:rsidR="006E00B3" w:rsidRDefault="00000000">
            <w:pPr>
              <w:spacing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 / A</w:t>
            </w:r>
          </w:p>
        </w:tc>
        <w:tc>
          <w:tcPr>
            <w:tcW w:w="630" w:type="dxa"/>
            <w:vAlign w:val="center"/>
          </w:tcPr>
          <w:p w14:paraId="6B157CA1" w14:textId="77777777" w:rsidR="006E00B3" w:rsidRDefault="00000000">
            <w:pPr>
              <w:spacing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w:t>
            </w:r>
          </w:p>
        </w:tc>
        <w:tc>
          <w:tcPr>
            <w:tcW w:w="2160" w:type="dxa"/>
            <w:vAlign w:val="center"/>
          </w:tcPr>
          <w:p w14:paraId="325B2460" w14:textId="77777777" w:rsidR="006E00B3" w:rsidRDefault="00000000">
            <w:pPr>
              <w:spacing w:after="0" w:line="265" w:lineRule="auto"/>
              <w:ind w:left="397" w:right="149" w:hanging="19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Subproducto de la desinfección del agua potable</w:t>
            </w:r>
          </w:p>
        </w:tc>
      </w:tr>
      <w:tr w:rsidR="006E00B3" w14:paraId="5DE833B2" w14:textId="77777777">
        <w:trPr>
          <w:trHeight w:val="444"/>
        </w:trPr>
        <w:tc>
          <w:tcPr>
            <w:tcW w:w="1252" w:type="dxa"/>
            <w:vAlign w:val="center"/>
          </w:tcPr>
          <w:p w14:paraId="2BF066FC" w14:textId="77777777" w:rsidR="006E00B3" w:rsidRDefault="00000000">
            <w:pPr>
              <w:spacing w:before="2" w:after="0" w:line="1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HAA5 (</w:t>
            </w:r>
            <w:proofErr w:type="spellStart"/>
            <w:r>
              <w:rPr>
                <w:rFonts w:ascii="Times New Roman" w:eastAsia="Times New Roman" w:hAnsi="Times New Roman" w:cs="Times New Roman"/>
                <w:sz w:val="16"/>
                <w:szCs w:val="16"/>
              </w:rPr>
              <w:t>ppb</w:t>
            </w:r>
            <w:proofErr w:type="spellEnd"/>
            <w:r>
              <w:rPr>
                <w:rFonts w:ascii="Times New Roman" w:eastAsia="Times New Roman" w:hAnsi="Times New Roman" w:cs="Times New Roman"/>
                <w:sz w:val="16"/>
                <w:szCs w:val="16"/>
              </w:rPr>
              <w:t>)</w:t>
            </w:r>
          </w:p>
        </w:tc>
        <w:tc>
          <w:tcPr>
            <w:tcW w:w="1080" w:type="dxa"/>
            <w:vAlign w:val="center"/>
          </w:tcPr>
          <w:p w14:paraId="40AB9CB3" w14:textId="77777777" w:rsidR="006E00B3" w:rsidRDefault="00000000">
            <w:pPr>
              <w:spacing w:after="0" w:line="240" w:lineRule="auto"/>
              <w:ind w:right="27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2024</w:t>
            </w:r>
          </w:p>
        </w:tc>
        <w:tc>
          <w:tcPr>
            <w:tcW w:w="1170" w:type="dxa"/>
            <w:vAlign w:val="center"/>
          </w:tcPr>
          <w:p w14:paraId="12A75FFD" w14:textId="77777777" w:rsidR="006E00B3" w:rsidRDefault="00000000">
            <w:pPr>
              <w:spacing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w:t>
            </w:r>
          </w:p>
        </w:tc>
        <w:tc>
          <w:tcPr>
            <w:tcW w:w="2250" w:type="dxa"/>
          </w:tcPr>
          <w:p w14:paraId="3A1A2209" w14:textId="77777777" w:rsidR="006E00B3" w:rsidRDefault="00000000">
            <w:pPr>
              <w:spacing w:before="62" w:after="0" w:line="265" w:lineRule="auto"/>
              <w:ind w:left="64" w:right="4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1,75</w:t>
            </w:r>
          </w:p>
        </w:tc>
        <w:tc>
          <w:tcPr>
            <w:tcW w:w="1440" w:type="dxa"/>
          </w:tcPr>
          <w:p w14:paraId="179884CB" w14:textId="77777777" w:rsidR="006E00B3" w:rsidRDefault="006E00B3">
            <w:pPr>
              <w:spacing w:after="0" w:line="240" w:lineRule="auto"/>
              <w:ind w:left="58" w:right="-20"/>
              <w:jc w:val="center"/>
              <w:rPr>
                <w:rFonts w:ascii="Times New Roman" w:eastAsia="Times New Roman" w:hAnsi="Times New Roman" w:cs="Times New Roman"/>
                <w:sz w:val="16"/>
                <w:szCs w:val="16"/>
              </w:rPr>
            </w:pPr>
          </w:p>
          <w:p w14:paraId="512B2B33" w14:textId="77777777" w:rsidR="006E00B3" w:rsidRDefault="00000000">
            <w:pPr>
              <w:spacing w:after="0" w:line="240" w:lineRule="auto"/>
              <w:ind w:left="58"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 / A</w:t>
            </w:r>
          </w:p>
        </w:tc>
        <w:tc>
          <w:tcPr>
            <w:tcW w:w="900" w:type="dxa"/>
            <w:vAlign w:val="center"/>
          </w:tcPr>
          <w:p w14:paraId="00251A00" w14:textId="77777777" w:rsidR="006E00B3" w:rsidRDefault="00000000">
            <w:pPr>
              <w:spacing w:before="1" w:after="0" w:line="1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 / A</w:t>
            </w:r>
          </w:p>
        </w:tc>
        <w:tc>
          <w:tcPr>
            <w:tcW w:w="630" w:type="dxa"/>
            <w:vAlign w:val="center"/>
          </w:tcPr>
          <w:p w14:paraId="2A6316A4" w14:textId="77777777" w:rsidR="006E00B3" w:rsidRDefault="00000000">
            <w:pPr>
              <w:spacing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2160" w:type="dxa"/>
            <w:vAlign w:val="center"/>
          </w:tcPr>
          <w:p w14:paraId="3668649A" w14:textId="77777777" w:rsidR="006E00B3" w:rsidRDefault="00000000">
            <w:pPr>
              <w:spacing w:after="0" w:line="265" w:lineRule="auto"/>
              <w:ind w:left="397" w:right="149" w:hanging="19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Subproducto de la desinfección del agua potable</w:t>
            </w:r>
          </w:p>
        </w:tc>
      </w:tr>
    </w:tbl>
    <w:p w14:paraId="30142602"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16"/>
          <w:szCs w:val="16"/>
        </w:rPr>
      </w:pPr>
    </w:p>
    <w:p w14:paraId="1002D540"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i/>
          <w:iCs/>
          <w:color w:val="000000"/>
          <w:sz w:val="20"/>
          <w:szCs w:val="20"/>
        </w:rPr>
      </w:pPr>
    </w:p>
    <w:p w14:paraId="57BBA668" w14:textId="77777777" w:rsidR="006E00B3" w:rsidRDefault="00000000">
      <w:pPr>
        <w:spacing w:before="8" w:after="0" w:line="240" w:lineRule="auto"/>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Resumen de residuos de desinfectante</w:t>
      </w:r>
    </w:p>
    <w:p w14:paraId="54EBB96C" w14:textId="77777777" w:rsidR="006E00B3" w:rsidRDefault="006E00B3">
      <w:pPr>
        <w:spacing w:before="8" w:after="0" w:line="240" w:lineRule="auto"/>
        <w:ind w:right="-20"/>
        <w:rPr>
          <w:rFonts w:ascii="Times New Roman" w:eastAsia="Times New Roman" w:hAnsi="Times New Roman" w:cs="Times New Roman"/>
          <w:sz w:val="20"/>
          <w:szCs w:val="20"/>
        </w:rPr>
      </w:pPr>
    </w:p>
    <w:tbl>
      <w:tblPr>
        <w:tblStyle w:val="a2"/>
        <w:tblW w:w="10823"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6"/>
        <w:gridCol w:w="990"/>
        <w:gridCol w:w="1170"/>
        <w:gridCol w:w="1281"/>
        <w:gridCol w:w="900"/>
        <w:gridCol w:w="879"/>
        <w:gridCol w:w="4277"/>
      </w:tblGrid>
      <w:tr w:rsidR="006E00B3" w14:paraId="797D6EEC" w14:textId="77777777">
        <w:trPr>
          <w:trHeight w:val="820"/>
        </w:trPr>
        <w:tc>
          <w:tcPr>
            <w:tcW w:w="1326" w:type="dxa"/>
            <w:vAlign w:val="center"/>
          </w:tcPr>
          <w:p w14:paraId="723555AC"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p>
          <w:p w14:paraId="0324A7D7" w14:textId="77777777" w:rsidR="006E00B3" w:rsidRDefault="006E00B3">
            <w:pPr>
              <w:spacing w:after="0" w:line="240" w:lineRule="auto"/>
              <w:jc w:val="center"/>
              <w:rPr>
                <w:rFonts w:ascii="Times New Roman" w:eastAsia="Times New Roman" w:hAnsi="Times New Roman" w:cs="Times New Roman"/>
                <w:sz w:val="16"/>
                <w:szCs w:val="16"/>
              </w:rPr>
            </w:pPr>
          </w:p>
        </w:tc>
        <w:tc>
          <w:tcPr>
            <w:tcW w:w="990" w:type="dxa"/>
            <w:vAlign w:val="center"/>
          </w:tcPr>
          <w:p w14:paraId="30479C6D" w14:textId="77777777" w:rsidR="006E00B3" w:rsidRDefault="006E00B3">
            <w:pPr>
              <w:spacing w:before="2" w:after="0" w:line="200" w:lineRule="auto"/>
              <w:jc w:val="center"/>
              <w:rPr>
                <w:rFonts w:ascii="Times New Roman" w:eastAsia="Times New Roman" w:hAnsi="Times New Roman" w:cs="Times New Roman"/>
                <w:sz w:val="16"/>
                <w:szCs w:val="16"/>
              </w:rPr>
            </w:pPr>
          </w:p>
          <w:p w14:paraId="4648D9B7" w14:textId="77777777" w:rsidR="006E00B3" w:rsidRDefault="00000000">
            <w:pPr>
              <w:spacing w:after="0" w:line="240" w:lineRule="auto"/>
              <w:ind w:left="66"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Violación de MRDL</w:t>
            </w:r>
          </w:p>
          <w:p w14:paraId="73D52355" w14:textId="77777777" w:rsidR="006E00B3" w:rsidRDefault="00000000">
            <w:pPr>
              <w:spacing w:after="0" w:line="240" w:lineRule="auto"/>
              <w:ind w:left="66"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Sí/No</w:t>
            </w:r>
          </w:p>
        </w:tc>
        <w:tc>
          <w:tcPr>
            <w:tcW w:w="1170" w:type="dxa"/>
            <w:vAlign w:val="center"/>
          </w:tcPr>
          <w:p w14:paraId="52B97C9F"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w:t>
            </w:r>
          </w:p>
          <w:p w14:paraId="30EECCA2"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Agua</w:t>
            </w:r>
          </w:p>
          <w:p w14:paraId="542D39C4"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(RAA)</w:t>
            </w:r>
          </w:p>
        </w:tc>
        <w:tc>
          <w:tcPr>
            <w:tcW w:w="1281" w:type="dxa"/>
            <w:vAlign w:val="center"/>
          </w:tcPr>
          <w:p w14:paraId="660E0904"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Rango</w:t>
            </w:r>
          </w:p>
          <w:p w14:paraId="437CBF1C"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23BC7B27"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Bajo Alto</w:t>
            </w:r>
          </w:p>
        </w:tc>
        <w:tc>
          <w:tcPr>
            <w:tcW w:w="900" w:type="dxa"/>
            <w:vAlign w:val="center"/>
          </w:tcPr>
          <w:p w14:paraId="10CD42D0"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MRDLG</w:t>
            </w:r>
          </w:p>
        </w:tc>
        <w:tc>
          <w:tcPr>
            <w:tcW w:w="879" w:type="dxa"/>
            <w:vAlign w:val="center"/>
          </w:tcPr>
          <w:p w14:paraId="2D88EF85"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MRDL</w:t>
            </w:r>
          </w:p>
        </w:tc>
        <w:tc>
          <w:tcPr>
            <w:tcW w:w="4277" w:type="dxa"/>
            <w:vAlign w:val="center"/>
          </w:tcPr>
          <w:p w14:paraId="79597F81"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Posible fuente de contaminación</w:t>
            </w:r>
          </w:p>
        </w:tc>
      </w:tr>
      <w:tr w:rsidR="006E00B3" w14:paraId="58F01CF3" w14:textId="77777777">
        <w:trPr>
          <w:trHeight w:val="460"/>
        </w:trPr>
        <w:tc>
          <w:tcPr>
            <w:tcW w:w="1326" w:type="dxa"/>
            <w:vAlign w:val="center"/>
          </w:tcPr>
          <w:p w14:paraId="5C1545B3" w14:textId="77777777" w:rsidR="006E00B3" w:rsidRDefault="00000000">
            <w:pPr>
              <w:spacing w:before="2" w:after="0" w:line="20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Cloro (ppm)</w:t>
            </w:r>
          </w:p>
        </w:tc>
        <w:tc>
          <w:tcPr>
            <w:tcW w:w="990" w:type="dxa"/>
          </w:tcPr>
          <w:p w14:paraId="371FC882" w14:textId="77777777" w:rsidR="006E00B3" w:rsidRDefault="006E00B3">
            <w:pPr>
              <w:spacing w:before="1" w:after="0" w:line="140" w:lineRule="auto"/>
              <w:jc w:val="center"/>
              <w:rPr>
                <w:rFonts w:ascii="Times New Roman" w:eastAsia="Times New Roman" w:hAnsi="Times New Roman" w:cs="Times New Roman"/>
                <w:sz w:val="16"/>
                <w:szCs w:val="16"/>
              </w:rPr>
            </w:pPr>
          </w:p>
          <w:p w14:paraId="595BECF4" w14:textId="77777777" w:rsidR="006E00B3" w:rsidRDefault="00000000">
            <w:pPr>
              <w:spacing w:before="1" w:after="0" w:line="1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w:t>
            </w:r>
          </w:p>
        </w:tc>
        <w:tc>
          <w:tcPr>
            <w:tcW w:w="1170" w:type="dxa"/>
          </w:tcPr>
          <w:p w14:paraId="369E42A7" w14:textId="77777777" w:rsidR="006E00B3" w:rsidRDefault="006E00B3">
            <w:pPr>
              <w:spacing w:before="1" w:after="0" w:line="140" w:lineRule="auto"/>
              <w:jc w:val="center"/>
              <w:rPr>
                <w:rFonts w:ascii="Times New Roman" w:eastAsia="Times New Roman" w:hAnsi="Times New Roman" w:cs="Times New Roman"/>
                <w:sz w:val="16"/>
                <w:szCs w:val="16"/>
              </w:rPr>
            </w:pPr>
          </w:p>
          <w:p w14:paraId="706FDDBA" w14:textId="77777777" w:rsidR="006E00B3" w:rsidRDefault="00000000">
            <w:pPr>
              <w:spacing w:before="1" w:after="0" w:line="1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0,43</w:t>
            </w:r>
          </w:p>
        </w:tc>
        <w:tc>
          <w:tcPr>
            <w:tcW w:w="1281" w:type="dxa"/>
          </w:tcPr>
          <w:p w14:paraId="0E9A1957" w14:textId="77777777" w:rsidR="006E00B3" w:rsidRDefault="006E00B3">
            <w:pPr>
              <w:spacing w:before="1" w:after="0" w:line="140" w:lineRule="auto"/>
              <w:jc w:val="center"/>
              <w:rPr>
                <w:rFonts w:ascii="Times New Roman" w:eastAsia="Times New Roman" w:hAnsi="Times New Roman" w:cs="Times New Roman"/>
                <w:sz w:val="16"/>
                <w:szCs w:val="16"/>
              </w:rPr>
            </w:pPr>
          </w:p>
          <w:p w14:paraId="48CAE051" w14:textId="77777777" w:rsidR="006E00B3" w:rsidRDefault="00000000">
            <w:pPr>
              <w:spacing w:before="1" w:after="0" w:line="1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0,3 - 0,7</w:t>
            </w:r>
          </w:p>
        </w:tc>
        <w:tc>
          <w:tcPr>
            <w:tcW w:w="900" w:type="dxa"/>
            <w:vAlign w:val="center"/>
          </w:tcPr>
          <w:p w14:paraId="2A0C68BB" w14:textId="77777777" w:rsidR="006E00B3"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879" w:type="dxa"/>
            <w:vAlign w:val="center"/>
          </w:tcPr>
          <w:p w14:paraId="391A9797" w14:textId="77777777" w:rsidR="006E00B3"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4277" w:type="dxa"/>
            <w:vAlign w:val="center"/>
          </w:tcPr>
          <w:p w14:paraId="4C364489" w14:textId="77777777" w:rsidR="006E00B3" w:rsidRDefault="00000000">
            <w:pPr>
              <w:spacing w:after="0" w:line="240" w:lineRule="auto"/>
              <w:ind w:left="240" w:right="220"/>
              <w:rPr>
                <w:rFonts w:ascii="Times New Roman" w:eastAsia="Times New Roman" w:hAnsi="Times New Roman" w:cs="Times New Roman"/>
                <w:sz w:val="16"/>
                <w:szCs w:val="16"/>
              </w:rPr>
            </w:pPr>
            <w:r>
              <w:rPr>
                <w:rFonts w:ascii="Times New Roman" w:eastAsia="Times New Roman" w:hAnsi="Times New Roman" w:cs="Times New Roman"/>
                <w:sz w:val="16"/>
                <w:szCs w:val="16"/>
              </w:rPr>
              <w:t>Aditivo para el agua utilizado para controlar los microbios.</w:t>
            </w:r>
          </w:p>
        </w:tc>
      </w:tr>
    </w:tbl>
    <w:p w14:paraId="0E9386AC" w14:textId="77777777" w:rsidR="006E00B3" w:rsidRDefault="006E00B3">
      <w:pPr>
        <w:spacing w:after="0" w:line="100" w:lineRule="auto"/>
        <w:rPr>
          <w:rFonts w:ascii="Times New Roman" w:eastAsia="Times New Roman" w:hAnsi="Times New Roman" w:cs="Times New Roman"/>
          <w:sz w:val="20"/>
          <w:szCs w:val="20"/>
        </w:rPr>
      </w:pPr>
    </w:p>
    <w:p w14:paraId="4CA239A5" w14:textId="77777777" w:rsidR="006E00B3" w:rsidRDefault="006E00B3">
      <w:pPr>
        <w:spacing w:after="0" w:line="240" w:lineRule="auto"/>
        <w:rPr>
          <w:rFonts w:ascii="Times New Roman" w:eastAsia="Times New Roman" w:hAnsi="Times New Roman" w:cs="Times New Roman"/>
          <w:b/>
          <w:bCs/>
          <w:color w:val="0070C0"/>
          <w:sz w:val="20"/>
          <w:szCs w:val="20"/>
        </w:rPr>
      </w:pPr>
    </w:p>
    <w:p w14:paraId="068A3B86" w14:textId="77777777" w:rsidR="006E00B3" w:rsidRDefault="00000000">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Contaminantes inorgánicos</w:t>
      </w:r>
    </w:p>
    <w:tbl>
      <w:tblPr>
        <w:tblStyle w:val="a3"/>
        <w:tblW w:w="10425" w:type="dxa"/>
        <w:tblInd w:w="190" w:type="dxa"/>
        <w:tblLayout w:type="fixed"/>
        <w:tblLook w:val="0000" w:firstRow="0" w:lastRow="0" w:firstColumn="0" w:lastColumn="0" w:noHBand="0" w:noVBand="0"/>
      </w:tblPr>
      <w:tblGrid>
        <w:gridCol w:w="1874"/>
        <w:gridCol w:w="826"/>
        <w:gridCol w:w="810"/>
        <w:gridCol w:w="1245"/>
        <w:gridCol w:w="1260"/>
        <w:gridCol w:w="720"/>
        <w:gridCol w:w="630"/>
        <w:gridCol w:w="3060"/>
      </w:tblGrid>
      <w:tr w:rsidR="006E00B3" w14:paraId="6DBA13EA" w14:textId="77777777">
        <w:tc>
          <w:tcPr>
            <w:tcW w:w="1874" w:type="dxa"/>
            <w:tcBorders>
              <w:top w:val="single" w:sz="4" w:space="0" w:color="000000"/>
              <w:left w:val="single" w:sz="4" w:space="0" w:color="000000"/>
              <w:bottom w:val="single" w:sz="4" w:space="0" w:color="000000"/>
              <w:right w:val="single" w:sz="4" w:space="0" w:color="000000"/>
            </w:tcBorders>
            <w:vAlign w:val="center"/>
          </w:tcPr>
          <w:p w14:paraId="001A2939" w14:textId="77777777" w:rsidR="006E00B3" w:rsidRDefault="006E00B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06AC2343"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Contaminante (unidades)</w:t>
            </w:r>
          </w:p>
          <w:p w14:paraId="14D1739F" w14:textId="77777777" w:rsidR="006E00B3" w:rsidRDefault="006E00B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
        </w:tc>
        <w:tc>
          <w:tcPr>
            <w:tcW w:w="826" w:type="dxa"/>
            <w:tcBorders>
              <w:top w:val="single" w:sz="4" w:space="0" w:color="000000"/>
              <w:left w:val="single" w:sz="4" w:space="0" w:color="000000"/>
              <w:bottom w:val="single" w:sz="4" w:space="0" w:color="000000"/>
              <w:right w:val="single" w:sz="4" w:space="0" w:color="000000"/>
            </w:tcBorders>
            <w:vAlign w:val="center"/>
          </w:tcPr>
          <w:p w14:paraId="424D580B"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Fecha de muestra</w:t>
            </w:r>
          </w:p>
        </w:tc>
        <w:tc>
          <w:tcPr>
            <w:tcW w:w="810" w:type="dxa"/>
            <w:tcBorders>
              <w:top w:val="single" w:sz="4" w:space="0" w:color="000000"/>
              <w:left w:val="single" w:sz="4" w:space="0" w:color="000000"/>
              <w:bottom w:val="single" w:sz="4" w:space="0" w:color="000000"/>
              <w:right w:val="single" w:sz="4" w:space="0" w:color="000000"/>
            </w:tcBorders>
            <w:vAlign w:val="center"/>
          </w:tcPr>
          <w:p w14:paraId="2C377EEB"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Violación de MCL</w:t>
            </w:r>
          </w:p>
          <w:p w14:paraId="680CC227"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Sí/No</w:t>
            </w:r>
          </w:p>
        </w:tc>
        <w:tc>
          <w:tcPr>
            <w:tcW w:w="1245" w:type="dxa"/>
            <w:tcBorders>
              <w:top w:val="single" w:sz="4" w:space="0" w:color="000000"/>
              <w:left w:val="single" w:sz="4" w:space="0" w:color="000000"/>
              <w:bottom w:val="single" w:sz="4" w:space="0" w:color="000000"/>
              <w:right w:val="single" w:sz="4" w:space="0" w:color="000000"/>
            </w:tcBorders>
            <w:vAlign w:val="center"/>
          </w:tcPr>
          <w:p w14:paraId="4C8148A1"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w:t>
            </w:r>
          </w:p>
          <w:p w14:paraId="16CC2900"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Agua</w:t>
            </w:r>
          </w:p>
        </w:tc>
        <w:tc>
          <w:tcPr>
            <w:tcW w:w="1260" w:type="dxa"/>
            <w:tcBorders>
              <w:top w:val="single" w:sz="4" w:space="0" w:color="000000"/>
              <w:left w:val="single" w:sz="4" w:space="0" w:color="000000"/>
              <w:bottom w:val="single" w:sz="4" w:space="0" w:color="000000"/>
              <w:right w:val="single" w:sz="4" w:space="0" w:color="000000"/>
            </w:tcBorders>
            <w:vAlign w:val="center"/>
          </w:tcPr>
          <w:p w14:paraId="314D96AE"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Rango</w:t>
            </w:r>
          </w:p>
          <w:p w14:paraId="089A551A" w14:textId="77777777" w:rsidR="006E00B3" w:rsidRDefault="006E00B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23BF694A"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Bajo Alto</w:t>
            </w:r>
          </w:p>
        </w:tc>
        <w:tc>
          <w:tcPr>
            <w:tcW w:w="720" w:type="dxa"/>
            <w:tcBorders>
              <w:top w:val="single" w:sz="4" w:space="0" w:color="000000"/>
              <w:left w:val="single" w:sz="4" w:space="0" w:color="000000"/>
              <w:bottom w:val="single" w:sz="4" w:space="0" w:color="000000"/>
              <w:right w:val="single" w:sz="4" w:space="0" w:color="000000"/>
            </w:tcBorders>
            <w:vAlign w:val="center"/>
          </w:tcPr>
          <w:p w14:paraId="0137011F"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MCLG</w:t>
            </w:r>
          </w:p>
        </w:tc>
        <w:tc>
          <w:tcPr>
            <w:tcW w:w="630" w:type="dxa"/>
            <w:tcBorders>
              <w:top w:val="single" w:sz="4" w:space="0" w:color="000000"/>
              <w:left w:val="single" w:sz="4" w:space="0" w:color="000000"/>
              <w:bottom w:val="single" w:sz="4" w:space="0" w:color="000000"/>
              <w:right w:val="single" w:sz="4" w:space="0" w:color="000000"/>
            </w:tcBorders>
            <w:vAlign w:val="center"/>
          </w:tcPr>
          <w:p w14:paraId="3632AF72"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MCL</w:t>
            </w:r>
          </w:p>
        </w:tc>
        <w:tc>
          <w:tcPr>
            <w:tcW w:w="3060" w:type="dxa"/>
            <w:tcBorders>
              <w:top w:val="single" w:sz="4" w:space="0" w:color="000000"/>
              <w:left w:val="single" w:sz="4" w:space="0" w:color="000000"/>
              <w:bottom w:val="single" w:sz="4" w:space="0" w:color="000000"/>
              <w:right w:val="single" w:sz="4" w:space="0" w:color="000000"/>
            </w:tcBorders>
            <w:vAlign w:val="center"/>
          </w:tcPr>
          <w:p w14:paraId="51817032"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Posible fuente de contaminación</w:t>
            </w:r>
          </w:p>
        </w:tc>
      </w:tr>
      <w:tr w:rsidR="006E00B3" w14:paraId="4D9A8FCC" w14:textId="77777777">
        <w:tc>
          <w:tcPr>
            <w:tcW w:w="1874" w:type="dxa"/>
            <w:tcBorders>
              <w:top w:val="single" w:sz="4" w:space="0" w:color="000000"/>
              <w:left w:val="single" w:sz="4" w:space="0" w:color="000000"/>
              <w:bottom w:val="single" w:sz="4" w:space="0" w:color="000000"/>
              <w:right w:val="single" w:sz="4" w:space="0" w:color="000000"/>
            </w:tcBorders>
            <w:vAlign w:val="center"/>
          </w:tcPr>
          <w:p w14:paraId="169AEB7A"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Fluoruro (ppm)</w:t>
            </w:r>
          </w:p>
        </w:tc>
        <w:tc>
          <w:tcPr>
            <w:tcW w:w="826" w:type="dxa"/>
            <w:tcBorders>
              <w:top w:val="single" w:sz="4" w:space="0" w:color="000000"/>
              <w:left w:val="single" w:sz="4" w:space="0" w:color="000000"/>
              <w:bottom w:val="single" w:sz="4" w:space="0" w:color="000000"/>
              <w:right w:val="single" w:sz="4" w:space="0" w:color="000000"/>
            </w:tcBorders>
            <w:vAlign w:val="center"/>
          </w:tcPr>
          <w:p w14:paraId="50485759"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16-11-2023</w:t>
            </w:r>
          </w:p>
        </w:tc>
        <w:tc>
          <w:tcPr>
            <w:tcW w:w="810" w:type="dxa"/>
            <w:tcBorders>
              <w:top w:val="single" w:sz="4" w:space="0" w:color="000000"/>
              <w:left w:val="single" w:sz="4" w:space="0" w:color="000000"/>
              <w:bottom w:val="single" w:sz="4" w:space="0" w:color="000000"/>
              <w:right w:val="single" w:sz="4" w:space="0" w:color="000000"/>
            </w:tcBorders>
            <w:vAlign w:val="center"/>
          </w:tcPr>
          <w:p w14:paraId="024BDBBC"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1245" w:type="dxa"/>
            <w:tcBorders>
              <w:top w:val="single" w:sz="4" w:space="0" w:color="000000"/>
              <w:left w:val="single" w:sz="4" w:space="0" w:color="000000"/>
              <w:bottom w:val="single" w:sz="4" w:space="0" w:color="000000"/>
              <w:right w:val="single" w:sz="4" w:space="0" w:color="000000"/>
            </w:tcBorders>
            <w:vAlign w:val="center"/>
          </w:tcPr>
          <w:p w14:paraId="33396C14"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1260" w:type="dxa"/>
            <w:tcBorders>
              <w:top w:val="single" w:sz="4" w:space="0" w:color="000000"/>
              <w:left w:val="single" w:sz="4" w:space="0" w:color="000000"/>
              <w:bottom w:val="single" w:sz="4" w:space="0" w:color="000000"/>
              <w:right w:val="single" w:sz="4" w:space="0" w:color="000000"/>
            </w:tcBorders>
            <w:vAlign w:val="center"/>
          </w:tcPr>
          <w:p w14:paraId="3CF3F843"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 / A</w:t>
            </w:r>
          </w:p>
        </w:tc>
        <w:tc>
          <w:tcPr>
            <w:tcW w:w="720" w:type="dxa"/>
            <w:tcBorders>
              <w:top w:val="single" w:sz="4" w:space="0" w:color="000000"/>
              <w:left w:val="single" w:sz="4" w:space="0" w:color="000000"/>
              <w:bottom w:val="single" w:sz="4" w:space="0" w:color="000000"/>
              <w:right w:val="single" w:sz="4" w:space="0" w:color="000000"/>
            </w:tcBorders>
            <w:vAlign w:val="center"/>
          </w:tcPr>
          <w:p w14:paraId="7687E745"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630" w:type="dxa"/>
            <w:tcBorders>
              <w:top w:val="single" w:sz="4" w:space="0" w:color="000000"/>
              <w:left w:val="single" w:sz="4" w:space="0" w:color="000000"/>
              <w:bottom w:val="single" w:sz="4" w:space="0" w:color="000000"/>
              <w:right w:val="single" w:sz="4" w:space="0" w:color="000000"/>
            </w:tcBorders>
            <w:vAlign w:val="center"/>
          </w:tcPr>
          <w:p w14:paraId="56C04677"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3060" w:type="dxa"/>
            <w:tcBorders>
              <w:top w:val="single" w:sz="4" w:space="0" w:color="000000"/>
              <w:left w:val="single" w:sz="4" w:space="0" w:color="000000"/>
              <w:bottom w:val="single" w:sz="4" w:space="0" w:color="000000"/>
              <w:right w:val="single" w:sz="4" w:space="0" w:color="000000"/>
            </w:tcBorders>
            <w:vAlign w:val="center"/>
          </w:tcPr>
          <w:p w14:paraId="295C1B93" w14:textId="77777777" w:rsidR="006E00B3"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Erosión de depósitos naturales; aditivo para el agua que promueve dientes fuertes; vertidos de fábricas de fertilizantes y aluminio.</w:t>
            </w:r>
          </w:p>
        </w:tc>
      </w:tr>
    </w:tbl>
    <w:p w14:paraId="3D8B6432" w14:textId="77777777" w:rsidR="006E00B3" w:rsidRDefault="006E00B3">
      <w:pPr>
        <w:spacing w:after="0" w:line="240" w:lineRule="auto"/>
        <w:ind w:left="180" w:hanging="180"/>
        <w:rPr>
          <w:rFonts w:ascii="Times New Roman" w:eastAsia="Times New Roman" w:hAnsi="Times New Roman" w:cs="Times New Roman"/>
          <w:color w:val="0000FF"/>
          <w:sz w:val="20"/>
          <w:szCs w:val="20"/>
        </w:rPr>
      </w:pPr>
    </w:p>
    <w:p w14:paraId="278F98E6" w14:textId="77777777" w:rsidR="006E00B3" w:rsidRDefault="00000000">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Contaminantes radiológicos</w:t>
      </w:r>
    </w:p>
    <w:p w14:paraId="4AE97503" w14:textId="77777777" w:rsidR="006E00B3" w:rsidRDefault="006E00B3">
      <w:pPr>
        <w:spacing w:after="0" w:line="240" w:lineRule="auto"/>
        <w:rPr>
          <w:rFonts w:ascii="Times New Roman" w:eastAsia="Times New Roman" w:hAnsi="Times New Roman" w:cs="Times New Roman"/>
          <w:b/>
          <w:bCs/>
          <w:sz w:val="20"/>
          <w:szCs w:val="20"/>
        </w:rPr>
      </w:pPr>
    </w:p>
    <w:tbl>
      <w:tblPr>
        <w:tblStyle w:val="a4"/>
        <w:tblW w:w="10515" w:type="dxa"/>
        <w:tblInd w:w="190" w:type="dxa"/>
        <w:tblLayout w:type="fixed"/>
        <w:tblLook w:val="0000" w:firstRow="0" w:lastRow="0" w:firstColumn="0" w:lastColumn="0" w:noHBand="0" w:noVBand="0"/>
      </w:tblPr>
      <w:tblGrid>
        <w:gridCol w:w="1890"/>
        <w:gridCol w:w="1065"/>
        <w:gridCol w:w="810"/>
        <w:gridCol w:w="810"/>
        <w:gridCol w:w="1440"/>
        <w:gridCol w:w="720"/>
        <w:gridCol w:w="720"/>
        <w:gridCol w:w="3060"/>
      </w:tblGrid>
      <w:tr w:rsidR="006E00B3" w14:paraId="612C162C" w14:textId="77777777">
        <w:trPr>
          <w:trHeight w:val="540"/>
        </w:trPr>
        <w:tc>
          <w:tcPr>
            <w:tcW w:w="1890" w:type="dxa"/>
            <w:tcBorders>
              <w:top w:val="single" w:sz="4" w:space="0" w:color="000000"/>
              <w:left w:val="single" w:sz="4" w:space="0" w:color="000000"/>
              <w:bottom w:val="single" w:sz="4" w:space="0" w:color="000000"/>
              <w:right w:val="single" w:sz="4" w:space="0" w:color="000000"/>
            </w:tcBorders>
            <w:vAlign w:val="center"/>
          </w:tcPr>
          <w:p w14:paraId="793ADC89"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622B7BEA"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Contaminante (unidades)</w:t>
            </w:r>
          </w:p>
          <w:p w14:paraId="393D9B7F"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0B8328AA"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Fecha de muestra</w:t>
            </w:r>
          </w:p>
        </w:tc>
        <w:tc>
          <w:tcPr>
            <w:tcW w:w="810" w:type="dxa"/>
            <w:tcBorders>
              <w:top w:val="single" w:sz="4" w:space="0" w:color="000000"/>
              <w:left w:val="single" w:sz="4" w:space="0" w:color="000000"/>
              <w:bottom w:val="single" w:sz="4" w:space="0" w:color="000000"/>
              <w:right w:val="single" w:sz="4" w:space="0" w:color="000000"/>
            </w:tcBorders>
            <w:vAlign w:val="center"/>
          </w:tcPr>
          <w:p w14:paraId="41BBA6D9"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Violación de MCL</w:t>
            </w:r>
          </w:p>
          <w:p w14:paraId="56FCA94C"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Sí/No</w:t>
            </w:r>
          </w:p>
        </w:tc>
        <w:tc>
          <w:tcPr>
            <w:tcW w:w="810" w:type="dxa"/>
            <w:tcBorders>
              <w:top w:val="single" w:sz="4" w:space="0" w:color="000000"/>
              <w:left w:val="single" w:sz="4" w:space="0" w:color="000000"/>
              <w:bottom w:val="single" w:sz="4" w:space="0" w:color="000000"/>
              <w:right w:val="single" w:sz="4" w:space="0" w:color="000000"/>
            </w:tcBorders>
            <w:vAlign w:val="center"/>
          </w:tcPr>
          <w:p w14:paraId="35F7B9FA"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w:t>
            </w:r>
          </w:p>
          <w:p w14:paraId="7BA67ED6"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Agua (RAA)</w:t>
            </w:r>
          </w:p>
        </w:tc>
        <w:tc>
          <w:tcPr>
            <w:tcW w:w="1440" w:type="dxa"/>
            <w:tcBorders>
              <w:top w:val="single" w:sz="4" w:space="0" w:color="000000"/>
              <w:left w:val="single" w:sz="4" w:space="0" w:color="000000"/>
              <w:bottom w:val="single" w:sz="4" w:space="0" w:color="000000"/>
              <w:right w:val="single" w:sz="4" w:space="0" w:color="000000"/>
            </w:tcBorders>
          </w:tcPr>
          <w:p w14:paraId="3D5CE1D6"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Rango</w:t>
            </w:r>
          </w:p>
          <w:p w14:paraId="2F509F97"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43073D52"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Bajo Alto</w:t>
            </w:r>
          </w:p>
        </w:tc>
        <w:tc>
          <w:tcPr>
            <w:tcW w:w="720" w:type="dxa"/>
            <w:tcBorders>
              <w:top w:val="single" w:sz="4" w:space="0" w:color="000000"/>
              <w:left w:val="single" w:sz="4" w:space="0" w:color="000000"/>
              <w:bottom w:val="single" w:sz="4" w:space="0" w:color="000000"/>
              <w:right w:val="single" w:sz="4" w:space="0" w:color="000000"/>
            </w:tcBorders>
            <w:vAlign w:val="center"/>
          </w:tcPr>
          <w:p w14:paraId="07C847FC"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MCLG</w:t>
            </w:r>
          </w:p>
        </w:tc>
        <w:tc>
          <w:tcPr>
            <w:tcW w:w="720" w:type="dxa"/>
            <w:tcBorders>
              <w:top w:val="single" w:sz="4" w:space="0" w:color="000000"/>
              <w:left w:val="single" w:sz="4" w:space="0" w:color="000000"/>
              <w:bottom w:val="single" w:sz="4" w:space="0" w:color="000000"/>
              <w:right w:val="single" w:sz="4" w:space="0" w:color="000000"/>
            </w:tcBorders>
            <w:vAlign w:val="center"/>
          </w:tcPr>
          <w:p w14:paraId="297E562E"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MCL</w:t>
            </w:r>
          </w:p>
        </w:tc>
        <w:tc>
          <w:tcPr>
            <w:tcW w:w="3060" w:type="dxa"/>
            <w:tcBorders>
              <w:top w:val="single" w:sz="4" w:space="0" w:color="000000"/>
              <w:left w:val="single" w:sz="4" w:space="0" w:color="000000"/>
              <w:bottom w:val="single" w:sz="4" w:space="0" w:color="000000"/>
              <w:right w:val="single" w:sz="4" w:space="0" w:color="000000"/>
            </w:tcBorders>
            <w:vAlign w:val="center"/>
          </w:tcPr>
          <w:p w14:paraId="6EBCEF0F"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Posible fuente de contaminación</w:t>
            </w:r>
          </w:p>
        </w:tc>
      </w:tr>
      <w:tr w:rsidR="006E00B3" w14:paraId="001E2A50" w14:textId="77777777">
        <w:trPr>
          <w:trHeight w:val="343"/>
        </w:trPr>
        <w:tc>
          <w:tcPr>
            <w:tcW w:w="1890" w:type="dxa"/>
            <w:tcBorders>
              <w:top w:val="single" w:sz="4" w:space="0" w:color="000000"/>
              <w:left w:val="single" w:sz="4" w:space="0" w:color="000000"/>
              <w:bottom w:val="single" w:sz="4" w:space="0" w:color="000000"/>
              <w:right w:val="single" w:sz="4" w:space="0" w:color="000000"/>
            </w:tcBorders>
            <w:vAlign w:val="center"/>
          </w:tcPr>
          <w:p w14:paraId="735B7C69"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Emisores alfa (</w:t>
            </w:r>
            <w:proofErr w:type="spellStart"/>
            <w:r>
              <w:rPr>
                <w:rFonts w:ascii="Times New Roman" w:eastAsia="Times New Roman" w:hAnsi="Times New Roman" w:cs="Times New Roman"/>
                <w:color w:val="000000"/>
                <w:sz w:val="16"/>
                <w:szCs w:val="16"/>
              </w:rPr>
              <w:t>pCi</w:t>
            </w:r>
            <w:proofErr w:type="spellEnd"/>
            <w:r>
              <w:rPr>
                <w:rFonts w:ascii="Times New Roman" w:eastAsia="Times New Roman" w:hAnsi="Times New Roman" w:cs="Times New Roman"/>
                <w:color w:val="000000"/>
                <w:sz w:val="16"/>
                <w:szCs w:val="16"/>
              </w:rPr>
              <w:t>/L)</w:t>
            </w:r>
          </w:p>
          <w:p w14:paraId="17C0AD9A"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(Consumo alfa bruto, excluyendo radón y uranio)</w:t>
            </w:r>
          </w:p>
        </w:tc>
        <w:tc>
          <w:tcPr>
            <w:tcW w:w="1065" w:type="dxa"/>
            <w:tcBorders>
              <w:top w:val="single" w:sz="4" w:space="0" w:color="000000"/>
              <w:left w:val="single" w:sz="4" w:space="0" w:color="000000"/>
              <w:bottom w:val="single" w:sz="4" w:space="0" w:color="000000"/>
              <w:right w:val="single" w:sz="4" w:space="0" w:color="000000"/>
            </w:tcBorders>
            <w:vAlign w:val="center"/>
          </w:tcPr>
          <w:p w14:paraId="55D09E52"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07-2019</w:t>
            </w:r>
          </w:p>
        </w:tc>
        <w:tc>
          <w:tcPr>
            <w:tcW w:w="810" w:type="dxa"/>
            <w:tcBorders>
              <w:top w:val="single" w:sz="4" w:space="0" w:color="000000"/>
              <w:left w:val="single" w:sz="4" w:space="0" w:color="000000"/>
              <w:bottom w:val="single" w:sz="4" w:space="0" w:color="000000"/>
              <w:right w:val="single" w:sz="4" w:space="0" w:color="000000"/>
            </w:tcBorders>
            <w:vAlign w:val="center"/>
          </w:tcPr>
          <w:p w14:paraId="3F56A487"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810" w:type="dxa"/>
            <w:tcBorders>
              <w:top w:val="single" w:sz="4" w:space="0" w:color="000000"/>
              <w:left w:val="single" w:sz="4" w:space="0" w:color="000000"/>
              <w:bottom w:val="single" w:sz="4" w:space="0" w:color="000000"/>
              <w:right w:val="single" w:sz="4" w:space="0" w:color="000000"/>
            </w:tcBorders>
            <w:vAlign w:val="center"/>
          </w:tcPr>
          <w:p w14:paraId="79F2A8BB"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w:t>
            </w:r>
          </w:p>
        </w:tc>
        <w:tc>
          <w:tcPr>
            <w:tcW w:w="1440" w:type="dxa"/>
            <w:tcBorders>
              <w:top w:val="single" w:sz="4" w:space="0" w:color="000000"/>
              <w:left w:val="single" w:sz="4" w:space="0" w:color="000000"/>
              <w:bottom w:val="single" w:sz="4" w:space="0" w:color="000000"/>
              <w:right w:val="single" w:sz="4" w:space="0" w:color="000000"/>
            </w:tcBorders>
          </w:tcPr>
          <w:p w14:paraId="6D3FF808"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A1B2C8A"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0F8877B0"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3060" w:type="dxa"/>
            <w:tcBorders>
              <w:top w:val="single" w:sz="4" w:space="0" w:color="000000"/>
              <w:left w:val="single" w:sz="4" w:space="0" w:color="000000"/>
              <w:bottom w:val="single" w:sz="4" w:space="0" w:color="000000"/>
              <w:right w:val="single" w:sz="4" w:space="0" w:color="000000"/>
            </w:tcBorders>
            <w:vAlign w:val="center"/>
          </w:tcPr>
          <w:p w14:paraId="01644E58"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Erosión de depósitos naturales</w:t>
            </w:r>
          </w:p>
        </w:tc>
      </w:tr>
      <w:tr w:rsidR="006E00B3" w14:paraId="7D955F87" w14:textId="77777777">
        <w:trPr>
          <w:trHeight w:val="343"/>
        </w:trPr>
        <w:tc>
          <w:tcPr>
            <w:tcW w:w="1890" w:type="dxa"/>
            <w:tcBorders>
              <w:top w:val="single" w:sz="4" w:space="0" w:color="000000"/>
              <w:left w:val="single" w:sz="4" w:space="0" w:color="000000"/>
              <w:bottom w:val="single" w:sz="4" w:space="0" w:color="000000"/>
              <w:right w:val="single" w:sz="4" w:space="0" w:color="000000"/>
            </w:tcBorders>
            <w:vAlign w:val="center"/>
          </w:tcPr>
          <w:p w14:paraId="2049F637"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Radio combinado (</w:t>
            </w:r>
            <w:proofErr w:type="spellStart"/>
            <w:r>
              <w:rPr>
                <w:rFonts w:ascii="Times New Roman" w:eastAsia="Times New Roman" w:hAnsi="Times New Roman" w:cs="Times New Roman"/>
                <w:color w:val="000000"/>
                <w:sz w:val="16"/>
                <w:szCs w:val="16"/>
              </w:rPr>
              <w:t>pCi</w:t>
            </w:r>
            <w:proofErr w:type="spellEnd"/>
            <w:r>
              <w:rPr>
                <w:rFonts w:ascii="Times New Roman" w:eastAsia="Times New Roman" w:hAnsi="Times New Roman" w:cs="Times New Roman"/>
                <w:color w:val="000000"/>
                <w:sz w:val="16"/>
                <w:szCs w:val="16"/>
              </w:rPr>
              <w:t>/L)</w:t>
            </w:r>
          </w:p>
        </w:tc>
        <w:tc>
          <w:tcPr>
            <w:tcW w:w="1065" w:type="dxa"/>
            <w:tcBorders>
              <w:top w:val="single" w:sz="4" w:space="0" w:color="000000"/>
              <w:left w:val="single" w:sz="4" w:space="0" w:color="000000"/>
              <w:bottom w:val="single" w:sz="4" w:space="0" w:color="000000"/>
              <w:right w:val="single" w:sz="4" w:space="0" w:color="000000"/>
            </w:tcBorders>
            <w:vAlign w:val="center"/>
          </w:tcPr>
          <w:p w14:paraId="50774EF7"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07-2019</w:t>
            </w:r>
          </w:p>
        </w:tc>
        <w:tc>
          <w:tcPr>
            <w:tcW w:w="810" w:type="dxa"/>
            <w:tcBorders>
              <w:top w:val="single" w:sz="4" w:space="0" w:color="000000"/>
              <w:left w:val="single" w:sz="4" w:space="0" w:color="000000"/>
              <w:bottom w:val="single" w:sz="4" w:space="0" w:color="000000"/>
              <w:right w:val="single" w:sz="4" w:space="0" w:color="000000"/>
            </w:tcBorders>
            <w:vAlign w:val="center"/>
          </w:tcPr>
          <w:p w14:paraId="0C1D49E7"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810" w:type="dxa"/>
            <w:tcBorders>
              <w:top w:val="single" w:sz="4" w:space="0" w:color="000000"/>
              <w:left w:val="single" w:sz="4" w:space="0" w:color="000000"/>
              <w:bottom w:val="single" w:sz="4" w:space="0" w:color="000000"/>
              <w:right w:val="single" w:sz="4" w:space="0" w:color="000000"/>
            </w:tcBorders>
            <w:vAlign w:val="center"/>
          </w:tcPr>
          <w:p w14:paraId="5AA8D32C"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40" w:type="dxa"/>
            <w:tcBorders>
              <w:top w:val="single" w:sz="4" w:space="0" w:color="000000"/>
              <w:left w:val="single" w:sz="4" w:space="0" w:color="000000"/>
              <w:bottom w:val="single" w:sz="4" w:space="0" w:color="000000"/>
              <w:right w:val="single" w:sz="4" w:space="0" w:color="000000"/>
            </w:tcBorders>
          </w:tcPr>
          <w:p w14:paraId="19BA17ED"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highlight w:val="yellow"/>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334A9E1"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6665DADA"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3060" w:type="dxa"/>
            <w:tcBorders>
              <w:top w:val="single" w:sz="4" w:space="0" w:color="000000"/>
              <w:left w:val="single" w:sz="4" w:space="0" w:color="000000"/>
              <w:bottom w:val="single" w:sz="4" w:space="0" w:color="000000"/>
              <w:right w:val="single" w:sz="4" w:space="0" w:color="000000"/>
            </w:tcBorders>
            <w:vAlign w:val="center"/>
          </w:tcPr>
          <w:p w14:paraId="6C89CD49"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Erosión de depósitos naturales</w:t>
            </w:r>
          </w:p>
        </w:tc>
      </w:tr>
    </w:tbl>
    <w:p w14:paraId="667EC18A" w14:textId="77777777" w:rsidR="006E00B3" w:rsidRDefault="006E00B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p>
    <w:p w14:paraId="27D3C2F2"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La sección PWS requiere el monitoreo de otros contaminantes diversos, algunos de los cuales la EPA ha establecido estándares secundarios nacionales para el agua potable (SMCL) debido a que pueden causar efectos cosméticos o estéticos (como sabor, olor o color) en el agua potable. Los contaminantes con SMCL normalmente no tienen efectos en la salud y no afectan la seguridad del </w:t>
      </w:r>
      <w:proofErr w:type="gramStart"/>
      <w:r>
        <w:rPr>
          <w:rFonts w:ascii="Times New Roman" w:eastAsia="Times New Roman" w:hAnsi="Times New Roman" w:cs="Times New Roman"/>
          <w:color w:val="000000"/>
          <w:sz w:val="20"/>
          <w:szCs w:val="20"/>
        </w:rPr>
        <w:t xml:space="preserve">agua </w:t>
      </w:r>
      <w:r>
        <w:rPr>
          <w:rFonts w:ascii="Times New Roman" w:eastAsia="Times New Roman" w:hAnsi="Times New Roman" w:cs="Times New Roman"/>
          <w:b/>
          <w:bCs/>
          <w:color w:val="000000"/>
          <w:sz w:val="20"/>
          <w:szCs w:val="20"/>
        </w:rPr>
        <w:t>.</w:t>
      </w:r>
      <w:proofErr w:type="gramEnd"/>
    </w:p>
    <w:p w14:paraId="01EA8267" w14:textId="77777777" w:rsidR="006E00B3" w:rsidRDefault="006E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20"/>
          <w:szCs w:val="20"/>
        </w:rPr>
      </w:pPr>
    </w:p>
    <w:p w14:paraId="1C995DA5"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Otras características diversas del agua Contaminantes</w:t>
      </w:r>
    </w:p>
    <w:tbl>
      <w:tblPr>
        <w:tblStyle w:val="a5"/>
        <w:tblpPr w:leftFromText="187" w:rightFromText="187" w:vertAnchor="text" w:tblpX="190" w:tblpY="77"/>
        <w:tblW w:w="9935" w:type="dxa"/>
        <w:tblInd w:w="0" w:type="dxa"/>
        <w:tblLayout w:type="fixed"/>
        <w:tblLook w:val="0000" w:firstRow="0" w:lastRow="0" w:firstColumn="0" w:lastColumn="0" w:noHBand="0" w:noVBand="0"/>
      </w:tblPr>
      <w:tblGrid>
        <w:gridCol w:w="2450"/>
        <w:gridCol w:w="1663"/>
        <w:gridCol w:w="1391"/>
        <w:gridCol w:w="1936"/>
        <w:gridCol w:w="2495"/>
      </w:tblGrid>
      <w:tr w:rsidR="006E00B3" w14:paraId="12F1F270" w14:textId="77777777">
        <w:trPr>
          <w:trHeight w:val="462"/>
        </w:trPr>
        <w:tc>
          <w:tcPr>
            <w:tcW w:w="2450" w:type="dxa"/>
            <w:tcBorders>
              <w:top w:val="single" w:sz="4" w:space="0" w:color="000000"/>
              <w:left w:val="single" w:sz="6" w:space="0" w:color="000000"/>
              <w:bottom w:val="single" w:sz="4" w:space="0" w:color="000000"/>
              <w:right w:val="single" w:sz="4" w:space="0" w:color="000000"/>
            </w:tcBorders>
            <w:vAlign w:val="center"/>
          </w:tcPr>
          <w:p w14:paraId="42AA4D93"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Sodio (ppm)</w:t>
            </w:r>
          </w:p>
        </w:tc>
        <w:tc>
          <w:tcPr>
            <w:tcW w:w="1663" w:type="dxa"/>
            <w:tcBorders>
              <w:top w:val="single" w:sz="4" w:space="0" w:color="000000"/>
              <w:left w:val="single" w:sz="4" w:space="0" w:color="000000"/>
              <w:bottom w:val="single" w:sz="4" w:space="0" w:color="000000"/>
              <w:right w:val="single" w:sz="4" w:space="0" w:color="000000"/>
            </w:tcBorders>
            <w:vAlign w:val="center"/>
          </w:tcPr>
          <w:p w14:paraId="1A6EC796"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16-11-2023</w:t>
            </w:r>
          </w:p>
        </w:tc>
        <w:tc>
          <w:tcPr>
            <w:tcW w:w="1391" w:type="dxa"/>
            <w:tcBorders>
              <w:top w:val="single" w:sz="4" w:space="0" w:color="000000"/>
              <w:left w:val="single" w:sz="4" w:space="0" w:color="000000"/>
              <w:bottom w:val="single" w:sz="4" w:space="0" w:color="000000"/>
              <w:right w:val="single" w:sz="4" w:space="0" w:color="000000"/>
            </w:tcBorders>
            <w:vAlign w:val="center"/>
          </w:tcPr>
          <w:p w14:paraId="26EB8E66"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89.446</w:t>
            </w:r>
          </w:p>
        </w:tc>
        <w:tc>
          <w:tcPr>
            <w:tcW w:w="1936" w:type="dxa"/>
            <w:tcBorders>
              <w:top w:val="single" w:sz="4" w:space="0" w:color="000000"/>
              <w:left w:val="single" w:sz="4" w:space="0" w:color="000000"/>
              <w:bottom w:val="single" w:sz="4" w:space="0" w:color="000000"/>
              <w:right w:val="single" w:sz="4" w:space="0" w:color="000000"/>
            </w:tcBorders>
            <w:vAlign w:val="center"/>
          </w:tcPr>
          <w:p w14:paraId="35C2AEC8"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 / A</w:t>
            </w:r>
          </w:p>
        </w:tc>
        <w:tc>
          <w:tcPr>
            <w:tcW w:w="2495" w:type="dxa"/>
            <w:tcBorders>
              <w:top w:val="single" w:sz="4" w:space="0" w:color="000000"/>
              <w:left w:val="single" w:sz="4" w:space="0" w:color="000000"/>
              <w:bottom w:val="single" w:sz="4" w:space="0" w:color="000000"/>
              <w:right w:val="single" w:sz="4" w:space="0" w:color="000000"/>
            </w:tcBorders>
            <w:vAlign w:val="center"/>
          </w:tcPr>
          <w:p w14:paraId="08B7EC53"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 / A</w:t>
            </w:r>
          </w:p>
        </w:tc>
      </w:tr>
      <w:tr w:rsidR="006E00B3" w14:paraId="332215BD" w14:textId="77777777">
        <w:trPr>
          <w:trHeight w:val="462"/>
        </w:trPr>
        <w:tc>
          <w:tcPr>
            <w:tcW w:w="2450" w:type="dxa"/>
            <w:tcBorders>
              <w:top w:val="single" w:sz="4" w:space="0" w:color="000000"/>
              <w:left w:val="single" w:sz="6" w:space="0" w:color="000000"/>
              <w:bottom w:val="single" w:sz="4" w:space="0" w:color="000000"/>
              <w:right w:val="single" w:sz="4" w:space="0" w:color="000000"/>
            </w:tcBorders>
            <w:vAlign w:val="center"/>
          </w:tcPr>
          <w:p w14:paraId="66EE74B3"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w:t>
            </w:r>
          </w:p>
        </w:tc>
        <w:tc>
          <w:tcPr>
            <w:tcW w:w="1663" w:type="dxa"/>
            <w:tcBorders>
              <w:top w:val="single" w:sz="4" w:space="0" w:color="000000"/>
              <w:left w:val="single" w:sz="4" w:space="0" w:color="000000"/>
              <w:bottom w:val="single" w:sz="4" w:space="0" w:color="000000"/>
              <w:right w:val="single" w:sz="4" w:space="0" w:color="000000"/>
            </w:tcBorders>
            <w:vAlign w:val="center"/>
          </w:tcPr>
          <w:p w14:paraId="64FFD1D7"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16-11-2023</w:t>
            </w:r>
          </w:p>
        </w:tc>
        <w:tc>
          <w:tcPr>
            <w:tcW w:w="1391" w:type="dxa"/>
            <w:tcBorders>
              <w:top w:val="single" w:sz="4" w:space="0" w:color="000000"/>
              <w:left w:val="single" w:sz="4" w:space="0" w:color="000000"/>
              <w:bottom w:val="single" w:sz="4" w:space="0" w:color="000000"/>
              <w:right w:val="single" w:sz="4" w:space="0" w:color="000000"/>
            </w:tcBorders>
            <w:vAlign w:val="center"/>
          </w:tcPr>
          <w:p w14:paraId="452204A4"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7.8</w:t>
            </w:r>
          </w:p>
        </w:tc>
        <w:tc>
          <w:tcPr>
            <w:tcW w:w="1936" w:type="dxa"/>
            <w:tcBorders>
              <w:top w:val="single" w:sz="4" w:space="0" w:color="000000"/>
              <w:left w:val="single" w:sz="4" w:space="0" w:color="000000"/>
              <w:bottom w:val="single" w:sz="4" w:space="0" w:color="000000"/>
              <w:right w:val="single" w:sz="4" w:space="0" w:color="000000"/>
            </w:tcBorders>
            <w:vAlign w:val="center"/>
          </w:tcPr>
          <w:p w14:paraId="4518D1C2"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 / A</w:t>
            </w:r>
          </w:p>
        </w:tc>
        <w:tc>
          <w:tcPr>
            <w:tcW w:w="2495" w:type="dxa"/>
            <w:tcBorders>
              <w:top w:val="single" w:sz="4" w:space="0" w:color="000000"/>
              <w:left w:val="single" w:sz="4" w:space="0" w:color="000000"/>
              <w:bottom w:val="single" w:sz="4" w:space="0" w:color="000000"/>
              <w:right w:val="single" w:sz="4" w:space="0" w:color="000000"/>
            </w:tcBorders>
            <w:vAlign w:val="center"/>
          </w:tcPr>
          <w:p w14:paraId="6433D292" w14:textId="77777777" w:rsidR="006E00B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 a 8,5</w:t>
            </w:r>
          </w:p>
        </w:tc>
      </w:tr>
    </w:tbl>
    <w:p w14:paraId="3DA8C050" w14:textId="77777777" w:rsidR="006E00B3" w:rsidRDefault="006E00B3">
      <w:pPr>
        <w:spacing w:after="0" w:line="240" w:lineRule="auto"/>
        <w:rPr>
          <w:rFonts w:ascii="Times New Roman" w:eastAsia="Times New Roman" w:hAnsi="Times New Roman" w:cs="Times New Roman"/>
          <w:b/>
          <w:bCs/>
          <w:i/>
          <w:iCs/>
          <w:sz w:val="20"/>
          <w:szCs w:val="20"/>
        </w:rPr>
      </w:pPr>
    </w:p>
    <w:p w14:paraId="0DE68FF0" w14:textId="77777777" w:rsidR="006E00B3" w:rsidRDefault="006E00B3">
      <w:pPr>
        <w:spacing w:after="0" w:line="240" w:lineRule="auto"/>
        <w:rPr>
          <w:rFonts w:ascii="Times New Roman" w:eastAsia="Times New Roman" w:hAnsi="Times New Roman" w:cs="Times New Roman"/>
          <w:b/>
          <w:bCs/>
          <w:i/>
          <w:iCs/>
          <w:sz w:val="20"/>
          <w:szCs w:val="20"/>
        </w:rPr>
      </w:pPr>
    </w:p>
    <w:p w14:paraId="612C999E" w14:textId="77777777" w:rsidR="006E00B3" w:rsidRDefault="006E00B3">
      <w:pPr>
        <w:spacing w:after="0" w:line="240" w:lineRule="auto"/>
        <w:rPr>
          <w:rFonts w:ascii="Times New Roman" w:eastAsia="Times New Roman" w:hAnsi="Times New Roman" w:cs="Times New Roman"/>
          <w:b/>
          <w:bCs/>
          <w:i/>
          <w:iCs/>
          <w:sz w:val="20"/>
          <w:szCs w:val="20"/>
        </w:rPr>
      </w:pPr>
    </w:p>
    <w:p w14:paraId="070E1B6B" w14:textId="77777777" w:rsidR="006E00B3" w:rsidRDefault="006E00B3">
      <w:pPr>
        <w:spacing w:after="0" w:line="240" w:lineRule="auto"/>
        <w:rPr>
          <w:rFonts w:ascii="Times New Roman" w:eastAsia="Times New Roman" w:hAnsi="Times New Roman" w:cs="Times New Roman"/>
          <w:b/>
          <w:bCs/>
          <w:i/>
          <w:iCs/>
          <w:sz w:val="20"/>
          <w:szCs w:val="20"/>
        </w:rPr>
      </w:pPr>
    </w:p>
    <w:p w14:paraId="433E8341" w14:textId="77777777" w:rsidR="006E00B3" w:rsidRDefault="00000000">
      <w:pPr>
        <w:tabs>
          <w:tab w:val="left" w:pos="1080"/>
        </w:tabs>
        <w:spacing w:after="0" w:line="240" w:lineRule="auto"/>
      </w:pPr>
      <w:r>
        <w:rPr>
          <w:rFonts w:ascii="Times New Roman" w:eastAsia="Times New Roman" w:hAnsi="Times New Roman" w:cs="Times New Roman"/>
          <w:sz w:val="28"/>
          <w:szCs w:val="28"/>
        </w:rPr>
        <w:t>PAG</w:t>
      </w:r>
      <w:r>
        <w:rPr>
          <w:rFonts w:ascii="Times New Roman" w:eastAsia="Times New Roman" w:hAnsi="Times New Roman" w:cs="Times New Roman"/>
          <w:sz w:val="28"/>
          <w:szCs w:val="28"/>
        </w:rPr>
        <w:tab/>
      </w:r>
    </w:p>
    <w:sectPr w:rsidR="006E00B3">
      <w:footerReference w:type="default" r:id="rId11"/>
      <w:pgSz w:w="12240" w:h="15840"/>
      <w:pgMar w:top="576" w:right="576" w:bottom="576" w:left="576" w:header="0" w:footer="576"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BAE54" w14:textId="77777777" w:rsidR="004F732F" w:rsidRDefault="004F732F">
      <w:pPr>
        <w:spacing w:after="0" w:line="240" w:lineRule="auto"/>
      </w:pPr>
      <w:r>
        <w:separator/>
      </w:r>
    </w:p>
  </w:endnote>
  <w:endnote w:type="continuationSeparator" w:id="0">
    <w:p w14:paraId="630D6FEC" w14:textId="77777777" w:rsidR="004F732F" w:rsidRDefault="004F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C292CD3-6609-4E4B-A2D4-644AB568F072}"/>
  </w:font>
  <w:font w:name="Calibri">
    <w:panose1 w:val="020F0502020204030204"/>
    <w:charset w:val="00"/>
    <w:family w:val="swiss"/>
    <w:pitch w:val="variable"/>
    <w:sig w:usb0="E4002EFF" w:usb1="C200247B" w:usb2="00000009" w:usb3="00000000" w:csb0="000001FF" w:csb1="00000000"/>
    <w:embedRegular r:id="rId2" w:fontKey="{D0298B77-E93F-4097-AC4E-88CA68EDE81C}"/>
    <w:embedBold r:id="rId3" w:fontKey="{9013ED71-FBF1-4CB7-BB6E-9A29145A06E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85031338-4127-4B3C-9749-A4B5226C7BC4}"/>
  </w:font>
  <w:font w:name="Cambria">
    <w:panose1 w:val="02040503050406030204"/>
    <w:charset w:val="00"/>
    <w:family w:val="roman"/>
    <w:pitch w:val="variable"/>
    <w:sig w:usb0="E00006FF" w:usb1="420024FF" w:usb2="02000000" w:usb3="00000000" w:csb0="0000019F" w:csb1="00000000"/>
    <w:embedRegular r:id="rId5" w:fontKey="{3FCC57CA-85E1-47E3-A776-A2B5E9062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B3575" w14:textId="77777777" w:rsidR="006E00B3" w:rsidRDefault="00000000">
    <w:pPr>
      <w:pBdr>
        <w:top w:val="nil"/>
        <w:left w:val="nil"/>
        <w:bottom w:val="nil"/>
        <w:right w:val="nil"/>
        <w:between w:val="nil"/>
      </w:pBdr>
      <w:tabs>
        <w:tab w:val="center" w:pos="4320"/>
        <w:tab w:val="right" w:pos="8640"/>
      </w:tabs>
      <w:spacing w:after="0" w:line="240" w:lineRule="auto"/>
      <w:ind w:left="-9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6"/>
        <w:szCs w:val="16"/>
      </w:rPr>
      <w:t>12/2024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EC8E2" w14:textId="77777777" w:rsidR="004F732F" w:rsidRDefault="004F732F">
      <w:pPr>
        <w:spacing w:after="0" w:line="240" w:lineRule="auto"/>
      </w:pPr>
      <w:r>
        <w:separator/>
      </w:r>
    </w:p>
  </w:footnote>
  <w:footnote w:type="continuationSeparator" w:id="0">
    <w:p w14:paraId="698B13D8" w14:textId="77777777" w:rsidR="004F732F" w:rsidRDefault="004F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4A90"/>
    <w:multiLevelType w:val="multilevel"/>
    <w:tmpl w:val="6504A89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6C33416"/>
    <w:multiLevelType w:val="multilevel"/>
    <w:tmpl w:val="DC02F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2F7915"/>
    <w:multiLevelType w:val="multilevel"/>
    <w:tmpl w:val="C412A3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85874782">
    <w:abstractNumId w:val="0"/>
  </w:num>
  <w:num w:numId="2" w16cid:durableId="2000232976">
    <w:abstractNumId w:val="2"/>
  </w:num>
  <w:num w:numId="3" w16cid:durableId="1642924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0B3"/>
    <w:rsid w:val="000E3C81"/>
    <w:rsid w:val="00474D72"/>
    <w:rsid w:val="004F732F"/>
    <w:rsid w:val="006E00B3"/>
    <w:rsid w:val="00971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082EC"/>
  <w15:docId w15:val="{3F75589F-C8EE-4C4C-9E4E-02E2CFD5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jc w:val="center"/>
      <w:outlineLvl w:val="0"/>
    </w:pPr>
    <w:rPr>
      <w:rFonts w:ascii="Times New Roman" w:eastAsia="Times New Roman" w:hAnsi="Times New Roman" w:cs="Times New Roman"/>
      <w:sz w:val="24"/>
      <w:szCs w:val="24"/>
    </w:rPr>
  </w:style>
  <w:style w:type="paragraph" w:styleId="Heading2">
    <w:name w:val="heading 2"/>
    <w:basedOn w:val="Normal"/>
    <w:next w:val="Normal"/>
    <w:uiPriority w:val="9"/>
    <w:semiHidden/>
    <w:unhideWhenUsed/>
    <w:qFormat/>
    <w:pPr>
      <w:keepNext/>
      <w:spacing w:after="0" w:line="240" w:lineRule="auto"/>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uiPriority w:val="9"/>
    <w:semiHidden/>
    <w:unhideWhenUsed/>
    <w:qFormat/>
    <w:pPr>
      <w:keepNext/>
      <w:spacing w:after="0" w:line="240" w:lineRule="auto"/>
      <w:jc w:val="center"/>
      <w:outlineLvl w:val="2"/>
    </w:pPr>
    <w:rPr>
      <w:rFonts w:ascii="Times New Roman" w:eastAsia="Times New Roman" w:hAnsi="Times New Roman" w:cs="Times New Roman"/>
      <w:b/>
      <w:bCs/>
      <w:color w:val="FF0000"/>
      <w:sz w:val="32"/>
      <w:szCs w:val="32"/>
      <w:u w:val="single"/>
    </w:rPr>
  </w:style>
  <w:style w:type="paragraph" w:styleId="Heading4">
    <w:name w:val="heading 4"/>
    <w:basedOn w:val="Normal"/>
    <w:next w:val="Normal"/>
    <w:uiPriority w:val="9"/>
    <w:semiHidden/>
    <w:unhideWhenUsed/>
    <w:qFormat/>
    <w:pPr>
      <w:keepNext/>
      <w:spacing w:after="0" w:line="240" w:lineRule="auto"/>
      <w:jc w:val="center"/>
      <w:outlineLvl w:val="3"/>
    </w:pPr>
    <w:rPr>
      <w:rFonts w:ascii="Times New Roman" w:eastAsia="Times New Roman" w:hAnsi="Times New Roman" w:cs="Times New Roman"/>
      <w:b/>
      <w:bCs/>
      <w:sz w:val="40"/>
      <w:szCs w:val="40"/>
      <w:u w:val="single"/>
    </w:rPr>
  </w:style>
  <w:style w:type="paragraph" w:styleId="Heading5">
    <w:name w:val="heading 5"/>
    <w:basedOn w:val="Normal"/>
    <w:next w:val="Normal"/>
    <w:uiPriority w:val="9"/>
    <w:semiHidden/>
    <w:unhideWhenUsed/>
    <w:qFormat/>
    <w:pPr>
      <w:keepNext/>
      <w:spacing w:after="0" w:line="240" w:lineRule="auto"/>
      <w:outlineLvl w:val="4"/>
    </w:pPr>
    <w:rPr>
      <w:rFonts w:ascii="Times New Roman" w:eastAsia="Times New Roman" w:hAnsi="Times New Roman" w:cs="Times New Roman"/>
      <w:color w:val="000000"/>
      <w:sz w:val="20"/>
      <w:szCs w:val="20"/>
    </w:rPr>
  </w:style>
  <w:style w:type="paragraph" w:styleId="Heading6">
    <w:name w:val="heading 6"/>
    <w:basedOn w:val="Normal"/>
    <w:next w:val="Normal"/>
    <w:uiPriority w:val="9"/>
    <w:semiHidden/>
    <w:unhideWhenUsed/>
    <w:qFormat/>
    <w:pPr>
      <w:keepNext/>
      <w:spacing w:after="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bottom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bottom w:w="0" w:type="dxa"/>
      </w:tblCellMar>
    </w:tblPr>
  </w:style>
  <w:style w:type="table" w:customStyle="1" w:styleId="a4">
    <w:basedOn w:val="TableNormal0"/>
    <w:tblPr>
      <w:tblStyleRowBandSize w:val="1"/>
      <w:tblStyleColBandSize w:val="1"/>
      <w:tblCellMar>
        <w:top w:w="0" w:type="dxa"/>
        <w:bottom w:w="0" w:type="dxa"/>
      </w:tblCellMar>
    </w:tblPr>
  </w:style>
  <w:style w:type="table" w:customStyle="1" w:styleId="a5">
    <w:basedOn w:val="TableNormal0"/>
    <w:tblPr>
      <w:tblStyleRowBandSize w:val="1"/>
      <w:tblStyleColBandSize w:val="1"/>
      <w:tblCellMar>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cwater.org/?page=60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epa.gov/safewater/lead" TargetMode="Externa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gCXU03MzwwZR5FyqnkqULR4zvw==">CgMxLjAyDmguaHczZWYybWI0cXV2Mg5oLnU1Zzl4NjRwdGwwbjgAciExS1BrbzQtTWJjNU4xSUM5cHhsRVQ2dkE2SjAyeUNJdUI=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2192</Words>
  <Characters>12498</Characters>
  <Application>Microsoft Office Word</Application>
  <DocSecurity>0</DocSecurity>
  <Lines>104</Lines>
  <Paragraphs>29</Paragraphs>
  <ScaleCrop>false</ScaleCrop>
  <Company/>
  <LinksUpToDate>false</LinksUpToDate>
  <CharactersWithSpaces>14661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WELCH</dc:creator>
  <cp:lastModifiedBy>VIRGINIA WELCH</cp:lastModifiedBy>
  <cp:revision>2</cp:revision>
  <dcterms:created xsi:type="dcterms:W3CDTF">2026-05-27T21:38:00Z</dcterms:created>
  <dcterms:modified xsi:type="dcterms:W3CDTF">2026-05-27T21:38:00Z</dcterms:modified>
</cp:coreProperties>
</file>