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shd w:val="clear" w:color="auto" w:fill="FFFFFF"/>
        <w:tblCellMar>
          <w:left w:w="0" w:type="dxa"/>
          <w:right w:w="0" w:type="dxa"/>
        </w:tblCellMar>
        <w:tblLook w:val="04A0" w:firstRow="1" w:lastRow="0" w:firstColumn="1" w:lastColumn="0" w:noHBand="0" w:noVBand="1"/>
      </w:tblPr>
      <w:tblGrid>
        <w:gridCol w:w="5009"/>
        <w:gridCol w:w="4351"/>
      </w:tblGrid>
      <w:tr w:rsidR="005020F4" w14:paraId="0CA53321" w14:textId="77777777" w:rsidTr="005020F4">
        <w:trPr>
          <w:trHeight w:val="1530"/>
          <w:jc w:val="center"/>
        </w:trPr>
        <w:tc>
          <w:tcPr>
            <w:tcW w:w="9755" w:type="dxa"/>
            <w:gridSpan w:val="2"/>
            <w:shd w:val="clear" w:color="auto" w:fill="FFFFFF"/>
            <w:tcMar>
              <w:top w:w="0" w:type="dxa"/>
              <w:left w:w="108" w:type="dxa"/>
              <w:bottom w:w="0" w:type="dxa"/>
              <w:right w:w="108" w:type="dxa"/>
            </w:tcMar>
            <w:hideMark/>
          </w:tcPr>
          <w:p w14:paraId="36E86631" w14:textId="6F7E45CF" w:rsidR="005020F4" w:rsidRDefault="005020F4">
            <w:pPr>
              <w:autoSpaceDE w:val="0"/>
              <w:autoSpaceDN w:val="0"/>
              <w:spacing w:before="100" w:beforeAutospacing="1" w:after="100" w:afterAutospacing="1" w:line="252" w:lineRule="auto"/>
              <w:jc w:val="center"/>
            </w:pPr>
            <w:r>
              <w:rPr>
                <w:noProof/>
                <w:color w:val="000000"/>
                <w:sz w:val="32"/>
                <w:szCs w:val="32"/>
              </w:rPr>
              <w:drawing>
                <wp:inline distT="0" distB="0" distL="0" distR="0" wp14:anchorId="42E06DFD" wp14:editId="762E7653">
                  <wp:extent cx="5943600" cy="1392555"/>
                  <wp:effectExtent l="0" t="0" r="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52398125787342519m_6482133196327879168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392555"/>
                          </a:xfrm>
                          <a:prstGeom prst="rect">
                            <a:avLst/>
                          </a:prstGeom>
                          <a:noFill/>
                          <a:ln>
                            <a:noFill/>
                          </a:ln>
                        </pic:spPr>
                      </pic:pic>
                    </a:graphicData>
                  </a:graphic>
                </wp:inline>
              </w:drawing>
            </w:r>
          </w:p>
        </w:tc>
      </w:tr>
      <w:tr w:rsidR="005020F4" w14:paraId="3F593022" w14:textId="77777777" w:rsidTr="005020F4">
        <w:trPr>
          <w:trHeight w:val="990"/>
          <w:jc w:val="center"/>
        </w:trPr>
        <w:tc>
          <w:tcPr>
            <w:tcW w:w="512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8A73DD9" w14:textId="77777777" w:rsidR="005020F4" w:rsidRDefault="005020F4">
            <w:pPr>
              <w:spacing w:before="100" w:beforeAutospacing="1" w:after="100" w:afterAutospacing="1" w:line="252" w:lineRule="auto"/>
            </w:pPr>
            <w:r>
              <w:rPr>
                <w:rFonts w:ascii="Book Antiqua" w:hAnsi="Book Antiqua"/>
                <w:color w:val="000000"/>
              </w:rPr>
              <w:t> </w:t>
            </w:r>
          </w:p>
          <w:p w14:paraId="02FC84E7" w14:textId="77777777" w:rsidR="005020F4" w:rsidRDefault="005020F4">
            <w:pPr>
              <w:spacing w:before="100" w:beforeAutospacing="1" w:after="100" w:afterAutospacing="1" w:line="252" w:lineRule="auto"/>
            </w:pPr>
            <w:r>
              <w:rPr>
                <w:rFonts w:ascii="Book Antiqua" w:hAnsi="Book Antiqua"/>
                <w:b/>
                <w:bCs/>
                <w:color w:val="000000"/>
              </w:rPr>
              <w:t>FOR IMMEDIATE RELEASE</w:t>
            </w:r>
          </w:p>
          <w:p w14:paraId="2C8347F1" w14:textId="77777777" w:rsidR="005020F4" w:rsidRDefault="005020F4">
            <w:pPr>
              <w:spacing w:before="100" w:beforeAutospacing="1" w:after="100" w:afterAutospacing="1" w:line="252" w:lineRule="auto"/>
            </w:pPr>
            <w:r>
              <w:rPr>
                <w:rFonts w:ascii="Book Antiqua" w:hAnsi="Book Antiqua"/>
                <w:color w:val="000000"/>
              </w:rPr>
              <w:t>April 1, 2021</w:t>
            </w:r>
          </w:p>
        </w:tc>
        <w:tc>
          <w:tcPr>
            <w:tcW w:w="46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6BC0F8" w14:textId="77777777" w:rsidR="005020F4" w:rsidRDefault="005020F4">
            <w:pPr>
              <w:spacing w:before="100" w:beforeAutospacing="1" w:after="100" w:afterAutospacing="1" w:line="252" w:lineRule="auto"/>
              <w:jc w:val="right"/>
            </w:pPr>
            <w:r>
              <w:rPr>
                <w:rFonts w:ascii="Book Antiqua" w:hAnsi="Book Antiqua"/>
                <w:color w:val="000000"/>
              </w:rPr>
              <w:t> </w:t>
            </w:r>
          </w:p>
          <w:p w14:paraId="17D6C177" w14:textId="77777777" w:rsidR="005020F4" w:rsidRDefault="005020F4">
            <w:pPr>
              <w:spacing w:before="100" w:beforeAutospacing="1" w:after="100" w:afterAutospacing="1" w:line="252" w:lineRule="auto"/>
              <w:jc w:val="right"/>
            </w:pPr>
            <w:r>
              <w:rPr>
                <w:rFonts w:ascii="Book Antiqua" w:hAnsi="Book Antiqua"/>
                <w:b/>
                <w:bCs/>
                <w:color w:val="000000"/>
              </w:rPr>
              <w:t>CONTACT</w:t>
            </w:r>
          </w:p>
          <w:p w14:paraId="24C89DC4" w14:textId="77777777" w:rsidR="005020F4" w:rsidRDefault="005020F4">
            <w:pPr>
              <w:spacing w:before="100" w:beforeAutospacing="1" w:after="100" w:afterAutospacing="1" w:line="252" w:lineRule="auto"/>
              <w:jc w:val="right"/>
            </w:pPr>
            <w:hyperlink r:id="rId7" w:tgtFrame="_blank" w:history="1">
              <w:r>
                <w:rPr>
                  <w:rStyle w:val="Hyperlink"/>
                  <w:rFonts w:ascii="Book Antiqua" w:hAnsi="Book Antiqua"/>
                </w:rPr>
                <w:t xml:space="preserve">Dylan </w:t>
              </w:r>
              <w:proofErr w:type="spellStart"/>
              <w:r>
                <w:rPr>
                  <w:rStyle w:val="Hyperlink"/>
                  <w:rFonts w:ascii="Book Antiqua" w:hAnsi="Book Antiqua"/>
                </w:rPr>
                <w:t>Opalich</w:t>
              </w:r>
              <w:proofErr w:type="spellEnd"/>
            </w:hyperlink>
          </w:p>
        </w:tc>
      </w:tr>
      <w:tr w:rsidR="005020F4" w14:paraId="2D563D5B" w14:textId="77777777" w:rsidTr="005020F4">
        <w:trPr>
          <w:trHeight w:val="988"/>
          <w:jc w:val="center"/>
        </w:trPr>
        <w:tc>
          <w:tcPr>
            <w:tcW w:w="9755" w:type="dxa"/>
            <w:gridSpan w:val="2"/>
            <w:shd w:val="clear" w:color="auto" w:fill="FFFFFF"/>
            <w:tcMar>
              <w:top w:w="0" w:type="dxa"/>
              <w:left w:w="108" w:type="dxa"/>
              <w:bottom w:w="0" w:type="dxa"/>
              <w:right w:w="108" w:type="dxa"/>
            </w:tcMar>
            <w:hideMark/>
          </w:tcPr>
          <w:p w14:paraId="5B987093" w14:textId="77777777" w:rsidR="005020F4" w:rsidRDefault="005020F4">
            <w:pPr>
              <w:spacing w:before="100" w:beforeAutospacing="1" w:after="100" w:afterAutospacing="1"/>
              <w:jc w:val="center"/>
            </w:pPr>
            <w:r>
              <w:rPr>
                <w:rFonts w:ascii="Book Antiqua" w:hAnsi="Book Antiqua"/>
                <w:b/>
                <w:bCs/>
                <w:color w:val="000000"/>
              </w:rPr>
              <w:t> </w:t>
            </w:r>
          </w:p>
          <w:p w14:paraId="0223AAA5" w14:textId="77777777" w:rsidR="005020F4" w:rsidRDefault="005020F4">
            <w:pPr>
              <w:spacing w:before="100" w:beforeAutospacing="1" w:after="100" w:afterAutospacing="1"/>
              <w:jc w:val="center"/>
            </w:pPr>
            <w:hyperlink r:id="rId8" w:tgtFrame="_blank" w:history="1">
              <w:r>
                <w:rPr>
                  <w:rStyle w:val="Hyperlink"/>
                  <w:rFonts w:ascii="Book Antiqua" w:hAnsi="Book Antiqua"/>
                  <w:b/>
                  <w:bCs/>
                  <w:sz w:val="40"/>
                  <w:szCs w:val="40"/>
                </w:rPr>
                <w:t>Neal Reintroduces Legislation to Fix Social Security WEP Provision, Improve Public Employees’ Retirement Security</w:t>
              </w:r>
            </w:hyperlink>
          </w:p>
        </w:tc>
      </w:tr>
      <w:tr w:rsidR="005020F4" w14:paraId="3851FAEB" w14:textId="77777777" w:rsidTr="005020F4">
        <w:trPr>
          <w:jc w:val="center"/>
        </w:trPr>
        <w:tc>
          <w:tcPr>
            <w:tcW w:w="9755"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607C957D" w14:textId="77777777" w:rsidR="005020F4" w:rsidRDefault="005020F4">
            <w:pPr>
              <w:spacing w:before="100" w:beforeAutospacing="1" w:after="100" w:afterAutospacing="1"/>
            </w:pPr>
            <w:r>
              <w:rPr>
                <w:rFonts w:ascii="Book Antiqua" w:hAnsi="Book Antiqua"/>
                <w:b/>
                <w:bCs/>
                <w:color w:val="000000"/>
                <w:sz w:val="24"/>
                <w:szCs w:val="24"/>
              </w:rPr>
              <w:t> </w:t>
            </w:r>
          </w:p>
          <w:p w14:paraId="267FCD8E" w14:textId="77777777" w:rsidR="005020F4" w:rsidRDefault="005020F4">
            <w:pPr>
              <w:spacing w:before="100" w:beforeAutospacing="1" w:after="240"/>
            </w:pPr>
            <w:r>
              <w:rPr>
                <w:rFonts w:ascii="Book Antiqua" w:hAnsi="Book Antiqua"/>
                <w:b/>
                <w:bCs/>
                <w:color w:val="000000"/>
                <w:sz w:val="24"/>
                <w:szCs w:val="24"/>
              </w:rPr>
              <w:t>SPRINGFIELD, MA—</w:t>
            </w:r>
            <w:r>
              <w:rPr>
                <w:rFonts w:ascii="Book Antiqua" w:hAnsi="Book Antiqua"/>
                <w:color w:val="000000"/>
                <w:sz w:val="24"/>
                <w:szCs w:val="24"/>
              </w:rPr>
              <w:t>Today, Ways and Means Committee Chairman Richard E. Neal (D-MA) reintroduced his groundbreaking legislation, the Public Servants Protection and Fairness Act of 2021, to fix the Windfall Elimination Provision (WEP) for future retirees and provide meaningful relief to current WEP retirees. The bill ensures that public servants across the nation can retire with the security and dignity they deserve.</w:t>
            </w:r>
            <w:r>
              <w:rPr>
                <w:rFonts w:ascii="Book Antiqua" w:hAnsi="Book Antiqua"/>
                <w:color w:val="000000"/>
                <w:sz w:val="24"/>
                <w:szCs w:val="24"/>
              </w:rPr>
              <w:br/>
            </w:r>
            <w:r>
              <w:rPr>
                <w:rFonts w:ascii="Book Antiqua" w:hAnsi="Book Antiqua"/>
                <w:color w:val="000000"/>
                <w:sz w:val="24"/>
                <w:szCs w:val="24"/>
              </w:rPr>
              <w:br/>
              <w:t>The legislation establishes a new, fairer formula that will pay Social Security benefits in proportion to the share of a worker’s earnings that were covered for Social Security purposes. This provision is coupled with a benefit guarantee ensuring no benefit cuts relative to current law for all current and future retirees. Current WEP retirees will receive $150 a month in relief payments. </w:t>
            </w:r>
          </w:p>
          <w:p w14:paraId="0FFD7EB4" w14:textId="77777777" w:rsidR="005020F4" w:rsidRDefault="005020F4">
            <w:pPr>
              <w:spacing w:before="100" w:beforeAutospacing="1" w:after="100" w:afterAutospacing="1"/>
            </w:pPr>
            <w:r>
              <w:rPr>
                <w:rFonts w:ascii="Book Antiqua" w:hAnsi="Book Antiqua"/>
                <w:color w:val="000000"/>
                <w:sz w:val="24"/>
                <w:szCs w:val="24"/>
              </w:rPr>
              <w:t xml:space="preserve">“The Public Servants Protection and Fairness Act garnered more support in Congress last year than any previous WEP reform bill. This year, I look forward to building on that momentum to advance the bill even further, and </w:t>
            </w:r>
            <w:proofErr w:type="gramStart"/>
            <w:r>
              <w:rPr>
                <w:rFonts w:ascii="Book Antiqua" w:hAnsi="Book Antiqua"/>
                <w:color w:val="000000"/>
                <w:sz w:val="24"/>
                <w:szCs w:val="24"/>
              </w:rPr>
              <w:t>we’re</w:t>
            </w:r>
            <w:proofErr w:type="gramEnd"/>
            <w:r>
              <w:rPr>
                <w:rFonts w:ascii="Book Antiqua" w:hAnsi="Book Antiqua"/>
                <w:color w:val="000000"/>
                <w:sz w:val="24"/>
                <w:szCs w:val="24"/>
              </w:rPr>
              <w:t xml:space="preserve"> off to a running start with 139 original cosponsors,” </w:t>
            </w:r>
            <w:r>
              <w:rPr>
                <w:rFonts w:ascii="Book Antiqua" w:hAnsi="Book Antiqua"/>
                <w:b/>
                <w:bCs/>
                <w:color w:val="000000"/>
                <w:sz w:val="24"/>
                <w:szCs w:val="24"/>
              </w:rPr>
              <w:t>said Chairman Neal</w:t>
            </w:r>
            <w:r>
              <w:rPr>
                <w:rFonts w:ascii="Book Antiqua" w:hAnsi="Book Antiqua"/>
                <w:color w:val="000000"/>
                <w:sz w:val="24"/>
                <w:szCs w:val="24"/>
              </w:rPr>
              <w:t xml:space="preserve">. “The WEP negatively affects nearly 2 million retired public servants across the country, including 83,000 in Massachusetts. Public employees like firefighters, teachers, and police officers should not miss out on the Social Security benefits they earned over decades of hard work. With this </w:t>
            </w:r>
            <w:r>
              <w:rPr>
                <w:rFonts w:ascii="Book Antiqua" w:hAnsi="Book Antiqua"/>
                <w:color w:val="000000"/>
                <w:sz w:val="24"/>
                <w:szCs w:val="24"/>
              </w:rPr>
              <w:lastRenderedPageBreak/>
              <w:t>legislation, these valued members of our communities will have greater retirement security and peace of mind.”</w:t>
            </w:r>
          </w:p>
          <w:p w14:paraId="0AF28920" w14:textId="77777777" w:rsidR="005020F4" w:rsidRDefault="005020F4">
            <w:pPr>
              <w:spacing w:before="100" w:beforeAutospacing="1" w:after="240"/>
            </w:pPr>
            <w:r>
              <w:rPr>
                <w:rFonts w:ascii="Book Antiqua" w:hAnsi="Book Antiqua"/>
                <w:color w:val="000000"/>
                <w:sz w:val="24"/>
                <w:szCs w:val="24"/>
              </w:rPr>
              <w:br/>
              <w:t>Originally, the WEP was intended to equalize the Social Security benefit formula for workers with similar earnings histories, both inside and outside of the Social Security system. However, in practice, it unfairly penalizes many public employees. The much-needed reforms in this bill provide meaningful WEP relief to current retirees and public employees while treating all workers fairly.</w:t>
            </w:r>
            <w:r>
              <w:rPr>
                <w:rFonts w:ascii="Book Antiqua" w:hAnsi="Book Antiqua"/>
                <w:color w:val="000000"/>
                <w:sz w:val="24"/>
                <w:szCs w:val="24"/>
              </w:rPr>
              <w:br/>
            </w:r>
            <w:r>
              <w:rPr>
                <w:rFonts w:ascii="Book Antiqua" w:hAnsi="Book Antiqua"/>
                <w:color w:val="000000"/>
                <w:sz w:val="24"/>
                <w:szCs w:val="24"/>
              </w:rPr>
              <w:br/>
              <w:t xml:space="preserve">“Members on both sides of the aisle can get behind this legislation and the solutions it puts forward,” </w:t>
            </w:r>
            <w:r>
              <w:rPr>
                <w:rFonts w:ascii="Book Antiqua" w:hAnsi="Book Antiqua"/>
                <w:b/>
                <w:bCs/>
                <w:color w:val="000000"/>
                <w:sz w:val="24"/>
                <w:szCs w:val="24"/>
              </w:rPr>
              <w:t>added Chairman Neal.</w:t>
            </w:r>
            <w:r>
              <w:rPr>
                <w:rFonts w:ascii="Book Antiqua" w:hAnsi="Book Antiqua"/>
                <w:color w:val="000000"/>
                <w:sz w:val="24"/>
                <w:szCs w:val="24"/>
              </w:rPr>
              <w:t xml:space="preserve"> “I want to commend Ways and Means Committee Ranking Member Kevin Brady for his longstanding work to address the WEP issue. I appreciate his commitment to fixing this </w:t>
            </w:r>
            <w:proofErr w:type="gramStart"/>
            <w:r>
              <w:rPr>
                <w:rFonts w:ascii="Book Antiqua" w:hAnsi="Book Antiqua"/>
                <w:color w:val="000000"/>
                <w:sz w:val="24"/>
                <w:szCs w:val="24"/>
              </w:rPr>
              <w:t>problem, and</w:t>
            </w:r>
            <w:proofErr w:type="gramEnd"/>
            <w:r>
              <w:rPr>
                <w:rFonts w:ascii="Book Antiqua" w:hAnsi="Book Antiqua"/>
                <w:color w:val="000000"/>
                <w:sz w:val="24"/>
                <w:szCs w:val="24"/>
              </w:rPr>
              <w:t xml:space="preserve"> look forward to working with him to move a solution through Congress expediently.”</w:t>
            </w:r>
          </w:p>
          <w:p w14:paraId="158339EA" w14:textId="77777777" w:rsidR="005020F4" w:rsidRDefault="005020F4">
            <w:pPr>
              <w:spacing w:before="100" w:beforeAutospacing="1" w:after="100" w:afterAutospacing="1"/>
            </w:pPr>
            <w:r>
              <w:rPr>
                <w:rFonts w:ascii="Book Antiqua" w:hAnsi="Book Antiqua"/>
                <w:color w:val="000000"/>
                <w:sz w:val="24"/>
                <w:szCs w:val="24"/>
              </w:rPr>
              <w:t>The following materials are available on the Public Servants Protection and Fairness Act of 2021:</w:t>
            </w:r>
          </w:p>
          <w:p w14:paraId="66517CB4" w14:textId="77777777" w:rsidR="005020F4" w:rsidRDefault="005020F4" w:rsidP="00F14B2A">
            <w:pPr>
              <w:numPr>
                <w:ilvl w:val="0"/>
                <w:numId w:val="1"/>
              </w:numPr>
              <w:spacing w:before="100" w:beforeAutospacing="1" w:after="100" w:afterAutospacing="1"/>
              <w:rPr>
                <w:rFonts w:eastAsia="Times New Roman"/>
                <w:color w:val="000000"/>
              </w:rPr>
            </w:pPr>
            <w:hyperlink r:id="rId9" w:tgtFrame="_blank" w:history="1">
              <w:r>
                <w:rPr>
                  <w:rStyle w:val="Hyperlink"/>
                  <w:rFonts w:ascii="Book Antiqua" w:eastAsia="Times New Roman" w:hAnsi="Book Antiqua"/>
                  <w:sz w:val="24"/>
                  <w:szCs w:val="24"/>
                </w:rPr>
                <w:t>Overview of the Public Servants Protection and Fairness Act of 2021</w:t>
              </w:r>
            </w:hyperlink>
          </w:p>
          <w:p w14:paraId="5F29F628" w14:textId="77777777" w:rsidR="005020F4" w:rsidRDefault="005020F4" w:rsidP="00F14B2A">
            <w:pPr>
              <w:numPr>
                <w:ilvl w:val="0"/>
                <w:numId w:val="1"/>
              </w:numPr>
              <w:spacing w:before="100" w:beforeAutospacing="1" w:after="100" w:afterAutospacing="1"/>
              <w:rPr>
                <w:rFonts w:eastAsia="Times New Roman"/>
                <w:color w:val="000000"/>
              </w:rPr>
            </w:pPr>
            <w:hyperlink r:id="rId10" w:tgtFrame="_blank" w:history="1">
              <w:r>
                <w:rPr>
                  <w:rStyle w:val="Hyperlink"/>
                  <w:rFonts w:ascii="Book Antiqua" w:eastAsia="Times New Roman" w:hAnsi="Book Antiqua"/>
                  <w:sz w:val="24"/>
                  <w:szCs w:val="24"/>
                </w:rPr>
                <w:t>Section-by-section summary</w:t>
              </w:r>
            </w:hyperlink>
          </w:p>
          <w:p w14:paraId="67D54488" w14:textId="77777777" w:rsidR="005020F4" w:rsidRDefault="005020F4" w:rsidP="00F14B2A">
            <w:pPr>
              <w:numPr>
                <w:ilvl w:val="0"/>
                <w:numId w:val="1"/>
              </w:numPr>
              <w:spacing w:before="100" w:beforeAutospacing="1" w:after="100" w:afterAutospacing="1"/>
              <w:rPr>
                <w:rFonts w:eastAsia="Times New Roman"/>
                <w:color w:val="000000"/>
              </w:rPr>
            </w:pPr>
            <w:hyperlink r:id="rId11" w:tgtFrame="_blank" w:history="1">
              <w:r>
                <w:rPr>
                  <w:rStyle w:val="Hyperlink"/>
                  <w:rFonts w:ascii="Book Antiqua" w:eastAsia="Times New Roman" w:hAnsi="Book Antiqua"/>
                  <w:sz w:val="24"/>
                  <w:szCs w:val="24"/>
                </w:rPr>
                <w:t>Bill text</w:t>
              </w:r>
            </w:hyperlink>
          </w:p>
          <w:p w14:paraId="7BB2F3BD" w14:textId="77777777" w:rsidR="005020F4" w:rsidRDefault="005020F4" w:rsidP="00F14B2A">
            <w:pPr>
              <w:numPr>
                <w:ilvl w:val="0"/>
                <w:numId w:val="1"/>
              </w:numPr>
              <w:spacing w:before="100" w:beforeAutospacing="1" w:after="100" w:afterAutospacing="1"/>
              <w:rPr>
                <w:rFonts w:eastAsia="Times New Roman"/>
                <w:color w:val="000000"/>
              </w:rPr>
            </w:pPr>
            <w:hyperlink r:id="rId12" w:tgtFrame="_blank" w:history="1">
              <w:r>
                <w:rPr>
                  <w:rStyle w:val="Hyperlink"/>
                  <w:rFonts w:ascii="Book Antiqua" w:eastAsia="Times New Roman" w:hAnsi="Book Antiqua"/>
                  <w:sz w:val="24"/>
                  <w:szCs w:val="24"/>
                </w:rPr>
                <w:t>Estimate from the Social Security Administration Chief Actuary</w:t>
              </w:r>
            </w:hyperlink>
          </w:p>
          <w:p w14:paraId="1B3D8DCD" w14:textId="77777777" w:rsidR="005020F4" w:rsidRDefault="005020F4">
            <w:pPr>
              <w:spacing w:before="100" w:beforeAutospacing="1" w:after="100" w:afterAutospacing="1"/>
            </w:pPr>
            <w:r>
              <w:rPr>
                <w:rFonts w:ascii="Book Antiqua" w:hAnsi="Book Antiqua"/>
                <w:color w:val="000000"/>
                <w:sz w:val="24"/>
                <w:szCs w:val="24"/>
              </w:rPr>
              <w:t> </w:t>
            </w:r>
          </w:p>
          <w:p w14:paraId="2375B9EE" w14:textId="77777777" w:rsidR="005020F4" w:rsidRDefault="005020F4">
            <w:pPr>
              <w:spacing w:before="100" w:beforeAutospacing="1" w:after="100" w:afterAutospacing="1"/>
            </w:pPr>
            <w:r>
              <w:rPr>
                <w:rFonts w:ascii="Book Antiqua" w:hAnsi="Book Antiqua"/>
                <w:color w:val="000000"/>
                <w:sz w:val="24"/>
                <w:szCs w:val="24"/>
              </w:rPr>
              <w:t xml:space="preserve">The bill has been endorsed by the following organizations: </w:t>
            </w:r>
          </w:p>
          <w:p w14:paraId="766AABBC" w14:textId="77777777" w:rsidR="005020F4" w:rsidRDefault="005020F4" w:rsidP="00F14B2A">
            <w:pPr>
              <w:numPr>
                <w:ilvl w:val="0"/>
                <w:numId w:val="2"/>
              </w:numPr>
              <w:spacing w:before="100" w:beforeAutospacing="1" w:after="100" w:afterAutospacing="1"/>
              <w:rPr>
                <w:rFonts w:eastAsia="Times New Roman"/>
                <w:color w:val="000000"/>
              </w:rPr>
            </w:pPr>
            <w:r>
              <w:rPr>
                <w:rFonts w:ascii="Book Antiqua" w:eastAsia="Times New Roman" w:hAnsi="Book Antiqua"/>
                <w:i/>
                <w:iCs/>
                <w:color w:val="000000"/>
                <w:sz w:val="24"/>
                <w:szCs w:val="24"/>
              </w:rPr>
              <w:t>National organizations:</w:t>
            </w:r>
            <w:r>
              <w:rPr>
                <w:rFonts w:ascii="Book Antiqua" w:eastAsia="Times New Roman" w:hAnsi="Book Antiqua"/>
                <w:color w:val="000000"/>
                <w:sz w:val="24"/>
                <w:szCs w:val="24"/>
              </w:rPr>
              <w:t xml:space="preserve"> Alliance for Retired Americans (ARA), American Federation of Teachers (AFT), Fraternal Order of Police (FOP), International Association of Fire Fighters (IAFF), International Union of Police Associations (IUPA), National Active and Retired Federal Employees Association (NARFE), National Association of Retired ASCS/FSA Office Employees (RASCOE), National Association of Police Organizations (NAPO), National Committee to Preserve Social Security and Medicare (NCPSSM), National Conference of State Social Security Administrators (NCSSSA), National Education Association (NEA), National Sheriffs’ Association (NSA), Public Retirees Alliance, Service Employees International Union (SEIU), Social Security Works, United Postmasters and Managers of America (UPMA).</w:t>
            </w:r>
          </w:p>
          <w:p w14:paraId="754B480D" w14:textId="77777777" w:rsidR="005020F4" w:rsidRDefault="005020F4" w:rsidP="00F14B2A">
            <w:pPr>
              <w:numPr>
                <w:ilvl w:val="0"/>
                <w:numId w:val="2"/>
              </w:numPr>
              <w:spacing w:before="100" w:beforeAutospacing="1" w:after="100" w:afterAutospacing="1"/>
              <w:rPr>
                <w:rFonts w:eastAsia="Times New Roman"/>
                <w:color w:val="000000"/>
              </w:rPr>
            </w:pPr>
            <w:r>
              <w:rPr>
                <w:rFonts w:ascii="Book Antiqua" w:eastAsia="Times New Roman" w:hAnsi="Book Antiqua"/>
                <w:i/>
                <w:iCs/>
                <w:color w:val="000000"/>
                <w:sz w:val="24"/>
                <w:szCs w:val="24"/>
              </w:rPr>
              <w:t xml:space="preserve">State and local organizations: </w:t>
            </w:r>
            <w:r>
              <w:rPr>
                <w:rFonts w:ascii="Book Antiqua" w:eastAsia="Times New Roman" w:hAnsi="Book Antiqua"/>
                <w:color w:val="000000"/>
                <w:sz w:val="24"/>
                <w:szCs w:val="24"/>
              </w:rPr>
              <w:t xml:space="preserve">American Federation of Teachers (AFT)–Massachusetts, Association of Texas Professional Educators (ATPE), Los Angeles County Employees Retirement Association (LACERA), Louisiana Association of Chiefs of Police (LACP), Louisiana Sheriffs’ Association (LSA), </w:t>
            </w:r>
            <w:r>
              <w:rPr>
                <w:rFonts w:ascii="Book Antiqua" w:eastAsia="Times New Roman" w:hAnsi="Book Antiqua"/>
                <w:color w:val="000000"/>
                <w:sz w:val="24"/>
                <w:szCs w:val="24"/>
              </w:rPr>
              <w:lastRenderedPageBreak/>
              <w:t>Mass Retirees, Massachusetts Coalition of Police (Mass COP), New England Police Benevolent Association (NEPBA), Oakland Police Officers’ Association (OPOA), Ohio Public Employees Retirement System (OPERS), Police Officers Research Association of California (PORAC), Retired Educators Association of Massachusetts (REAM), Texas Retired Teachers Association (TRTA), Western States Sheriffs’ Association (WSSA).</w:t>
            </w:r>
          </w:p>
          <w:p w14:paraId="64180532" w14:textId="77777777" w:rsidR="005020F4" w:rsidRDefault="005020F4">
            <w:pPr>
              <w:spacing w:before="100" w:beforeAutospacing="1" w:after="100" w:afterAutospacing="1"/>
            </w:pPr>
            <w:r>
              <w:rPr>
                <w:rFonts w:ascii="Book Antiqua" w:hAnsi="Book Antiqua"/>
                <w:color w:val="000000"/>
                <w:sz w:val="24"/>
                <w:szCs w:val="24"/>
              </w:rPr>
              <w:t> </w:t>
            </w:r>
          </w:p>
          <w:p w14:paraId="088C2D5A" w14:textId="77777777" w:rsidR="005020F4" w:rsidRDefault="005020F4">
            <w:pPr>
              <w:spacing w:before="100" w:beforeAutospacing="1" w:after="100" w:afterAutospacing="1"/>
            </w:pPr>
            <w:r>
              <w:rPr>
                <w:rFonts w:ascii="Book Antiqua" w:hAnsi="Book Antiqua"/>
                <w:color w:val="000000"/>
                <w:sz w:val="24"/>
                <w:szCs w:val="24"/>
              </w:rPr>
              <w:t xml:space="preserve">The 139 original cosponsors of the legislation are available </w:t>
            </w:r>
            <w:hyperlink r:id="rId13" w:tgtFrame="_blank" w:history="1">
              <w:r>
                <w:rPr>
                  <w:rStyle w:val="Hyperlink"/>
                  <w:rFonts w:ascii="Book Antiqua" w:hAnsi="Book Antiqua"/>
                  <w:sz w:val="24"/>
                  <w:szCs w:val="24"/>
                </w:rPr>
                <w:t>HERE</w:t>
              </w:r>
            </w:hyperlink>
            <w:r>
              <w:rPr>
                <w:rFonts w:ascii="Book Antiqua" w:hAnsi="Book Antiqua"/>
                <w:color w:val="000000"/>
                <w:sz w:val="24"/>
                <w:szCs w:val="24"/>
              </w:rPr>
              <w:t>.</w:t>
            </w:r>
          </w:p>
          <w:p w14:paraId="04B4958A" w14:textId="77777777" w:rsidR="005020F4" w:rsidRDefault="005020F4">
            <w:pPr>
              <w:spacing w:before="100" w:beforeAutospacing="1" w:after="100" w:afterAutospacing="1"/>
            </w:pPr>
            <w:r>
              <w:rPr>
                <w:rFonts w:ascii="Book Antiqua" w:hAnsi="Book Antiqua"/>
                <w:color w:val="000000"/>
                <w:sz w:val="24"/>
                <w:szCs w:val="24"/>
              </w:rPr>
              <w:t> </w:t>
            </w:r>
          </w:p>
          <w:p w14:paraId="1ED97952" w14:textId="77777777" w:rsidR="005020F4" w:rsidRDefault="005020F4">
            <w:pPr>
              <w:spacing w:before="100" w:beforeAutospacing="1" w:after="100" w:afterAutospacing="1"/>
              <w:jc w:val="center"/>
            </w:pPr>
            <w:r>
              <w:rPr>
                <w:rFonts w:ascii="Book Antiqua" w:hAnsi="Book Antiqua"/>
                <w:color w:val="000000"/>
                <w:sz w:val="24"/>
                <w:szCs w:val="24"/>
              </w:rPr>
              <w:t>###</w:t>
            </w:r>
          </w:p>
          <w:p w14:paraId="180FFC62" w14:textId="77777777" w:rsidR="005020F4" w:rsidRDefault="005020F4">
            <w:pPr>
              <w:spacing w:before="100" w:beforeAutospacing="1" w:after="100" w:afterAutospacing="1"/>
              <w:jc w:val="center"/>
            </w:pPr>
            <w:r>
              <w:rPr>
                <w:rFonts w:ascii="Book Antiqua" w:hAnsi="Book Antiqua"/>
                <w:color w:val="000000"/>
                <w:sz w:val="24"/>
                <w:szCs w:val="24"/>
              </w:rPr>
              <w:t> </w:t>
            </w:r>
          </w:p>
        </w:tc>
      </w:tr>
    </w:tbl>
    <w:p w14:paraId="657AE613" w14:textId="77777777" w:rsidR="00891E16" w:rsidRDefault="00891E16"/>
    <w:sectPr w:rsidR="0089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5347D"/>
    <w:multiLevelType w:val="multilevel"/>
    <w:tmpl w:val="DE98E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65CD1"/>
    <w:multiLevelType w:val="multilevel"/>
    <w:tmpl w:val="F632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4"/>
    <w:rsid w:val="005020F4"/>
    <w:rsid w:val="006957B3"/>
    <w:rsid w:val="0089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E1C6"/>
  <w15:chartTrackingRefBased/>
  <w15:docId w15:val="{7074E25A-C951-48BC-A17B-4C3D79EF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sandmeans.house.gov/media-center/press-releases/neal-reintroduces-legislation-fix-social-security-wep-provision-improve" TargetMode="External"/><Relationship Id="rId13" Type="http://schemas.openxmlformats.org/officeDocument/2006/relationships/hyperlink" Target="https://waysandmeans.house.gov/sites/democrats.waysandmeans.house.gov/files/documents/Original%20Cosponsors%20-%20Public%20Servants%20Protection%20and%20Fairness%20Act%20of%202021.pdf" TargetMode="External"/><Relationship Id="rId3" Type="http://schemas.openxmlformats.org/officeDocument/2006/relationships/settings" Target="settings.xml"/><Relationship Id="rId7" Type="http://schemas.openxmlformats.org/officeDocument/2006/relationships/hyperlink" Target="mailto:dylan.opalich@mail.house.gov" TargetMode="External"/><Relationship Id="rId12" Type="http://schemas.openxmlformats.org/officeDocument/2006/relationships/hyperlink" Target="https://waysandmeans.house.gov/sites/democrats.waysandmeans.house.gov/files/documents/ActuaryLetter_202104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B0C.9139B880" TargetMode="External"/><Relationship Id="rId11" Type="http://schemas.openxmlformats.org/officeDocument/2006/relationships/hyperlink" Target="https://waysandmeans.house.gov/sites/democrats.waysandmeans.house.gov/files/documents/Text%20-%20Public%20Servants%20Protection%20and%20Fairness%20Act%20of%20202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aysandmeans.house.gov/sites/democrats.waysandmeans.house.gov/files/documents/Section_By_Section%20-%20Public%20Servants%20Protection%20%26%20Fairness%20Act%20of%202021.pdf" TargetMode="External"/><Relationship Id="rId4" Type="http://schemas.openxmlformats.org/officeDocument/2006/relationships/webSettings" Target="webSettings.xml"/><Relationship Id="rId9" Type="http://schemas.openxmlformats.org/officeDocument/2006/relationships/hyperlink" Target="https://waysandmeans.house.gov/sites/democrats.waysandmeans.house.gov/files/documents/Summary%20-%20Public%20Servants%20Protection%20%26%20Fairness%20Act%20of%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Behm</dc:creator>
  <cp:keywords/>
  <dc:description/>
  <cp:lastModifiedBy>Mary Behm</cp:lastModifiedBy>
  <cp:revision>1</cp:revision>
  <dcterms:created xsi:type="dcterms:W3CDTF">2021-04-16T15:41:00Z</dcterms:created>
  <dcterms:modified xsi:type="dcterms:W3CDTF">2021-04-16T15:43:00Z</dcterms:modified>
</cp:coreProperties>
</file>