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jyj63y7ooh8b" w:id="0"/>
      <w:bookmarkEnd w:id="0"/>
      <w:r w:rsidDel="00000000" w:rsidR="00000000" w:rsidRPr="00000000">
        <w:rPr>
          <w:b w:val="1"/>
          <w:bCs w:val="1"/>
          <w:rtl w:val="0"/>
        </w:rPr>
        <w:t xml:space="preserve">End-to-End AI Governance Framework for the Public Sector</w:t>
      </w:r>
    </w:p>
    <w:p w:rsidR="00000000" w:rsidDel="00000000" w:rsidP="00000000" w:rsidRDefault="00000000" w:rsidRPr="00000000" w14:paraId="00000002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5ccaosfkqk3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government agencies and public institutions integrate AI into key operations, it is essential to implement a comprehensive AI governance framework that ensures AI systems are ethical, transparent, accountable, and aligned with public policy objectives. This framework provides the public sector with a structured approach to managing AI risks, ensuring compliance with government regulations, and fostering public trust in AI-driven decision-making.</w:t>
      </w:r>
    </w:p>
    <w:p w:rsidR="00000000" w:rsidDel="00000000" w:rsidP="00000000" w:rsidRDefault="00000000" w:rsidRPr="00000000" w14:paraId="00000004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n8jihgbybw7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AI Governance Principles</w:t>
      </w:r>
    </w:p>
    <w:p w:rsidR="00000000" w:rsidDel="00000000" w:rsidP="00000000" w:rsidRDefault="00000000" w:rsidRPr="00000000" w14:paraId="00000005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l3mn0z7qg1u" w:id="3"/>
      <w:bookmarkEnd w:id="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A. Ethical AI Use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Ensure AI aligns with public sector values, fairness, and non-discrimination.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Establish transparency, accountability, and public interest safeguards.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Implement measures to prevent AI from reinforcing biases or disproportionately impacting vulnerable populations.</w:t>
      </w:r>
    </w:p>
    <w:p w:rsidR="00000000" w:rsidDel="00000000" w:rsidP="00000000" w:rsidRDefault="00000000" w:rsidRPr="00000000" w14:paraId="00000009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2mwyde9yj015" w:id="4"/>
      <w:bookmarkEnd w:id="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B. Regulatory Compliance &amp; Legal Considerations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Adhere to government AI regulations (GDPR, CCPA, EEOC, ADA, AI Executive Orders, and agency-specific policies).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Conduct compliance audits and legal reviews before AI deployment in public services.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Require AI vendors to provide bias audit reports and regulatory documentation.</w:t>
      </w:r>
    </w:p>
    <w:p w:rsidR="00000000" w:rsidDel="00000000" w:rsidP="00000000" w:rsidRDefault="00000000" w:rsidRPr="00000000" w14:paraId="0000000D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ahzwwbajzhkz" w:id="5"/>
      <w:bookmarkEnd w:id="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C. Bias Mitigation &amp; Fairness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Implement bias detection tools (SHAP, LIME, Regression Analysis, Chi-Square Tests).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Ensure AI-driven decisions do not create disparities in access to government services, benefits, or employment.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Adjust AI models through re-weighting, adversarial debiasing, or human oversight.</w:t>
      </w:r>
    </w:p>
    <w:p w:rsidR="00000000" w:rsidDel="00000000" w:rsidP="00000000" w:rsidRDefault="00000000" w:rsidRPr="00000000" w14:paraId="00000011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ot4tlb6c9gvq" w:id="6"/>
      <w:bookmarkEnd w:id="6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D. Transparency &amp; Explainability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Ensure AI-driven decisions are fully interpretable and justifiable to the public.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Provide algorithmic rationale reports to policymakers and oversight agencies.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Implement public disclosure measures for AI models used in citizen-facing decisions.</w:t>
      </w:r>
    </w:p>
    <w:p w:rsidR="00000000" w:rsidDel="00000000" w:rsidP="00000000" w:rsidRDefault="00000000" w:rsidRPr="00000000" w14:paraId="00000015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7ue97xp28p9y" w:id="7"/>
      <w:bookmarkEnd w:id="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E. Security &amp; Data Privacy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Enforce data protection policies aligned with public sector security standards.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Ensure AI systems comply with government data sovereignty and citizen privacy laws.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Establish governance policies for data retention, deletion, and cybersecurity resilience.</w:t>
      </w:r>
    </w:p>
    <w:p w:rsidR="00000000" w:rsidDel="00000000" w:rsidP="00000000" w:rsidRDefault="00000000" w:rsidRPr="00000000" w14:paraId="00000019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utrs51vgqh3a" w:id="8"/>
      <w:bookmarkEnd w:id="8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F. Public Trust &amp; Social Impact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Ensure AI policies reflect public sector transparency, accessibility, and fairness.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Establish public AI advisory boards and community engagement initiatives.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Ensure AI enhances equitable access to public services, rather than creating new barriers.</w:t>
      </w:r>
    </w:p>
    <w:p w:rsidR="00000000" w:rsidDel="00000000" w:rsidP="00000000" w:rsidRDefault="00000000" w:rsidRPr="00000000" w14:paraId="0000001D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xa3rnbchqhn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AI Governance Structure</w:t>
      </w:r>
    </w:p>
    <w:p w:rsidR="00000000" w:rsidDel="00000000" w:rsidP="00000000" w:rsidRDefault="00000000" w:rsidRPr="00000000" w14:paraId="0000001E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sggj6rvqgbgv" w:id="10"/>
      <w:bookmarkEnd w:id="1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A. AI Governance Roles &amp; Responsibilities</w:t>
      </w:r>
    </w:p>
    <w:tbl>
      <w:tblPr>
        <w:tblStyle w:val="Table1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10"/>
        <w:gridCol w:w="5810"/>
        <w:tblGridChange w:id="0">
          <w:tblGrid>
            <w:gridCol w:w="3410"/>
            <w:gridCol w:w="58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Role</w:t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551e19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Responsibilities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AI Oversight Committee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Develops AI policies, ensures compliance, and engages stakeholders.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Chief AI Ethics Officer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Monitors AI fairness, transparency, and ethical implementation.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Legal &amp; Policy Teams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Enforces AI regulations and public sector compliance.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Human Services &amp; Workforce Experts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Ensures AI aligns with employment fairness and service accessibility.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IT &amp; Cybersecurity Teams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Secures AI systems and ensures data protection.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AI Vendors &amp; Research Partners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Provide transparent, bias-audited AI models and compliance documentation.</w:t>
            </w:r>
          </w:p>
        </w:tc>
      </w:tr>
    </w:tbl>
    <w:p w:rsidR="00000000" w:rsidDel="00000000" w:rsidP="00000000" w:rsidRDefault="00000000" w:rsidRPr="00000000" w14:paraId="0000002D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4rxzv8tciw64" w:id="11"/>
      <w:bookmarkEnd w:id="1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B. AI Risk Management &amp; Oversight Framework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Implement AI risk assessment protocols for public sector applications.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Conduct ongoing AI monitoring, public transparency reporting, and impact assessments.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Establish human-in-the-loop oversight for AI-driven government decisions.</w:t>
      </w:r>
    </w:p>
    <w:p w:rsidR="00000000" w:rsidDel="00000000" w:rsidP="00000000" w:rsidRDefault="00000000" w:rsidRPr="00000000" w14:paraId="00000031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1lbjvrlsatp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AI Governance Lifecycle</w:t>
      </w:r>
    </w:p>
    <w:p w:rsidR="00000000" w:rsidDel="00000000" w:rsidP="00000000" w:rsidRDefault="00000000" w:rsidRPr="00000000" w14:paraId="00000032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bq3v2cx88v4f" w:id="13"/>
      <w:bookmarkEnd w:id="1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1: AI Strategy &amp; Public Policy Alignment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Define AI’s role in government services, regulatory enforcement, and civic engagement.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Identify acceptable vs. unacceptable AI use cases.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Align AI adoption with public interest, policy objectives, and ethical guidelines.</w:t>
      </w:r>
    </w:p>
    <w:p w:rsidR="00000000" w:rsidDel="00000000" w:rsidP="00000000" w:rsidRDefault="00000000" w:rsidRPr="00000000" w14:paraId="00000036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wz731362lx8p" w:id="14"/>
      <w:bookmarkEnd w:id="1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2: AI Risk Assessment &amp; Bias Audits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Conduct pre-deployment risk assessments to detect disparities in AI-driven decisions.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Assess AI models for fairness, explainability, and regulatory compliance.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Document findings in an AI Public Impact Report.</w:t>
      </w:r>
    </w:p>
    <w:p w:rsidR="00000000" w:rsidDel="00000000" w:rsidP="00000000" w:rsidRDefault="00000000" w:rsidRPr="00000000" w14:paraId="0000003A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a8lykjls4pym" w:id="15"/>
      <w:bookmarkEnd w:id="1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3: AI Implementation &amp; Governance Controls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Apply bias mitigation strategies (re-weighting, fairness constraints, adversarial debiasing).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Ensure human oversight in AI-assisted decisions related to public services.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Require AI vendors to provide explainability reports and transparency documentation.</w:t>
      </w:r>
    </w:p>
    <w:p w:rsidR="00000000" w:rsidDel="00000000" w:rsidP="00000000" w:rsidRDefault="00000000" w:rsidRPr="00000000" w14:paraId="0000003E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6zr2aeigdiep" w:id="16"/>
      <w:bookmarkEnd w:id="16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4: AI Performance Monitoring &amp; Public Accountability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Establish ongoing monitoring frameworks for AI model drift and bias in public service outcomes.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Conduct annual AI compliance audits and equity impact assessments.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Update AI governance policies based on public feedback, legislative updates, and AI performance reviews.</w:t>
      </w:r>
    </w:p>
    <w:p w:rsidR="00000000" w:rsidDel="00000000" w:rsidP="00000000" w:rsidRDefault="00000000" w:rsidRPr="00000000" w14:paraId="00000042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lr1d4a9pg16z" w:id="17"/>
      <w:bookmarkEnd w:id="1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5: AI Incident Response &amp; Public Grievance Mechanisms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Implement a formal AI decision challenge and appeal process for citizens.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Define corrective action plans for AI errors in benefits, hiring, or service eligibility.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Maintain audit trails and public disclosure records for AI-related government decisions.</w:t>
      </w:r>
    </w:p>
    <w:p w:rsidR="00000000" w:rsidDel="00000000" w:rsidP="00000000" w:rsidRDefault="00000000" w:rsidRPr="00000000" w14:paraId="00000046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j9tbv9djr7bk" w:id="18"/>
      <w:bookmarkEnd w:id="18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6: Continuous Improvement &amp; Public Sector AI Training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Provide AI ethics and governance training for policymakers and civil servants.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Update AI systems with more diverse and representative training data.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Align AI governance with evolving best practices and national AI strategies.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lucx89a9whi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AI Governance Metrics &amp; Compliance Checklist</w:t>
      </w:r>
    </w:p>
    <w:tbl>
      <w:tblPr>
        <w:tblStyle w:val="Table2"/>
        <w:tblW w:w="8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3975"/>
        <w:gridCol w:w="1080"/>
        <w:gridCol w:w="1500"/>
        <w:tblGridChange w:id="0">
          <w:tblGrid>
            <w:gridCol w:w="2025"/>
            <w:gridCol w:w="3975"/>
            <w:gridCol w:w="1080"/>
            <w:gridCol w:w="150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Governance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Compliance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Pass /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551e19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Risk Level (L/M/H)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Regulatory 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AI aligns with GDPR, EEOC, ADA, AI Executive Orders?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Pass ⬜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Bias Auditing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AI models tested for fairness in public service decisions?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Pass ⬜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Transparency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AI decisions disclosed to policymakers and the public?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Pass ⬜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Data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AI follows government encryption and access control standards?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Pass ⬜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Public 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AI aligns with equitable access to government services?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Pass ⬜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Civil Servant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AI ethics and governance training implemented?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Pass ⬜ 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Fira Mono" w:cs="Fira Mono" w:eastAsia="Fira Mono" w:hAnsi="Fira Mono"/>
                <w:rtl w:val="0"/>
              </w:rPr>
              <w:t xml:space="preserve">⬜ 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jvlzeaylhud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AI Governance Implementation Roadmap</w:t>
      </w:r>
    </w:p>
    <w:tbl>
      <w:tblPr>
        <w:tblStyle w:val="Table3"/>
        <w:tblW w:w="867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55"/>
        <w:gridCol w:w="5205"/>
        <w:gridCol w:w="1410"/>
        <w:tblGridChange w:id="0">
          <w:tblGrid>
            <w:gridCol w:w="2055"/>
            <w:gridCol w:w="5205"/>
            <w:gridCol w:w="14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ffffff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ffffff" w:space="0" w:sz="8" w:val="single"/>
              <w:bottom w:color="551e19" w:space="0" w:sz="8" w:val="single"/>
              <w:right w:color="551e19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Key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551e1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Phase 1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Establish AI oversight structure &amp; policies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0-3 months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Phase 2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Conduct AI risk assessments &amp; bias audits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3-6 months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Phase 3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Implement AI monitoring &amp; public compliance reporting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6-9 months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Phase 4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Set up public AI grievance &amp; accountability mechanisms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9-12 months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Phase 5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Continuous AI governance updates &amp; civil servant training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Ongoing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rPr>
        <w:color w:val="999999"/>
      </w:rPr>
    </w:pPr>
    <w:r w:rsidDel="00000000" w:rsidR="00000000" w:rsidRPr="00000000">
      <w:rPr>
        <w:color w:val="999999"/>
        <w:rtl w:val="0"/>
      </w:rPr>
      <w:t xml:space="preserve">Prairie Business Evolutions, LLC | End to End AI Governance Framework for Public Sector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spacing w:line="60" w:lineRule="auto"/>
      <w:rPr/>
    </w:pPr>
    <w:r w:rsidDel="00000000" w:rsidR="00000000" w:rsidRPr="00000000">
      <w:rPr/>
      <w:pict>
        <v:shape id="PowerPlusWaterMarkObject1" style="position:absolute;width:614.9843307086614pt;height:46.86755905511811pt;rotation:315;z-index:-503316481;mso-position-horizontal-relative:margin;mso-position-horizontal:center;mso-position-vertical-relative:margin;mso-position-vertical:center;" fillcolor="#c56e33" stroked="f" type="#_x0000_t136">
          <v:fill angle="0" opacity="16384f"/>
          <v:textpath fitshape="t" string="Prairie Business Evolutions, LLC" style="font-family:&amp;quot;Verdana&amp;quot;;font-size:1pt;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spacing w:line="60" w:lineRule="auto"/>
      <w:rPr/>
    </w:pPr>
    <w:r w:rsidDel="00000000" w:rsidR="00000000" w:rsidRPr="00000000">
      <w:rPr>
        <w:rtl w:val="0"/>
      </w:rPr>
    </w:r>
  </w:p>
  <w:tbl>
    <w:tblPr>
      <w:tblStyle w:val="Table4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440"/>
      <w:gridCol w:w="7920"/>
      <w:tblGridChange w:id="0">
        <w:tblGrid>
          <w:gridCol w:w="1440"/>
          <w:gridCol w:w="7920"/>
        </w:tblGrid>
      </w:tblGridChange>
    </w:tblGrid>
    <w:tr>
      <w:trPr>
        <w:cantSplit w:val="0"/>
        <w:trHeight w:val="826.621093750000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b7b7b7" w:space="0" w:sz="12" w:val="single"/>
          </w:tcBorders>
        </w:tcPr>
        <w:p w:rsidR="00000000" w:rsidDel="00000000" w:rsidP="00000000" w:rsidRDefault="00000000" w:rsidRPr="00000000" w14:paraId="0000008F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655478" cy="54356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478" cy="54356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b7b7b7" w:space="0" w:sz="12" w:val="single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90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widowControl w:val="0"/>
            <w:spacing w:line="240" w:lineRule="auto"/>
            <w:rPr>
              <w:color w:val="551e19"/>
              <w:sz w:val="16"/>
              <w:szCs w:val="16"/>
            </w:rPr>
          </w:pPr>
          <w:hyperlink r:id="rId2">
            <w:r w:rsidDel="00000000" w:rsidR="00000000" w:rsidRPr="00000000">
              <w:rPr>
                <w:color w:val="1155cc"/>
                <w:sz w:val="16"/>
                <w:szCs w:val="16"/>
                <w:u w:val="single"/>
                <w:rtl w:val="0"/>
              </w:rPr>
              <w:t xml:space="preserve">www.prairiebusinessevolutions.com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widowControl w:val="0"/>
            <w:spacing w:line="240" w:lineRule="auto"/>
            <w:rPr>
              <w:color w:val="551e19"/>
              <w:sz w:val="16"/>
              <w:szCs w:val="16"/>
            </w:rPr>
          </w:pPr>
          <w:r w:rsidDel="00000000" w:rsidR="00000000" w:rsidRPr="00000000">
            <w:rPr>
              <w:color w:val="551e19"/>
              <w:sz w:val="16"/>
              <w:szCs w:val="16"/>
              <w:rtl w:val="0"/>
            </w:rPr>
            <w:t xml:space="preserve">(608) 609-0542</w:t>
          </w:r>
        </w:p>
      </w:tc>
    </w:tr>
  </w:tbl>
  <w:p w:rsidR="00000000" w:rsidDel="00000000" w:rsidP="00000000" w:rsidRDefault="00000000" w:rsidRPr="00000000" w14:paraId="00000093">
    <w:pPr>
      <w:spacing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color w:val="551e19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color w:val="551e19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551e19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color w:val="551e19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airiebusinessevolu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