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b w:val="1"/>
          <w:bCs w:val="1"/>
        </w:rPr>
      </w:pPr>
      <w:bookmarkStart w:colFirst="0" w:colLast="0" w:name="_7xjueeo2tld3" w:id="0"/>
      <w:bookmarkEnd w:id="0"/>
      <w:r w:rsidDel="00000000" w:rsidR="00000000" w:rsidRPr="00000000">
        <w:rPr>
          <w:b w:val="1"/>
          <w:bCs w:val="1"/>
          <w:rtl w:val="0"/>
        </w:rPr>
        <w:t xml:space="preserve">Counterfactual Explanation Analysis Guide for HR Professionals</w:t>
      </w:r>
    </w:p>
    <w:p w:rsidR="00000000" w:rsidDel="00000000" w:rsidP="00000000" w:rsidRDefault="00000000" w:rsidRPr="00000000" w14:paraId="00000002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s0y9eduq2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template helps HR professionals analyze, interpret, and apply counterfactual explanations in AI-driven HR decisions. It ensures that AI outcomes are transparent, actionable, and aligned with compliance and fairness principles.</w:t>
      </w:r>
    </w:p>
    <w:p w:rsidR="00000000" w:rsidDel="00000000" w:rsidP="00000000" w:rsidRDefault="00000000" w:rsidRPr="00000000" w14:paraId="00000004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zncevg5q4k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Understanding Counterfactual Explanations</w:t>
      </w:r>
    </w:p>
    <w:p w:rsidR="00000000" w:rsidDel="00000000" w:rsidP="00000000" w:rsidRDefault="00000000" w:rsidRPr="00000000" w14:paraId="00000005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cmk5j79260lj" w:id="3"/>
      <w:bookmarkEnd w:id="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Definition: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counterfactual explanation provides insights into how an AI-driven HR decision would change if certain input variables were different. Instead of merely stating why an outcome occurred, counterfactuals answer “What would need to change for a different result?”</w:t>
      </w:r>
    </w:p>
    <w:p w:rsidR="00000000" w:rsidDel="00000000" w:rsidP="00000000" w:rsidRDefault="00000000" w:rsidRPr="00000000" w14:paraId="00000007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7fhlqw9m3099" w:id="4"/>
      <w:bookmarkEnd w:id="4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Why Counterfactual Explanations Matter: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before="240" w:lineRule="auto"/>
        <w:ind w:left="72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Enhances AI transparency</w:t>
      </w:r>
      <w:r w:rsidDel="00000000" w:rsidR="00000000" w:rsidRPr="00000000">
        <w:rPr>
          <w:color w:val="551e19"/>
          <w:rtl w:val="0"/>
        </w:rPr>
        <w:t xml:space="preserve">:</w:t>
      </w:r>
      <w:r w:rsidDel="00000000" w:rsidR="00000000" w:rsidRPr="00000000">
        <w:rPr>
          <w:rtl w:val="0"/>
        </w:rPr>
        <w:t xml:space="preserve"> Helps employees and HR teams understand AI decision logic.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Provides actionable insights</w:t>
      </w:r>
      <w:r w:rsidDel="00000000" w:rsidR="00000000" w:rsidRPr="00000000">
        <w:rPr>
          <w:color w:val="551e19"/>
          <w:rtl w:val="0"/>
        </w:rPr>
        <w:t xml:space="preserve">:</w:t>
      </w:r>
      <w:r w:rsidDel="00000000" w:rsidR="00000000" w:rsidRPr="00000000">
        <w:rPr>
          <w:rtl w:val="0"/>
        </w:rPr>
        <w:t xml:space="preserve"> Identifies modifiable factors that could lead to a different outcome.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Supports fairness &amp; compliance</w:t>
      </w:r>
      <w:r w:rsidDel="00000000" w:rsidR="00000000" w:rsidRPr="00000000">
        <w:rPr>
          <w:color w:val="551e19"/>
          <w:rtl w:val="0"/>
        </w:rPr>
        <w:t xml:space="preserve">:</w:t>
      </w:r>
      <w:r w:rsidDel="00000000" w:rsidR="00000000" w:rsidRPr="00000000">
        <w:rPr>
          <w:rtl w:val="0"/>
        </w:rPr>
        <w:t xml:space="preserve"> Meets regulatory requirements for explainability (EEOC, GDPR, AI Act).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color w:val="551e19"/>
          <w:rtl w:val="0"/>
        </w:rPr>
        <w:t xml:space="preserve">Empowers workforce development</w:t>
      </w:r>
      <w:r w:rsidDel="00000000" w:rsidR="00000000" w:rsidRPr="00000000">
        <w:rPr>
          <w:color w:val="551e19"/>
          <w:rtl w:val="0"/>
        </w:rPr>
        <w:t xml:space="preserve">: </w:t>
      </w:r>
      <w:r w:rsidDel="00000000" w:rsidR="00000000" w:rsidRPr="00000000">
        <w:rPr>
          <w:rtl w:val="0"/>
        </w:rPr>
        <w:t xml:space="preserve">Guides employees on what they need to improve for future opportunities.</w:t>
      </w:r>
    </w:p>
    <w:p w:rsidR="00000000" w:rsidDel="00000000" w:rsidP="00000000" w:rsidRDefault="00000000" w:rsidRPr="00000000" w14:paraId="0000000C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gmrz8l9ubm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Counterfactual Explanation Analysis Framework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.35457348407"/>
        <w:gridCol w:w="1794.0801644398766"/>
        <w:gridCol w:w="2356.834532374101"/>
        <w:gridCol w:w="1577.6361767728672"/>
        <w:gridCol w:w="1996.0945529290852"/>
        <w:tblGridChange w:id="0">
          <w:tblGrid>
            <w:gridCol w:w="1635.35457348407"/>
            <w:gridCol w:w="1794.0801644398766"/>
            <w:gridCol w:w="2356.834532374101"/>
            <w:gridCol w:w="1577.6361767728672"/>
            <w:gridCol w:w="1996.0945529290852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HR Decision Type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Original AI Decision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Counterfactual Explanation Provided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Key Insights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shd w:fill="c56e3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Recommended Actions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Hiring Decision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Candidate not selected for the role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"If the candidate had 3+ years of experience in project management, they would have been shortlisted."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Experience level is a major AI factor in hiring.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Offer upskilling resources, mentorship, or alternative roles.</w:t>
            </w:r>
          </w:p>
        </w:tc>
      </w:tr>
      <w:tr>
        <w:trPr>
          <w:cantSplit w:val="0"/>
          <w:trHeight w:val="185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Promotion Eligibility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Employee not promoted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"If the employee had completed a leadership training program, their promotion score would have met the threshold."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Leadership training is a weighted factor.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Encourage relevant training, provide leadership opportunities.</w:t>
            </w:r>
          </w:p>
        </w:tc>
      </w:tr>
      <w:tr>
        <w:trPr>
          <w:cantSplit w:val="0"/>
          <w:trHeight w:val="212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Performance Evaluation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Employee received a ‘Meets Expectations’ rating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"If the employee completed two additional client projects, they would have achieved an ‘Exceeds Expectations’ rating."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Number of client projects is a key metric.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Adjust goal-setting, workload distribution, or training plans.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Compensation Adjustment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No salary increase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"If the employee’s productivity score was in the top 25%, they would have received a 5% raise."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Productivity benchmarks impact salary growth.</w:t>
            </w:r>
          </w:p>
        </w:tc>
        <w:tc>
          <w:tcPr>
            <w:tcBorders>
              <w:top w:color="551e19" w:space="0" w:sz="8" w:val="single"/>
              <w:left w:color="551e19" w:space="0" w:sz="8" w:val="single"/>
              <w:bottom w:color="551e19" w:space="0" w:sz="8" w:val="single"/>
              <w:right w:color="551e1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Provide performance coaching, set clear KPIs for salary increases.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abs2zuegf4k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HR Best Practices for Applying Counterfactual Explanations</w:t>
      </w:r>
    </w:p>
    <w:p w:rsidR="00000000" w:rsidDel="00000000" w:rsidP="00000000" w:rsidRDefault="00000000" w:rsidRPr="00000000" w14:paraId="00000028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ei016jteh5ss" w:id="7"/>
      <w:bookmarkEnd w:id="7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A. Ensuring Fairness &amp; Compliance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Check that counterfactual factors are job-relevant and not discriminatory.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Ensure AI models do not reinforce bias (e.g., gender, age, race) in explanations.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Regularly audit counterfactual outputs for fairness and consistency.</w:t>
      </w:r>
    </w:p>
    <w:p w:rsidR="00000000" w:rsidDel="00000000" w:rsidP="00000000" w:rsidRDefault="00000000" w:rsidRPr="00000000" w14:paraId="0000002C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uqb5q9wvjmux" w:id="8"/>
      <w:bookmarkEnd w:id="8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B. Communicating Counterfactuals to Employees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Use clear, non-technical language (avoid AI jargon).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Provide specific, actionable recommendations (e.g., “Complete certification X” instead of “Improve technical skills”).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Ensure employees have access to resources to act on the feedback.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Offer a challenge process if employees feel the AI decision was unfair or inaccurate.</w:t>
      </w:r>
    </w:p>
    <w:p w:rsidR="00000000" w:rsidDel="00000000" w:rsidP="00000000" w:rsidRDefault="00000000" w:rsidRPr="00000000" w14:paraId="00000031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om6l21vmm4pv" w:id="9"/>
      <w:bookmarkEnd w:id="9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C. Integrating Counterfactuals into HR Strategy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Use counterfactuals for employee development planning (e.g., career progression pathways).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Align AI decision factors with company values and competency frameworks.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Work with AI vendors to continuously improve model transparency.</w:t>
      </w:r>
    </w:p>
    <w:p w:rsidR="00000000" w:rsidDel="00000000" w:rsidP="00000000" w:rsidRDefault="00000000" w:rsidRPr="00000000" w14:paraId="00000035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sf5jrgkw6yp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HR Decision Review &amp; Action Plan</w:t>
      </w:r>
    </w:p>
    <w:p w:rsidR="00000000" w:rsidDel="00000000" w:rsidP="00000000" w:rsidRDefault="00000000" w:rsidRPr="00000000" w14:paraId="00000036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9q1lv7faxzo2" w:id="11"/>
      <w:bookmarkEnd w:id="1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1: Analyze the Counterfactual Explanation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Identify the key factor(s) that influenced the AI decision.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Determine if the factor is relevant, fair, and aligned with business needs.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Compare with past HR decisions to ensure consistency.</w:t>
      </w:r>
    </w:p>
    <w:p w:rsidR="00000000" w:rsidDel="00000000" w:rsidP="00000000" w:rsidRDefault="00000000" w:rsidRPr="00000000" w14:paraId="0000003A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dyxjfvqpv9wl" w:id="12"/>
      <w:bookmarkEnd w:id="1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2: Engage the Employee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Share the counterfactual explanation in an accessible format.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Provide support resources (training, mentorship, goal-setting).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Allow employees to ask questions and provide feedback.</w:t>
      </w:r>
    </w:p>
    <w:p w:rsidR="00000000" w:rsidDel="00000000" w:rsidP="00000000" w:rsidRDefault="00000000" w:rsidRPr="00000000" w14:paraId="0000003E">
      <w:pPr>
        <w:pStyle w:val="Heading3"/>
        <w:spacing w:before="280" w:lineRule="auto"/>
        <w:rPr>
          <w:b w:val="1"/>
          <w:bCs w:val="1"/>
          <w:sz w:val="26"/>
          <w:szCs w:val="26"/>
        </w:rPr>
      </w:pPr>
      <w:bookmarkStart w:colFirst="0" w:colLast="0" w:name="_guchdhnflcaa" w:id="13"/>
      <w:bookmarkEnd w:id="13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Step 3: Implement Continuous Monitoring &amp; Improvement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Track how employees act on counterfactual recommendations.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Adjust HR policies and AI model parameters if necessary.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Ensure counterfactual explanations are updated as AI models evolve.</w:t>
      </w:r>
    </w:p>
    <w:p w:rsidR="00000000" w:rsidDel="00000000" w:rsidP="00000000" w:rsidRDefault="00000000" w:rsidRPr="00000000" w14:paraId="00000042">
      <w:pPr>
        <w:pStyle w:val="Heading2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wnhpkwjaa18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Conclusion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Counterfactual explanations are a powerful tool for transparency and employee empowerment in AI-driven HR processes. By implementing this structured approach, HR leaders can: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before="240" w:lineRule="auto"/>
        <w:ind w:left="720" w:hanging="360"/>
      </w:pPr>
      <w:r w:rsidDel="00000000" w:rsidR="00000000" w:rsidRPr="00000000">
        <w:rPr>
          <w:rtl w:val="0"/>
        </w:rPr>
        <w:t xml:space="preserve">Enhance fairness and compliance by ensuring AI decisions are interpretable and actionable.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Support workforce development by providing clear pathways for employee growth.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Build trust in AI systems by maintaining transparency and accountability in HR decision-making.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integrating counterfactual explanations into HR strategy, organizations can future-proof their AI governance while supporting ethical, data-driven workforce decisions.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="276" w:lineRule="auto"/>
        <w:rPr/>
      </w:pPr>
      <w:r w:rsidDel="00000000" w:rsidR="00000000" w:rsidRPr="00000000">
        <w:rPr>
          <w:b w:val="1"/>
          <w:bCs w:val="1"/>
          <w:color w:val="551e19"/>
          <w:rtl w:val="0"/>
        </w:rPr>
        <w:t xml:space="preserve">Prairie Business Evolutions, LLC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Human–AI Partnership Consulting &amp; Readiness Frameworks</w:t>
        <w:br w:type="textWrapping"/>
      </w:r>
      <w:r w:rsidDel="00000000" w:rsidR="00000000" w:rsidRPr="00000000">
        <w:rPr>
          <w:rtl w:val="0"/>
        </w:rPr>
        <w:t xml:space="preserve">📩 client@prairiebusinessevolutions.com</w:t>
        <w:br w:type="textWrapping"/>
        <w:t xml:space="preserve">🌐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www.prairiebusinessevolutions.com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>
        <w:color w:val="999999"/>
      </w:rPr>
    </w:pPr>
    <w:r w:rsidDel="00000000" w:rsidR="00000000" w:rsidRPr="00000000">
      <w:rPr>
        <w:color w:val="999999"/>
        <w:rtl w:val="0"/>
      </w:rPr>
      <w:t xml:space="preserve">Prairie Business Evolutions, LLC | Counterfactual Explanation Analysis Guide for HR</w:t>
      <w:tab/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line="60" w:lineRule="auto"/>
      <w:rPr/>
    </w:pPr>
    <w:r w:rsidDel="00000000" w:rsidR="00000000" w:rsidRPr="00000000">
      <w:rPr/>
      <w:pict>
        <v:shape id="PowerPlusWaterMarkObject1" style="position:absolute;width:614.9843307086614pt;height:46.86755905511811pt;rotation:315;z-index:-503316481;mso-position-horizontal-relative:margin;mso-position-horizontal:center;mso-position-vertical-relative:margin;mso-position-vertical:center;" fillcolor="#c56e33" stroked="f" type="#_x0000_t136">
          <v:fill angle="0" opacity="16384f"/>
          <v:textpath fitshape="t" string="Prairie Business Evolutions, LLC" style="font-family:&amp;quot;Verdana&amp;quot;;font-size:1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line="60" w:lineRule="auto"/>
      <w:rPr/>
    </w:pP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440"/>
      <w:gridCol w:w="7920"/>
      <w:tblGridChange w:id="0">
        <w:tblGrid>
          <w:gridCol w:w="1440"/>
          <w:gridCol w:w="7920"/>
        </w:tblGrid>
      </w:tblGridChange>
    </w:tblGrid>
    <w:tr>
      <w:trPr>
        <w:cantSplit w:val="0"/>
        <w:trHeight w:val="826.62109375000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b7b7b7" w:space="0" w:sz="12" w:val="single"/>
          </w:tcBorders>
        </w:tcPr>
        <w:p w:rsidR="00000000" w:rsidDel="00000000" w:rsidP="00000000" w:rsidRDefault="00000000" w:rsidRPr="00000000" w14:paraId="0000004C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655478" cy="543567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478" cy="54356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b7b7b7" w:space="0" w:sz="12" w:val="single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4D">
          <w:pPr>
            <w:widowControl w:val="0"/>
            <w:spacing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hyperlink r:id="rId2">
            <w:r w:rsidDel="00000000" w:rsidR="00000000" w:rsidRPr="00000000">
              <w:rPr>
                <w:color w:val="1155cc"/>
                <w:sz w:val="16"/>
                <w:szCs w:val="16"/>
                <w:u w:val="single"/>
                <w:rtl w:val="0"/>
              </w:rPr>
              <w:t xml:space="preserve">www.prairiebusinessevolutions.com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widowControl w:val="0"/>
            <w:spacing w:line="240" w:lineRule="auto"/>
            <w:rPr>
              <w:color w:val="551e19"/>
              <w:sz w:val="16"/>
              <w:szCs w:val="16"/>
            </w:rPr>
          </w:pPr>
          <w:r w:rsidDel="00000000" w:rsidR="00000000" w:rsidRPr="00000000">
            <w:rPr>
              <w:color w:val="551e19"/>
              <w:sz w:val="16"/>
              <w:szCs w:val="16"/>
              <w:rtl w:val="0"/>
            </w:rPr>
            <w:t xml:space="preserve">(608) 609-0542</w:t>
          </w:r>
        </w:p>
      </w:tc>
    </w:tr>
  </w:tbl>
  <w:p w:rsidR="00000000" w:rsidDel="00000000" w:rsidP="00000000" w:rsidRDefault="00000000" w:rsidRPr="00000000" w14:paraId="00000050">
    <w:pPr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color w:val="551e19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color w:val="551e19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551e19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color w:val="551e19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prairiebusinessevolutions.com" TargetMode="External"/><Relationship Id="rId7" Type="http://schemas.openxmlformats.org/officeDocument/2006/relationships/hyperlink" Target="https://www.prairiebusinessevolutions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rairiebusinessevolu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