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xu5y0klhzbcy" w:id="0"/>
      <w:bookmarkEnd w:id="0"/>
      <w:r w:rsidDel="00000000" w:rsidR="00000000" w:rsidRPr="00000000">
        <w:rPr>
          <w:b w:val="1"/>
          <w:bCs w:val="1"/>
          <w:sz w:val="46"/>
          <w:szCs w:val="46"/>
          <w:rtl w:val="0"/>
        </w:rPr>
        <w:t xml:space="preserve">Prairie Business Evolutions, LLC</w:t>
      </w:r>
    </w:p>
    <w:p w:rsidR="00000000" w:rsidDel="00000000" w:rsidP="00000000" w:rsidRDefault="00000000" w:rsidRPr="00000000" w14:paraId="00000002">
      <w:pPr>
        <w:pStyle w:val="Heading2"/>
        <w:rPr/>
      </w:pPr>
      <w:bookmarkStart w:colFirst="0" w:colLast="0" w:name="_z9tuzkxvlv1p" w:id="1"/>
      <w:bookmarkEnd w:id="1"/>
      <w:r w:rsidDel="00000000" w:rsidR="00000000" w:rsidRPr="00000000">
        <w:rPr>
          <w:rtl w:val="0"/>
        </w:rPr>
        <w:t xml:space="preserve">Strategic Guide for Leaders</w:t>
      </w:r>
    </w:p>
    <w:p w:rsidR="00000000" w:rsidDel="00000000" w:rsidP="00000000" w:rsidRDefault="00000000" w:rsidRPr="00000000" w14:paraId="00000003">
      <w:pPr>
        <w:pStyle w:val="Heading3"/>
        <w:spacing w:after="240" w:before="240" w:lineRule="auto"/>
        <w:rPr/>
      </w:pPr>
      <w:bookmarkStart w:colFirst="0" w:colLast="0" w:name="_oxua88ui4lwy" w:id="2"/>
      <w:bookmarkEnd w:id="2"/>
      <w:r w:rsidDel="00000000" w:rsidR="00000000" w:rsidRPr="00000000">
        <w:rPr>
          <w:rtl w:val="0"/>
        </w:rPr>
        <w:t xml:space="preserve">Defining and Managing Organizational DEI Thresholds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rPr/>
      </w:pPr>
      <w:bookmarkStart w:colFirst="0" w:colLast="0" w:name="_anr69eme92ck" w:id="3"/>
      <w:bookmarkEnd w:id="3"/>
      <w:r w:rsidDel="00000000" w:rsidR="00000000" w:rsidRPr="00000000">
        <w:rPr>
          <w:rtl w:val="0"/>
        </w:rPr>
        <w:t xml:space="preserve">Section 1: Understanding the External Need</w:t>
      </w:r>
    </w:p>
    <w:p w:rsidR="00000000" w:rsidDel="00000000" w:rsidP="00000000" w:rsidRDefault="00000000" w:rsidRPr="00000000" w14:paraId="00000006">
      <w:pPr>
        <w:spacing w:after="240" w:before="240" w:lineRule="auto"/>
        <w:rPr/>
      </w:pPr>
      <w:r w:rsidDel="00000000" w:rsidR="00000000" w:rsidRPr="00000000">
        <w:rPr>
          <w:rtl w:val="0"/>
        </w:rPr>
        <w:t xml:space="preserve">Organizations operate within broader societal, economic, and cultural systems. Social justice and diversity, equity, and inclusion (DEI) movements have heightened awareness of systemic inequities. While it is essential for organizations to acknowledge and respond to these external pressures, leaders must also balance external expectations with their organization’s mission, values, and capacity. The purpose of this thought paper is to help executives thoughtfully determine how their organizations should engage in DEI efforts without unintentionally creating new inequities or deviating from their strategic objectives.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rPr/>
      </w:pPr>
      <w:bookmarkStart w:colFirst="0" w:colLast="0" w:name="_ssk81sngcsgk" w:id="4"/>
      <w:bookmarkEnd w:id="4"/>
      <w:r w:rsidDel="00000000" w:rsidR="00000000" w:rsidRPr="00000000">
        <w:rPr>
          <w:rtl w:val="0"/>
        </w:rPr>
        <w:t xml:space="preserve">Section 2: Recognizing Employee Echoes</w:t>
      </w:r>
    </w:p>
    <w:p w:rsidR="00000000" w:rsidDel="00000000" w:rsidP="00000000" w:rsidRDefault="00000000" w:rsidRPr="00000000" w14:paraId="00000009">
      <w:pPr>
        <w:spacing w:after="240" w:before="240" w:lineRule="auto"/>
        <w:rPr/>
      </w:pPr>
      <w:r w:rsidDel="00000000" w:rsidR="00000000" w:rsidRPr="00000000">
        <w:rPr>
          <w:rtl w:val="0"/>
        </w:rPr>
        <w:t xml:space="preserve">Employees bring their lived experiences, cultural backgrounds, and personal histories into the workplace. These </w:t>
      </w:r>
      <w:r w:rsidDel="00000000" w:rsidR="00000000" w:rsidRPr="00000000">
        <w:rPr>
          <w:b w:val="1"/>
          <w:bCs w:val="1"/>
          <w:color w:val="551e19"/>
          <w:rtl w:val="0"/>
        </w:rPr>
        <w:t xml:space="preserve">“echoes”</w:t>
      </w:r>
      <w:r w:rsidDel="00000000" w:rsidR="00000000" w:rsidRPr="00000000">
        <w:rPr>
          <w:rtl w:val="0"/>
        </w:rPr>
        <w:t xml:space="preserve"> can influence how they perceive workplace interactions, policies, and behaviors. For example, a comment about a color may be interpreted as racially motivated when, in fact, the speaker was referring to an emotional state or a non-racial concept. Leaders must be aware of these echoes to prevent misunderstandings from escalating into grievances or legal disputes.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rPr/>
      </w:pPr>
      <w:bookmarkStart w:colFirst="0" w:colLast="0" w:name="_kte8u4u624lh" w:id="5"/>
      <w:bookmarkEnd w:id="5"/>
      <w:r w:rsidDel="00000000" w:rsidR="00000000" w:rsidRPr="00000000">
        <w:rPr>
          <w:rtl w:val="0"/>
        </w:rPr>
        <w:t xml:space="preserve">Section 3: Determining Organizational Responsibility for Perceived History</w:t>
      </w:r>
    </w:p>
    <w:p w:rsidR="00000000" w:rsidDel="00000000" w:rsidP="00000000" w:rsidRDefault="00000000" w:rsidRPr="00000000" w14:paraId="0000000C">
      <w:pPr>
        <w:spacing w:after="240" w:before="240" w:lineRule="auto"/>
        <w:rPr/>
      </w:pPr>
      <w:r w:rsidDel="00000000" w:rsidR="00000000" w:rsidRPr="00000000">
        <w:rPr>
          <w:rtl w:val="0"/>
        </w:rPr>
        <w:t xml:space="preserve">An organization cannot and should not attempt to correct every perceived societal injustice on its own. Strategic leaders must determine the </w:t>
      </w:r>
      <w:r w:rsidDel="00000000" w:rsidR="00000000" w:rsidRPr="00000000">
        <w:rPr>
          <w:b w:val="1"/>
          <w:bCs w:val="1"/>
          <w:color w:val="551e19"/>
          <w:rtl w:val="0"/>
        </w:rPr>
        <w:t xml:space="preserve">appropriate threshold</w:t>
      </w:r>
      <w:r w:rsidDel="00000000" w:rsidR="00000000" w:rsidRPr="00000000">
        <w:rPr>
          <w:rtl w:val="0"/>
        </w:rPr>
        <w:t xml:space="preserve"> for organizational responsibility:</w:t>
      </w:r>
    </w:p>
    <w:p w:rsidR="00000000" w:rsidDel="00000000" w:rsidP="00000000" w:rsidRDefault="00000000" w:rsidRPr="00000000" w14:paraId="0000000D">
      <w:pPr>
        <w:numPr>
          <w:ilvl w:val="0"/>
          <w:numId w:val="2"/>
        </w:numPr>
        <w:spacing w:before="240" w:lineRule="auto"/>
        <w:ind w:left="720" w:hanging="360"/>
      </w:pPr>
      <w:r w:rsidDel="00000000" w:rsidR="00000000" w:rsidRPr="00000000">
        <w:rPr>
          <w:b w:val="1"/>
          <w:bCs w:val="1"/>
          <w:color w:val="551e19"/>
          <w:rtl w:val="0"/>
        </w:rPr>
        <w:t xml:space="preserve">Internal Factors:</w:t>
      </w:r>
      <w:r w:rsidDel="00000000" w:rsidR="00000000" w:rsidRPr="00000000">
        <w:rPr>
          <w:rtl w:val="0"/>
        </w:rPr>
        <w:t xml:space="preserve"> Address policies, practices, and behaviors that directly impact equity within the organization (e.g., promotions, pay equity, career opportunities).</w:t>
      </w:r>
    </w:p>
    <w:p w:rsidR="00000000" w:rsidDel="00000000" w:rsidP="00000000" w:rsidRDefault="00000000" w:rsidRPr="00000000" w14:paraId="0000000E">
      <w:pPr>
        <w:numPr>
          <w:ilvl w:val="0"/>
          <w:numId w:val="2"/>
        </w:numPr>
        <w:ind w:left="720" w:hanging="360"/>
      </w:pPr>
      <w:r w:rsidDel="00000000" w:rsidR="00000000" w:rsidRPr="00000000">
        <w:rPr>
          <w:b w:val="1"/>
          <w:bCs w:val="1"/>
          <w:color w:val="551e19"/>
          <w:rtl w:val="0"/>
        </w:rPr>
        <w:t xml:space="preserve">External Factors:</w:t>
      </w:r>
      <w:r w:rsidDel="00000000" w:rsidR="00000000" w:rsidRPr="00000000">
        <w:rPr>
          <w:rtl w:val="0"/>
        </w:rPr>
        <w:t xml:space="preserve"> Recognize that broader societal inequities exist, but consider carefully how much resource allocation toward external advocacy aligns with the organization’s mission and risk tolerance.</w:t>
      </w:r>
    </w:p>
    <w:p w:rsidR="00000000" w:rsidDel="00000000" w:rsidP="00000000" w:rsidRDefault="00000000" w:rsidRPr="00000000" w14:paraId="0000000F">
      <w:pPr>
        <w:numPr>
          <w:ilvl w:val="0"/>
          <w:numId w:val="2"/>
        </w:numPr>
        <w:spacing w:after="240" w:lineRule="auto"/>
        <w:ind w:left="720" w:hanging="360"/>
      </w:pPr>
      <w:r w:rsidDel="00000000" w:rsidR="00000000" w:rsidRPr="00000000">
        <w:rPr>
          <w:b w:val="1"/>
          <w:bCs w:val="1"/>
          <w:color w:val="551e19"/>
          <w:rtl w:val="0"/>
        </w:rPr>
        <w:t xml:space="preserve">Boundaries:</w:t>
      </w:r>
      <w:r w:rsidDel="00000000" w:rsidR="00000000" w:rsidRPr="00000000">
        <w:rPr>
          <w:rtl w:val="0"/>
        </w:rPr>
        <w:t xml:space="preserve"> Define what is within the organization’s control versus what is best addressed through partnerships, community engagement, or policy advocacy.</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rPr/>
      </w:pPr>
      <w:bookmarkStart w:colFirst="0" w:colLast="0" w:name="_1zme00gty29a" w:id="6"/>
      <w:bookmarkEnd w:id="6"/>
      <w:r w:rsidDel="00000000" w:rsidR="00000000" w:rsidRPr="00000000">
        <w:rPr>
          <w:rtl w:val="0"/>
        </w:rPr>
        <w:t xml:space="preserve">Section 4: Shifting from Excusing to Enabling</w:t>
      </w:r>
    </w:p>
    <w:p w:rsidR="00000000" w:rsidDel="00000000" w:rsidP="00000000" w:rsidRDefault="00000000" w:rsidRPr="00000000" w14:paraId="00000012">
      <w:pPr>
        <w:spacing w:after="240" w:before="240" w:lineRule="auto"/>
        <w:rPr/>
      </w:pPr>
      <w:r w:rsidDel="00000000" w:rsidR="00000000" w:rsidRPr="00000000">
        <w:rPr>
          <w:rtl w:val="0"/>
        </w:rPr>
        <w:t xml:space="preserve">While it is important to acknowledge the historical context employees bring with them, organizations must avoid</w:t>
      </w:r>
      <w:r w:rsidDel="00000000" w:rsidR="00000000" w:rsidRPr="00000000">
        <w:rPr>
          <w:color w:val="551e19"/>
          <w:rtl w:val="0"/>
        </w:rPr>
        <w:t xml:space="preserve"> </w:t>
      </w:r>
      <w:r w:rsidDel="00000000" w:rsidR="00000000" w:rsidRPr="00000000">
        <w:rPr>
          <w:b w:val="1"/>
          <w:bCs w:val="1"/>
          <w:color w:val="551e19"/>
          <w:rtl w:val="0"/>
        </w:rPr>
        <w:t xml:space="preserve">excusing a lack of readiness or qualifications</w:t>
      </w:r>
      <w:r w:rsidDel="00000000" w:rsidR="00000000" w:rsidRPr="00000000">
        <w:rPr>
          <w:rtl w:val="0"/>
        </w:rPr>
        <w:t xml:space="preserve"> solely on that basis. Instead, the focus should shift to enabling success:</w:t>
      </w:r>
    </w:p>
    <w:p w:rsidR="00000000" w:rsidDel="00000000" w:rsidP="00000000" w:rsidRDefault="00000000" w:rsidRPr="00000000" w14:paraId="00000013">
      <w:pPr>
        <w:numPr>
          <w:ilvl w:val="0"/>
          <w:numId w:val="6"/>
        </w:numPr>
        <w:spacing w:before="240" w:lineRule="auto"/>
        <w:ind w:left="720" w:hanging="360"/>
      </w:pPr>
      <w:r w:rsidDel="00000000" w:rsidR="00000000" w:rsidRPr="00000000">
        <w:rPr>
          <w:b w:val="1"/>
          <w:bCs w:val="1"/>
          <w:color w:val="551e19"/>
          <w:rtl w:val="0"/>
        </w:rPr>
        <w:t xml:space="preserve">Training &amp; Upskilling:</w:t>
      </w:r>
      <w:r w:rsidDel="00000000" w:rsidR="00000000" w:rsidRPr="00000000">
        <w:rPr>
          <w:rtl w:val="0"/>
        </w:rPr>
        <w:t xml:space="preserve"> Offer targeted learning opportunities to close knowledge or skill gaps.</w:t>
      </w:r>
    </w:p>
    <w:p w:rsidR="00000000" w:rsidDel="00000000" w:rsidP="00000000" w:rsidRDefault="00000000" w:rsidRPr="00000000" w14:paraId="00000014">
      <w:pPr>
        <w:numPr>
          <w:ilvl w:val="0"/>
          <w:numId w:val="6"/>
        </w:numPr>
        <w:ind w:left="720" w:hanging="360"/>
      </w:pPr>
      <w:r w:rsidDel="00000000" w:rsidR="00000000" w:rsidRPr="00000000">
        <w:rPr>
          <w:b w:val="1"/>
          <w:bCs w:val="1"/>
          <w:color w:val="551e19"/>
          <w:rtl w:val="0"/>
        </w:rPr>
        <w:t xml:space="preserve">Mentorship &amp; Sponsorship:</w:t>
      </w:r>
      <w:r w:rsidDel="00000000" w:rsidR="00000000" w:rsidRPr="00000000">
        <w:rPr>
          <w:rtl w:val="0"/>
        </w:rPr>
        <w:t xml:space="preserve"> Provide access to leaders and mentors who can help employees build confidence and capability.</w:t>
      </w:r>
    </w:p>
    <w:p w:rsidR="00000000" w:rsidDel="00000000" w:rsidP="00000000" w:rsidRDefault="00000000" w:rsidRPr="00000000" w14:paraId="00000015">
      <w:pPr>
        <w:numPr>
          <w:ilvl w:val="0"/>
          <w:numId w:val="6"/>
        </w:numPr>
        <w:spacing w:after="240" w:lineRule="auto"/>
        <w:ind w:left="720" w:hanging="360"/>
      </w:pPr>
      <w:r w:rsidDel="00000000" w:rsidR="00000000" w:rsidRPr="00000000">
        <w:rPr>
          <w:b w:val="1"/>
          <w:bCs w:val="1"/>
          <w:color w:val="551e19"/>
          <w:rtl w:val="0"/>
        </w:rPr>
        <w:t xml:space="preserve">Clear Pathways:</w:t>
      </w:r>
      <w:r w:rsidDel="00000000" w:rsidR="00000000" w:rsidRPr="00000000">
        <w:rPr>
          <w:rtl w:val="0"/>
        </w:rPr>
        <w:t xml:space="preserve"> Design structured career pathways that emphasize competency development and readiness for advancement.</w:t>
      </w:r>
    </w:p>
    <w:p w:rsidR="00000000" w:rsidDel="00000000" w:rsidP="00000000" w:rsidRDefault="00000000" w:rsidRPr="00000000" w14:paraId="00000016">
      <w:pPr>
        <w:spacing w:after="240" w:before="240" w:lineRule="auto"/>
        <w:rPr/>
      </w:pPr>
      <w:r w:rsidDel="00000000" w:rsidR="00000000" w:rsidRPr="00000000">
        <w:rPr>
          <w:rtl w:val="0"/>
        </w:rPr>
        <w:t xml:space="preserve">By focusing on enablement rather than exception, organizations empower all employees to succeed based on merit while supporting equitable access to opportunity.</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rPr/>
      </w:pPr>
      <w:bookmarkStart w:colFirst="0" w:colLast="0" w:name="_urr9s2o1hda0" w:id="7"/>
      <w:bookmarkEnd w:id="7"/>
      <w:r w:rsidDel="00000000" w:rsidR="00000000" w:rsidRPr="00000000">
        <w:rPr>
          <w:rtl w:val="0"/>
        </w:rPr>
        <w:t xml:space="preserve">Section 5: Risks of Assuming Racism or Discrimination When None Exists</w:t>
      </w:r>
    </w:p>
    <w:p w:rsidR="00000000" w:rsidDel="00000000" w:rsidP="00000000" w:rsidRDefault="00000000" w:rsidRPr="00000000" w14:paraId="00000019">
      <w:pPr>
        <w:spacing w:after="240" w:before="240" w:lineRule="auto"/>
        <w:rPr>
          <w:b w:val="1"/>
          <w:bCs w:val="1"/>
          <w:color w:val="551e19"/>
        </w:rPr>
      </w:pPr>
      <w:r w:rsidDel="00000000" w:rsidR="00000000" w:rsidRPr="00000000">
        <w:rPr>
          <w:b w:val="1"/>
          <w:bCs w:val="1"/>
          <w:color w:val="551e19"/>
          <w:rtl w:val="0"/>
        </w:rPr>
        <w:t xml:space="preserve">For Organizations:</w:t>
      </w:r>
    </w:p>
    <w:p w:rsidR="00000000" w:rsidDel="00000000" w:rsidP="00000000" w:rsidRDefault="00000000" w:rsidRPr="00000000" w14:paraId="0000001A">
      <w:pPr>
        <w:numPr>
          <w:ilvl w:val="0"/>
          <w:numId w:val="4"/>
        </w:numPr>
        <w:spacing w:before="240" w:lineRule="auto"/>
        <w:ind w:left="720" w:hanging="360"/>
      </w:pPr>
      <w:r w:rsidDel="00000000" w:rsidR="00000000" w:rsidRPr="00000000">
        <w:rPr>
          <w:b w:val="1"/>
          <w:bCs w:val="1"/>
          <w:color w:val="551e19"/>
          <w:rtl w:val="0"/>
        </w:rPr>
        <w:t xml:space="preserve">Legal Liability:</w:t>
      </w:r>
      <w:r w:rsidDel="00000000" w:rsidR="00000000" w:rsidRPr="00000000">
        <w:rPr>
          <w:rtl w:val="0"/>
        </w:rPr>
        <w:t xml:space="preserve"> Misinterpreting or mishandling situations can expose the organization to lawsuits, including claims of reverse discrimination.</w:t>
      </w:r>
    </w:p>
    <w:p w:rsidR="00000000" w:rsidDel="00000000" w:rsidP="00000000" w:rsidRDefault="00000000" w:rsidRPr="00000000" w14:paraId="0000001B">
      <w:pPr>
        <w:numPr>
          <w:ilvl w:val="0"/>
          <w:numId w:val="4"/>
        </w:numPr>
        <w:ind w:left="720" w:hanging="360"/>
      </w:pPr>
      <w:r w:rsidDel="00000000" w:rsidR="00000000" w:rsidRPr="00000000">
        <w:rPr>
          <w:b w:val="1"/>
          <w:bCs w:val="1"/>
          <w:color w:val="551e19"/>
          <w:rtl w:val="0"/>
        </w:rPr>
        <w:t xml:space="preserve">Erosion of DEI Goals:</w:t>
      </w:r>
      <w:r w:rsidDel="00000000" w:rsidR="00000000" w:rsidRPr="00000000">
        <w:rPr>
          <w:rtl w:val="0"/>
        </w:rPr>
        <w:t xml:space="preserve"> Overreaction can undermine credibility and reduce trust in DEI initiatives, making employees less likely to engage in good faith.</w:t>
      </w:r>
    </w:p>
    <w:p w:rsidR="00000000" w:rsidDel="00000000" w:rsidP="00000000" w:rsidRDefault="00000000" w:rsidRPr="00000000" w14:paraId="0000001C">
      <w:pPr>
        <w:numPr>
          <w:ilvl w:val="0"/>
          <w:numId w:val="4"/>
        </w:numPr>
        <w:spacing w:after="240" w:lineRule="auto"/>
        <w:ind w:left="720" w:hanging="360"/>
      </w:pPr>
      <w:r w:rsidDel="00000000" w:rsidR="00000000" w:rsidRPr="00000000">
        <w:rPr>
          <w:b w:val="1"/>
          <w:bCs w:val="1"/>
          <w:color w:val="551e19"/>
          <w:rtl w:val="0"/>
        </w:rPr>
        <w:t xml:space="preserve">Reputation Risk:</w:t>
      </w:r>
      <w:r w:rsidDel="00000000" w:rsidR="00000000" w:rsidRPr="00000000">
        <w:rPr>
          <w:rtl w:val="0"/>
        </w:rPr>
        <w:t xml:space="preserve"> Public missteps can damage brand reputation and stakeholder confidence.</w:t>
      </w:r>
    </w:p>
    <w:p w:rsidR="00000000" w:rsidDel="00000000" w:rsidP="00000000" w:rsidRDefault="00000000" w:rsidRPr="00000000" w14:paraId="0000001D">
      <w:pPr>
        <w:spacing w:after="240" w:lineRule="auto"/>
        <w:ind w:left="0" w:firstLine="0"/>
        <w:rPr/>
      </w:pPr>
      <w:r w:rsidDel="00000000" w:rsidR="00000000" w:rsidRPr="00000000">
        <w:rPr>
          <w:rtl w:val="0"/>
        </w:rPr>
      </w:r>
    </w:p>
    <w:p w:rsidR="00000000" w:rsidDel="00000000" w:rsidP="00000000" w:rsidRDefault="00000000" w:rsidRPr="00000000" w14:paraId="0000001E">
      <w:pPr>
        <w:spacing w:after="240" w:before="240" w:lineRule="auto"/>
        <w:rPr>
          <w:b w:val="1"/>
          <w:bCs w:val="1"/>
          <w:color w:val="551e19"/>
        </w:rPr>
      </w:pPr>
      <w:r w:rsidDel="00000000" w:rsidR="00000000" w:rsidRPr="00000000">
        <w:rPr>
          <w:b w:val="1"/>
          <w:bCs w:val="1"/>
          <w:color w:val="551e19"/>
          <w:rtl w:val="0"/>
        </w:rPr>
        <w:t xml:space="preserve">For Individuals:</w:t>
      </w:r>
    </w:p>
    <w:p w:rsidR="00000000" w:rsidDel="00000000" w:rsidP="00000000" w:rsidRDefault="00000000" w:rsidRPr="00000000" w14:paraId="0000001F">
      <w:pPr>
        <w:numPr>
          <w:ilvl w:val="0"/>
          <w:numId w:val="3"/>
        </w:numPr>
        <w:spacing w:before="240" w:lineRule="auto"/>
        <w:ind w:left="720" w:hanging="360"/>
      </w:pPr>
      <w:r w:rsidDel="00000000" w:rsidR="00000000" w:rsidRPr="00000000">
        <w:rPr>
          <w:b w:val="1"/>
          <w:bCs w:val="1"/>
          <w:color w:val="551e19"/>
          <w:rtl w:val="0"/>
        </w:rPr>
        <w:t xml:space="preserve">Unwarranted Consequences:</w:t>
      </w:r>
      <w:r w:rsidDel="00000000" w:rsidR="00000000" w:rsidRPr="00000000">
        <w:rPr>
          <w:rtl w:val="0"/>
        </w:rPr>
        <w:t xml:space="preserve"> Employees or students may suffer unfair disciplinary actions, damaging morale and career progression.</w:t>
      </w:r>
    </w:p>
    <w:p w:rsidR="00000000" w:rsidDel="00000000" w:rsidP="00000000" w:rsidRDefault="00000000" w:rsidRPr="00000000" w14:paraId="00000020">
      <w:pPr>
        <w:numPr>
          <w:ilvl w:val="0"/>
          <w:numId w:val="3"/>
        </w:numPr>
        <w:ind w:left="720" w:hanging="360"/>
      </w:pPr>
      <w:r w:rsidDel="00000000" w:rsidR="00000000" w:rsidRPr="00000000">
        <w:rPr>
          <w:b w:val="1"/>
          <w:bCs w:val="1"/>
          <w:color w:val="551e19"/>
          <w:rtl w:val="0"/>
        </w:rPr>
        <w:t xml:space="preserve">Workplace Division:</w:t>
      </w:r>
      <w:r w:rsidDel="00000000" w:rsidR="00000000" w:rsidRPr="00000000">
        <w:rPr>
          <w:rtl w:val="0"/>
        </w:rPr>
        <w:t xml:space="preserve"> False assumptions can create tension and erode psychological safety across teams.</w:t>
      </w:r>
    </w:p>
    <w:p w:rsidR="00000000" w:rsidDel="00000000" w:rsidP="00000000" w:rsidRDefault="00000000" w:rsidRPr="00000000" w14:paraId="00000021">
      <w:pPr>
        <w:numPr>
          <w:ilvl w:val="0"/>
          <w:numId w:val="3"/>
        </w:numPr>
        <w:spacing w:after="240" w:lineRule="auto"/>
        <w:ind w:left="720" w:hanging="360"/>
      </w:pPr>
      <w:r w:rsidDel="00000000" w:rsidR="00000000" w:rsidRPr="00000000">
        <w:rPr>
          <w:b w:val="1"/>
          <w:bCs w:val="1"/>
          <w:color w:val="551e19"/>
          <w:rtl w:val="0"/>
        </w:rPr>
        <w:t xml:space="preserve">Emotional Toll:</w:t>
      </w:r>
      <w:r w:rsidDel="00000000" w:rsidR="00000000" w:rsidRPr="00000000">
        <w:rPr>
          <w:rtl w:val="0"/>
        </w:rPr>
        <w:t xml:space="preserve"> Being mischaracterized as discriminatory can lead to isolation, disengagement, or mental health challenges.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rPr/>
      </w:pPr>
      <w:bookmarkStart w:colFirst="0" w:colLast="0" w:name="_qbtycwpfc1xs" w:id="8"/>
      <w:bookmarkEnd w:id="8"/>
      <w:r w:rsidDel="00000000" w:rsidR="00000000" w:rsidRPr="00000000">
        <w:rPr>
          <w:rtl w:val="0"/>
        </w:rPr>
        <w:t xml:space="preserve">Section 6: Tools to Identify and Mitigate Confirmation Bias</w:t>
      </w:r>
    </w:p>
    <w:p w:rsidR="00000000" w:rsidDel="00000000" w:rsidP="00000000" w:rsidRDefault="00000000" w:rsidRPr="00000000" w14:paraId="00000024">
      <w:pPr>
        <w:numPr>
          <w:ilvl w:val="0"/>
          <w:numId w:val="5"/>
        </w:numPr>
        <w:spacing w:before="240" w:lineRule="auto"/>
        <w:ind w:left="720" w:hanging="360"/>
      </w:pPr>
      <w:r w:rsidDel="00000000" w:rsidR="00000000" w:rsidRPr="00000000">
        <w:rPr>
          <w:b w:val="1"/>
          <w:bCs w:val="1"/>
          <w:color w:val="551e19"/>
          <w:rtl w:val="0"/>
        </w:rPr>
        <w:t xml:space="preserve">Pause and Reflect</w:t>
      </w:r>
      <w:r w:rsidDel="00000000" w:rsidR="00000000" w:rsidRPr="00000000">
        <w:rPr>
          <w:color w:val="551e19"/>
          <w:rtl w:val="0"/>
        </w:rPr>
        <w:t xml:space="preserve">:</w:t>
      </w:r>
      <w:r w:rsidDel="00000000" w:rsidR="00000000" w:rsidRPr="00000000">
        <w:rPr>
          <w:rtl w:val="0"/>
        </w:rPr>
        <w:t xml:space="preserve"> Slow down responses to emotionally charged incidents. Ask: </w:t>
      </w:r>
      <w:r w:rsidDel="00000000" w:rsidR="00000000" w:rsidRPr="00000000">
        <w:rPr>
          <w:i w:val="1"/>
          <w:iCs w:val="1"/>
          <w:rtl w:val="0"/>
        </w:rPr>
        <w:t xml:space="preserve">“What else could this mean?”</w:t>
      </w:r>
      <w:r w:rsidDel="00000000" w:rsidR="00000000" w:rsidRPr="00000000">
        <w:rPr>
          <w:rtl w:val="0"/>
        </w:rPr>
      </w:r>
    </w:p>
    <w:p w:rsidR="00000000" w:rsidDel="00000000" w:rsidP="00000000" w:rsidRDefault="00000000" w:rsidRPr="00000000" w14:paraId="00000025">
      <w:pPr>
        <w:numPr>
          <w:ilvl w:val="0"/>
          <w:numId w:val="5"/>
        </w:numPr>
        <w:ind w:left="720" w:hanging="360"/>
      </w:pPr>
      <w:r w:rsidDel="00000000" w:rsidR="00000000" w:rsidRPr="00000000">
        <w:rPr>
          <w:b w:val="1"/>
          <w:bCs w:val="1"/>
          <w:color w:val="551e19"/>
          <w:rtl w:val="0"/>
        </w:rPr>
        <w:t xml:space="preserve">Seek Clarification</w:t>
      </w:r>
      <w:r w:rsidDel="00000000" w:rsidR="00000000" w:rsidRPr="00000000">
        <w:rPr>
          <w:color w:val="551e19"/>
          <w:rtl w:val="0"/>
        </w:rPr>
        <w:t xml:space="preserve">:</w:t>
      </w:r>
      <w:r w:rsidDel="00000000" w:rsidR="00000000" w:rsidRPr="00000000">
        <w:rPr>
          <w:rtl w:val="0"/>
        </w:rPr>
        <w:t xml:space="preserve"> Encourage respectful inquiry by asking individuals to explain their perspective.</w:t>
      </w:r>
    </w:p>
    <w:p w:rsidR="00000000" w:rsidDel="00000000" w:rsidP="00000000" w:rsidRDefault="00000000" w:rsidRPr="00000000" w14:paraId="00000026">
      <w:pPr>
        <w:numPr>
          <w:ilvl w:val="0"/>
          <w:numId w:val="5"/>
        </w:numPr>
        <w:ind w:left="720" w:hanging="360"/>
      </w:pPr>
      <w:r w:rsidDel="00000000" w:rsidR="00000000" w:rsidRPr="00000000">
        <w:rPr>
          <w:b w:val="1"/>
          <w:bCs w:val="1"/>
          <w:color w:val="551e19"/>
          <w:rtl w:val="0"/>
        </w:rPr>
        <w:t xml:space="preserve">Use Multiple Perspectives</w:t>
      </w:r>
      <w:r w:rsidDel="00000000" w:rsidR="00000000" w:rsidRPr="00000000">
        <w:rPr>
          <w:color w:val="551e19"/>
          <w:rtl w:val="0"/>
        </w:rPr>
        <w:t xml:space="preserve">:</w:t>
      </w:r>
      <w:r w:rsidDel="00000000" w:rsidR="00000000" w:rsidRPr="00000000">
        <w:rPr>
          <w:rtl w:val="0"/>
        </w:rPr>
        <w:t xml:space="preserve"> Involve colleagues, HR leaders, or third-party facilitators to reduce personal blind spots.</w:t>
      </w:r>
    </w:p>
    <w:p w:rsidR="00000000" w:rsidDel="00000000" w:rsidP="00000000" w:rsidRDefault="00000000" w:rsidRPr="00000000" w14:paraId="00000027">
      <w:pPr>
        <w:numPr>
          <w:ilvl w:val="0"/>
          <w:numId w:val="5"/>
        </w:numPr>
        <w:ind w:left="720" w:hanging="360"/>
      </w:pPr>
      <w:r w:rsidDel="00000000" w:rsidR="00000000" w:rsidRPr="00000000">
        <w:rPr>
          <w:b w:val="1"/>
          <w:bCs w:val="1"/>
          <w:color w:val="551e19"/>
          <w:rtl w:val="0"/>
        </w:rPr>
        <w:t xml:space="preserve">Document Factually</w:t>
      </w:r>
      <w:r w:rsidDel="00000000" w:rsidR="00000000" w:rsidRPr="00000000">
        <w:rPr>
          <w:color w:val="551e19"/>
          <w:rtl w:val="0"/>
        </w:rPr>
        <w:t xml:space="preserve">:</w:t>
      </w:r>
      <w:r w:rsidDel="00000000" w:rsidR="00000000" w:rsidRPr="00000000">
        <w:rPr>
          <w:rtl w:val="0"/>
        </w:rPr>
        <w:t xml:space="preserve"> Capture what was said or observed without adding assumptions or interpretations.</w:t>
      </w:r>
    </w:p>
    <w:p w:rsidR="00000000" w:rsidDel="00000000" w:rsidP="00000000" w:rsidRDefault="00000000" w:rsidRPr="00000000" w14:paraId="00000028">
      <w:pPr>
        <w:numPr>
          <w:ilvl w:val="0"/>
          <w:numId w:val="5"/>
        </w:numPr>
        <w:ind w:left="720" w:hanging="360"/>
      </w:pPr>
      <w:r w:rsidDel="00000000" w:rsidR="00000000" w:rsidRPr="00000000">
        <w:rPr>
          <w:b w:val="1"/>
          <w:bCs w:val="1"/>
          <w:color w:val="551e19"/>
          <w:rtl w:val="0"/>
        </w:rPr>
        <w:t xml:space="preserve">Provide Training</w:t>
      </w:r>
      <w:r w:rsidDel="00000000" w:rsidR="00000000" w:rsidRPr="00000000">
        <w:rPr>
          <w:color w:val="551e19"/>
          <w:rtl w:val="0"/>
        </w:rPr>
        <w:t xml:space="preserve">:</w:t>
      </w:r>
      <w:r w:rsidDel="00000000" w:rsidR="00000000" w:rsidRPr="00000000">
        <w:rPr>
          <w:rtl w:val="0"/>
        </w:rPr>
        <w:t xml:space="preserve"> Offer ongoing workshops on bias awareness, cultural competency, and inclusive leadership.</w:t>
      </w:r>
    </w:p>
    <w:p w:rsidR="00000000" w:rsidDel="00000000" w:rsidP="00000000" w:rsidRDefault="00000000" w:rsidRPr="00000000" w14:paraId="00000029">
      <w:pPr>
        <w:numPr>
          <w:ilvl w:val="0"/>
          <w:numId w:val="5"/>
        </w:numPr>
        <w:spacing w:after="240" w:lineRule="auto"/>
        <w:ind w:left="720" w:hanging="360"/>
      </w:pPr>
      <w:r w:rsidDel="00000000" w:rsidR="00000000" w:rsidRPr="00000000">
        <w:rPr>
          <w:b w:val="1"/>
          <w:bCs w:val="1"/>
          <w:color w:val="551e19"/>
          <w:rtl w:val="0"/>
        </w:rPr>
        <w:t xml:space="preserve">Foster Psychological Safety</w:t>
      </w:r>
      <w:r w:rsidDel="00000000" w:rsidR="00000000" w:rsidRPr="00000000">
        <w:rPr>
          <w:color w:val="551e19"/>
          <w:rtl w:val="0"/>
        </w:rPr>
        <w:t xml:space="preserve">:</w:t>
      </w:r>
      <w:r w:rsidDel="00000000" w:rsidR="00000000" w:rsidRPr="00000000">
        <w:rPr>
          <w:color w:val="551e19"/>
          <w:rtl w:val="0"/>
        </w:rPr>
        <w:t xml:space="preserve"> </w:t>
      </w:r>
      <w:r w:rsidDel="00000000" w:rsidR="00000000" w:rsidRPr="00000000">
        <w:rPr>
          <w:rtl w:val="0"/>
        </w:rPr>
        <w:t xml:space="preserve">Promote an environment where employees feel comfortable expressing themselves and raising concerns without fear of judgment.</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rPr/>
      </w:pPr>
      <w:bookmarkStart w:colFirst="0" w:colLast="0" w:name="_6tjxwjoynybq" w:id="9"/>
      <w:bookmarkEnd w:id="9"/>
      <w:r w:rsidDel="00000000" w:rsidR="00000000" w:rsidRPr="00000000">
        <w:rPr>
          <w:rtl w:val="0"/>
        </w:rPr>
        <w:t xml:space="preserve">Section 7. Measuring Outcomes and Continuous Adjustment</w:t>
      </w:r>
    </w:p>
    <w:p w:rsidR="00000000" w:rsidDel="00000000" w:rsidP="00000000" w:rsidRDefault="00000000" w:rsidRPr="00000000" w14:paraId="0000002C">
      <w:pPr>
        <w:numPr>
          <w:ilvl w:val="0"/>
          <w:numId w:val="1"/>
        </w:numPr>
        <w:spacing w:before="240" w:lineRule="auto"/>
        <w:ind w:left="720" w:hanging="360"/>
      </w:pPr>
      <w:r w:rsidDel="00000000" w:rsidR="00000000" w:rsidRPr="00000000">
        <w:rPr>
          <w:b w:val="1"/>
          <w:bCs w:val="1"/>
          <w:color w:val="551e19"/>
          <w:rtl w:val="0"/>
        </w:rPr>
        <w:t xml:space="preserve">Metrics:</w:t>
      </w:r>
      <w:r w:rsidDel="00000000" w:rsidR="00000000" w:rsidRPr="00000000">
        <w:rPr>
          <w:color w:val="551e19"/>
          <w:rtl w:val="0"/>
        </w:rPr>
        <w:t xml:space="preserve"> </w:t>
      </w:r>
      <w:r w:rsidDel="00000000" w:rsidR="00000000" w:rsidRPr="00000000">
        <w:rPr>
          <w:rtl w:val="0"/>
        </w:rPr>
        <w:t xml:space="preserve">Track employee engagement, retention, promotion rates, skill development, and complaint trends.</w:t>
      </w:r>
    </w:p>
    <w:p w:rsidR="00000000" w:rsidDel="00000000" w:rsidP="00000000" w:rsidRDefault="00000000" w:rsidRPr="00000000" w14:paraId="0000002D">
      <w:pPr>
        <w:numPr>
          <w:ilvl w:val="0"/>
          <w:numId w:val="1"/>
        </w:numPr>
        <w:ind w:left="720" w:hanging="360"/>
      </w:pPr>
      <w:r w:rsidDel="00000000" w:rsidR="00000000" w:rsidRPr="00000000">
        <w:rPr>
          <w:b w:val="1"/>
          <w:bCs w:val="1"/>
          <w:color w:val="551e19"/>
          <w:rtl w:val="0"/>
        </w:rPr>
        <w:t xml:space="preserve">Feedback Loops:</w:t>
      </w:r>
      <w:r w:rsidDel="00000000" w:rsidR="00000000" w:rsidRPr="00000000">
        <w:rPr>
          <w:color w:val="551e19"/>
          <w:rtl w:val="0"/>
        </w:rPr>
        <w:t xml:space="preserve"> </w:t>
      </w:r>
      <w:r w:rsidDel="00000000" w:rsidR="00000000" w:rsidRPr="00000000">
        <w:rPr>
          <w:rtl w:val="0"/>
        </w:rPr>
        <w:t xml:space="preserve">Use surveys, focus groups, and manager check-ins to monitor evolving perceptions.</w:t>
      </w:r>
    </w:p>
    <w:p w:rsidR="00000000" w:rsidDel="00000000" w:rsidP="00000000" w:rsidRDefault="00000000" w:rsidRPr="00000000" w14:paraId="0000002E">
      <w:pPr>
        <w:numPr>
          <w:ilvl w:val="0"/>
          <w:numId w:val="1"/>
        </w:numPr>
        <w:spacing w:after="240" w:lineRule="auto"/>
        <w:ind w:left="720" w:hanging="360"/>
      </w:pPr>
      <w:r w:rsidDel="00000000" w:rsidR="00000000" w:rsidRPr="00000000">
        <w:rPr>
          <w:b w:val="1"/>
          <w:bCs w:val="1"/>
          <w:color w:val="551e19"/>
          <w:rtl w:val="0"/>
        </w:rPr>
        <w:t xml:space="preserve">Adjustments:</w:t>
      </w:r>
      <w:r w:rsidDel="00000000" w:rsidR="00000000" w:rsidRPr="00000000">
        <w:rPr>
          <w:rtl w:val="0"/>
        </w:rPr>
        <w:t xml:space="preserve"> Revisit the DEI Threshold Framework annually to ensure alignment with organizational strategy and changing external realities.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rPr/>
      </w:pPr>
      <w:bookmarkStart w:colFirst="0" w:colLast="0" w:name="_9uezkqlh6a7x" w:id="10"/>
      <w:bookmarkEnd w:id="10"/>
      <w:r w:rsidDel="00000000" w:rsidR="00000000" w:rsidRPr="00000000">
        <w:rPr>
          <w:rtl w:val="0"/>
        </w:rPr>
        <w:t xml:space="preserve">Conclusion</w:t>
      </w:r>
    </w:p>
    <w:p w:rsidR="00000000" w:rsidDel="00000000" w:rsidP="00000000" w:rsidRDefault="00000000" w:rsidRPr="00000000" w14:paraId="00000031">
      <w:pPr>
        <w:spacing w:after="240" w:before="240" w:lineRule="auto"/>
        <w:rPr/>
      </w:pPr>
      <w:r w:rsidDel="00000000" w:rsidR="00000000" w:rsidRPr="00000000">
        <w:rPr>
          <w:rtl w:val="0"/>
        </w:rPr>
        <w:t xml:space="preserve">A balanced DEI strategy requires</w:t>
      </w:r>
      <w:r w:rsidDel="00000000" w:rsidR="00000000" w:rsidRPr="00000000">
        <w:rPr>
          <w:color w:val="551e19"/>
          <w:rtl w:val="0"/>
        </w:rPr>
        <w:t xml:space="preserve"> </w:t>
      </w:r>
      <w:r w:rsidDel="00000000" w:rsidR="00000000" w:rsidRPr="00000000">
        <w:rPr>
          <w:b w:val="1"/>
          <w:bCs w:val="1"/>
          <w:color w:val="551e19"/>
          <w:rtl w:val="0"/>
        </w:rPr>
        <w:t xml:space="preserve">courage, clarity, and consistency.</w:t>
      </w:r>
      <w:r w:rsidDel="00000000" w:rsidR="00000000" w:rsidRPr="00000000">
        <w:rPr>
          <w:rtl w:val="0"/>
        </w:rPr>
        <w:t xml:space="preserve"> By setting a clear </w:t>
      </w:r>
      <w:r w:rsidDel="00000000" w:rsidR="00000000" w:rsidRPr="00000000">
        <w:rPr>
          <w:b w:val="1"/>
          <w:bCs w:val="1"/>
          <w:color w:val="551e19"/>
          <w:rtl w:val="0"/>
        </w:rPr>
        <w:t xml:space="preserve">DEI Threshold</w:t>
      </w:r>
      <w:r w:rsidDel="00000000" w:rsidR="00000000" w:rsidRPr="00000000">
        <w:rPr>
          <w:rtl w:val="0"/>
        </w:rPr>
        <w:t xml:space="preserve">, leaders ensure their organizations remain both equitable and effective, addressing legitimate internal barriers while avoiding overreactions that can create unintended discrimination. With structured training, a focus on development, and thoughtful governance, organizations can build cultures of fairness that resonate across all levels of the workforce.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i w:val="1"/>
          <w:iCs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color w:val="999999"/>
        <w:sz w:val="16"/>
        <w:szCs w:val="16"/>
      </w:rPr>
    </w:pPr>
    <w:r w:rsidDel="00000000" w:rsidR="00000000" w:rsidRPr="00000000">
      <w:rPr>
        <w:color w:val="999999"/>
        <w:sz w:val="16"/>
        <w:szCs w:val="16"/>
        <w:rtl w:val="0"/>
      </w:rPr>
      <w:t xml:space="preserve">Prairie Business Evolutions, LLC | </w:t>
    </w:r>
  </w:p>
  <w:p w:rsidR="00000000" w:rsidDel="00000000" w:rsidP="00000000" w:rsidRDefault="00000000" w:rsidRPr="00000000" w14:paraId="0000003E">
    <w:pPr>
      <w:rPr>
        <w:color w:val="999999"/>
      </w:rPr>
    </w:pPr>
    <w:r w:rsidDel="00000000" w:rsidR="00000000" w:rsidRPr="00000000">
      <w:rPr>
        <w:color w:val="999999"/>
        <w:rtl w:val="0"/>
      </w:rPr>
      <w:tab/>
      <w:tab/>
      <w:tab/>
      <w:tab/>
      <w:tab/>
      <w:tab/>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036">
    <w:pPr>
      <w:spacing w:line="6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037">
          <w:pPr>
            <w:rPr/>
          </w:pPr>
          <w:r w:rsidDel="00000000" w:rsidR="00000000" w:rsidRPr="00000000">
            <w:rPr/>
            <w:drawing>
              <wp:inline distB="114300" distT="114300" distL="114300" distR="114300">
                <wp:extent cx="655478" cy="5435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3A">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03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