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5D1DD" w14:textId="094CAAF3" w:rsidR="00F8601E" w:rsidRPr="00FF3DAD" w:rsidRDefault="00F8601E" w:rsidP="002F5442">
      <w:pPr>
        <w:pStyle w:val="Title"/>
        <w:jc w:val="center"/>
        <w:rPr>
          <w:sz w:val="32"/>
          <w:szCs w:val="32"/>
        </w:rPr>
      </w:pPr>
      <w:r>
        <w:t xml:space="preserve">Rail-Grid Collaborative </w:t>
      </w:r>
      <w:r w:rsidR="00CE5879">
        <w:t>NEWS</w:t>
      </w:r>
      <w:r w:rsidR="00A730D9">
        <w:t>. No. 2</w:t>
      </w:r>
    </w:p>
    <w:p w14:paraId="14890D27" w14:textId="14EE76E9" w:rsidR="001C7CD7" w:rsidRPr="001C7CD7" w:rsidRDefault="00CC295F" w:rsidP="001C7CD7">
      <w:pPr>
        <w:jc w:val="center"/>
      </w:pPr>
      <w:r>
        <w:t>January 1</w:t>
      </w:r>
      <w:r w:rsidR="001C7CD7">
        <w:t xml:space="preserve">, </w:t>
      </w:r>
      <w:proofErr w:type="gramStart"/>
      <w:r w:rsidR="001C7CD7">
        <w:t>202</w:t>
      </w:r>
      <w:r>
        <w:t>6</w:t>
      </w:r>
      <w:proofErr w:type="gramEnd"/>
      <w:r w:rsidR="005322E4">
        <w:t xml:space="preserve"> </w:t>
      </w:r>
      <w:r w:rsidR="005F1715">
        <w:t xml:space="preserve"> </w:t>
      </w:r>
      <w:r w:rsidR="005322E4">
        <w:t xml:space="preserve"> For more information, see </w:t>
      </w:r>
      <w:r w:rsidR="005322E4" w:rsidRPr="009979A1">
        <w:rPr>
          <w:i/>
          <w:iCs/>
          <w:color w:val="EE0000"/>
        </w:rPr>
        <w:t xml:space="preserve">Rail-Grid.org </w:t>
      </w:r>
      <w:r w:rsidR="005322E4">
        <w:rPr>
          <w:i/>
          <w:iCs/>
        </w:rPr>
        <w:t>or Contact us</w:t>
      </w:r>
      <w:r w:rsidR="006D3DBE">
        <w:rPr>
          <w:i/>
          <w:iCs/>
        </w:rPr>
        <w:t xml:space="preserve">. </w:t>
      </w:r>
    </w:p>
    <w:p w14:paraId="5F49C469" w14:textId="2EEE3F2C" w:rsidR="00F8601E" w:rsidRPr="005142F6" w:rsidRDefault="00BA5E14" w:rsidP="006012C7">
      <w:pPr>
        <w:pStyle w:val="Subtitle"/>
        <w:spacing w:after="0" w:line="240" w:lineRule="auto"/>
        <w:rPr>
          <w:i/>
          <w:iCs/>
          <w:color w:val="215E99" w:themeColor="text2" w:themeTint="BF"/>
          <w:sz w:val="20"/>
          <w:szCs w:val="20"/>
        </w:rPr>
      </w:pPr>
      <w:r w:rsidRPr="006A0A57">
        <w:rPr>
          <w:sz w:val="20"/>
          <w:szCs w:val="20"/>
        </w:rPr>
        <w:t>RG</w:t>
      </w:r>
      <w:r w:rsidR="00F470B1" w:rsidRPr="006A0A57">
        <w:rPr>
          <w:sz w:val="20"/>
          <w:szCs w:val="20"/>
        </w:rPr>
        <w:t>C</w:t>
      </w:r>
      <w:r w:rsidR="00102E9C" w:rsidRPr="006A0A57">
        <w:rPr>
          <w:sz w:val="20"/>
          <w:szCs w:val="20"/>
        </w:rPr>
        <w:t xml:space="preserve"> explores</w:t>
      </w:r>
      <w:r w:rsidR="00251CB3" w:rsidRPr="006A0A57">
        <w:rPr>
          <w:sz w:val="20"/>
          <w:szCs w:val="20"/>
        </w:rPr>
        <w:t xml:space="preserve"> the </w:t>
      </w:r>
      <w:r w:rsidR="00D84F83" w:rsidRPr="006A0A57">
        <w:rPr>
          <w:sz w:val="20"/>
          <w:szCs w:val="20"/>
        </w:rPr>
        <w:t>potential for commercia</w:t>
      </w:r>
      <w:r w:rsidR="00AA1FB2" w:rsidRPr="006A0A57">
        <w:rPr>
          <w:sz w:val="20"/>
          <w:szCs w:val="20"/>
        </w:rPr>
        <w:t>l</w:t>
      </w:r>
      <w:r w:rsidR="00E2515F" w:rsidRPr="006A0A57">
        <w:rPr>
          <w:sz w:val="20"/>
          <w:szCs w:val="20"/>
        </w:rPr>
        <w:t xml:space="preserve"> </w:t>
      </w:r>
      <w:r w:rsidR="000B36CF" w:rsidRPr="006A0A57">
        <w:rPr>
          <w:sz w:val="20"/>
          <w:szCs w:val="20"/>
        </w:rPr>
        <w:t>innovation</w:t>
      </w:r>
      <w:r w:rsidR="00494172" w:rsidRPr="006A0A57">
        <w:rPr>
          <w:sz w:val="20"/>
          <w:szCs w:val="20"/>
        </w:rPr>
        <w:t>, environmental sustainability,</w:t>
      </w:r>
      <w:r w:rsidR="00E2515F" w:rsidRPr="006A0A57">
        <w:rPr>
          <w:sz w:val="20"/>
          <w:szCs w:val="20"/>
        </w:rPr>
        <w:t xml:space="preserve"> </w:t>
      </w:r>
      <w:r w:rsidR="00D84F83" w:rsidRPr="006A0A57">
        <w:rPr>
          <w:sz w:val="20"/>
          <w:szCs w:val="20"/>
        </w:rPr>
        <w:t>and public benefit</w:t>
      </w:r>
      <w:r w:rsidR="00B13528" w:rsidRPr="006A0A57">
        <w:rPr>
          <w:sz w:val="20"/>
          <w:szCs w:val="20"/>
        </w:rPr>
        <w:t xml:space="preserve"> based on</w:t>
      </w:r>
      <w:r w:rsidR="00F9210D">
        <w:rPr>
          <w:sz w:val="20"/>
          <w:szCs w:val="20"/>
        </w:rPr>
        <w:t xml:space="preserve"> the</w:t>
      </w:r>
      <w:r w:rsidR="00B13528" w:rsidRPr="006A0A57">
        <w:rPr>
          <w:sz w:val="20"/>
          <w:szCs w:val="20"/>
        </w:rPr>
        <w:t xml:space="preserve"> </w:t>
      </w:r>
      <w:r w:rsidR="000F5514" w:rsidRPr="006A0A57">
        <w:rPr>
          <w:sz w:val="20"/>
          <w:szCs w:val="20"/>
        </w:rPr>
        <w:t>shar</w:t>
      </w:r>
      <w:r w:rsidR="00F9210D">
        <w:rPr>
          <w:sz w:val="20"/>
          <w:szCs w:val="20"/>
        </w:rPr>
        <w:t>ing of</w:t>
      </w:r>
      <w:r w:rsidR="000F5514" w:rsidRPr="006A0A57">
        <w:rPr>
          <w:sz w:val="20"/>
          <w:szCs w:val="20"/>
        </w:rPr>
        <w:t xml:space="preserve"> </w:t>
      </w:r>
      <w:r w:rsidR="00D770B0" w:rsidRPr="006A0A57">
        <w:rPr>
          <w:sz w:val="20"/>
          <w:szCs w:val="20"/>
        </w:rPr>
        <w:t xml:space="preserve">ideas </w:t>
      </w:r>
      <w:r w:rsidR="00B13528" w:rsidRPr="006A0A57">
        <w:rPr>
          <w:sz w:val="20"/>
          <w:szCs w:val="20"/>
        </w:rPr>
        <w:t xml:space="preserve">and information </w:t>
      </w:r>
      <w:r w:rsidR="00F937CF" w:rsidRPr="006A0A57">
        <w:rPr>
          <w:sz w:val="20"/>
          <w:szCs w:val="20"/>
        </w:rPr>
        <w:t>about the future</w:t>
      </w:r>
      <w:r w:rsidR="00FA070D" w:rsidRPr="006A0A57">
        <w:rPr>
          <w:sz w:val="20"/>
          <w:szCs w:val="20"/>
        </w:rPr>
        <w:t xml:space="preserve"> of</w:t>
      </w:r>
      <w:r w:rsidR="00C142E2" w:rsidRPr="006A0A57">
        <w:rPr>
          <w:sz w:val="20"/>
          <w:szCs w:val="20"/>
        </w:rPr>
        <w:t xml:space="preserve"> </w:t>
      </w:r>
      <w:proofErr w:type="gramStart"/>
      <w:r w:rsidR="00F937CF" w:rsidRPr="006A0A57">
        <w:rPr>
          <w:sz w:val="20"/>
          <w:szCs w:val="20"/>
        </w:rPr>
        <w:t>the rail</w:t>
      </w:r>
      <w:proofErr w:type="gramEnd"/>
      <w:r w:rsidR="00F937CF" w:rsidRPr="006A0A57">
        <w:rPr>
          <w:sz w:val="20"/>
          <w:szCs w:val="20"/>
        </w:rPr>
        <w:t xml:space="preserve"> and power </w:t>
      </w:r>
      <w:r w:rsidR="00C142E2" w:rsidRPr="006A0A57">
        <w:rPr>
          <w:sz w:val="20"/>
          <w:szCs w:val="20"/>
        </w:rPr>
        <w:t>networks</w:t>
      </w:r>
      <w:r w:rsidR="00C142E2">
        <w:rPr>
          <w:i/>
          <w:iCs/>
          <w:sz w:val="20"/>
          <w:szCs w:val="20"/>
        </w:rPr>
        <w:t xml:space="preserve">. </w:t>
      </w:r>
      <w:r w:rsidR="00CC0A6E" w:rsidRPr="005142F6">
        <w:rPr>
          <w:i/>
          <w:iCs/>
          <w:color w:val="215E99" w:themeColor="text2" w:themeTint="BF"/>
          <w:sz w:val="20"/>
          <w:szCs w:val="20"/>
        </w:rPr>
        <w:t xml:space="preserve">Workshops – </w:t>
      </w:r>
      <w:r w:rsidR="006F233B" w:rsidRPr="005142F6">
        <w:rPr>
          <w:i/>
          <w:iCs/>
          <w:color w:val="215E99" w:themeColor="text2" w:themeTint="BF"/>
          <w:sz w:val="20"/>
          <w:szCs w:val="20"/>
        </w:rPr>
        <w:t>C</w:t>
      </w:r>
      <w:r w:rsidR="00CC0A6E" w:rsidRPr="005142F6">
        <w:rPr>
          <w:i/>
          <w:iCs/>
          <w:color w:val="215E99" w:themeColor="text2" w:themeTint="BF"/>
          <w:sz w:val="20"/>
          <w:szCs w:val="20"/>
        </w:rPr>
        <w:t>onferences –</w:t>
      </w:r>
      <w:r w:rsidR="00AB0E90" w:rsidRPr="005142F6">
        <w:rPr>
          <w:i/>
          <w:iCs/>
          <w:color w:val="215E99" w:themeColor="text2" w:themeTint="BF"/>
          <w:sz w:val="20"/>
          <w:szCs w:val="20"/>
        </w:rPr>
        <w:t xml:space="preserve"> </w:t>
      </w:r>
      <w:r w:rsidR="004C5A94" w:rsidRPr="005142F6">
        <w:rPr>
          <w:i/>
          <w:iCs/>
          <w:color w:val="215E99" w:themeColor="text2" w:themeTint="BF"/>
          <w:sz w:val="20"/>
          <w:szCs w:val="20"/>
        </w:rPr>
        <w:t xml:space="preserve">Federal &amp; </w:t>
      </w:r>
      <w:r w:rsidR="00AB0E90" w:rsidRPr="005142F6">
        <w:rPr>
          <w:i/>
          <w:iCs/>
          <w:color w:val="215E99" w:themeColor="text2" w:themeTint="BF"/>
          <w:sz w:val="20"/>
          <w:szCs w:val="20"/>
        </w:rPr>
        <w:t xml:space="preserve">State Engagement -- </w:t>
      </w:r>
      <w:r w:rsidR="00F006ED" w:rsidRPr="005142F6">
        <w:rPr>
          <w:i/>
          <w:iCs/>
          <w:color w:val="215E99" w:themeColor="text2" w:themeTint="BF"/>
          <w:sz w:val="20"/>
          <w:szCs w:val="20"/>
        </w:rPr>
        <w:t>Industry Intelligence</w:t>
      </w:r>
      <w:r w:rsidR="00E91F5F" w:rsidRPr="005142F6">
        <w:rPr>
          <w:i/>
          <w:iCs/>
          <w:color w:val="215E99" w:themeColor="text2" w:themeTint="BF"/>
          <w:sz w:val="20"/>
          <w:szCs w:val="20"/>
        </w:rPr>
        <w:t xml:space="preserve"> -- </w:t>
      </w:r>
      <w:r w:rsidR="006012C7" w:rsidRPr="005142F6">
        <w:rPr>
          <w:i/>
          <w:iCs/>
          <w:color w:val="215E99" w:themeColor="text2" w:themeTint="BF"/>
          <w:sz w:val="20"/>
          <w:szCs w:val="20"/>
        </w:rPr>
        <w:t>Regulatory Interventions &amp; Comment</w:t>
      </w:r>
      <w:r w:rsidR="00722E43" w:rsidRPr="005142F6">
        <w:rPr>
          <w:i/>
          <w:iCs/>
          <w:color w:val="215E99" w:themeColor="text2" w:themeTint="BF"/>
          <w:sz w:val="20"/>
          <w:szCs w:val="20"/>
        </w:rPr>
        <w:t xml:space="preserve"> -- </w:t>
      </w:r>
      <w:r w:rsidR="00FF7687" w:rsidRPr="005142F6">
        <w:rPr>
          <w:i/>
          <w:iCs/>
          <w:color w:val="215E99" w:themeColor="text2" w:themeTint="BF"/>
          <w:sz w:val="20"/>
          <w:szCs w:val="20"/>
        </w:rPr>
        <w:t>Policy Maker Briefings</w:t>
      </w:r>
      <w:r w:rsidR="00C64B93" w:rsidRPr="005142F6">
        <w:rPr>
          <w:i/>
          <w:iCs/>
          <w:color w:val="215E99" w:themeColor="text2" w:themeTint="BF"/>
          <w:sz w:val="20"/>
          <w:szCs w:val="20"/>
        </w:rPr>
        <w:t xml:space="preserve"> – Studies and Analysis</w:t>
      </w:r>
      <w:r w:rsidR="00FF7687" w:rsidRPr="005142F6">
        <w:rPr>
          <w:i/>
          <w:iCs/>
          <w:color w:val="215E99" w:themeColor="text2" w:themeTint="BF"/>
          <w:sz w:val="20"/>
          <w:szCs w:val="20"/>
        </w:rPr>
        <w:t xml:space="preserve"> </w:t>
      </w:r>
      <w:r w:rsidR="00255DE1" w:rsidRPr="005142F6">
        <w:rPr>
          <w:i/>
          <w:iCs/>
          <w:color w:val="215E99" w:themeColor="text2" w:themeTint="BF"/>
          <w:sz w:val="20"/>
          <w:szCs w:val="20"/>
        </w:rPr>
        <w:t>–</w:t>
      </w:r>
      <w:r w:rsidR="009979A1" w:rsidRPr="005142F6">
        <w:rPr>
          <w:i/>
          <w:iCs/>
          <w:color w:val="215E99" w:themeColor="text2" w:themeTint="BF"/>
          <w:sz w:val="20"/>
          <w:szCs w:val="20"/>
        </w:rPr>
        <w:t xml:space="preserve"> </w:t>
      </w:r>
      <w:r w:rsidR="00AB0E90" w:rsidRPr="005142F6">
        <w:rPr>
          <w:i/>
          <w:iCs/>
          <w:color w:val="215E99" w:themeColor="text2" w:themeTint="BF"/>
          <w:sz w:val="20"/>
          <w:szCs w:val="20"/>
        </w:rPr>
        <w:t xml:space="preserve">Commercial </w:t>
      </w:r>
      <w:proofErr w:type="spellStart"/>
      <w:r w:rsidR="001268E5">
        <w:rPr>
          <w:i/>
          <w:iCs/>
          <w:color w:val="215E99" w:themeColor="text2" w:themeTint="BF"/>
          <w:sz w:val="20"/>
          <w:szCs w:val="20"/>
        </w:rPr>
        <w:t>a</w:t>
      </w:r>
      <w:r w:rsidR="00AB0E90" w:rsidRPr="005142F6">
        <w:rPr>
          <w:i/>
          <w:iCs/>
          <w:color w:val="215E99" w:themeColor="text2" w:themeTint="BF"/>
          <w:sz w:val="20"/>
          <w:szCs w:val="20"/>
        </w:rPr>
        <w:t>egotiations</w:t>
      </w:r>
      <w:proofErr w:type="spellEnd"/>
      <w:r w:rsidR="00AB0E90" w:rsidRPr="005142F6">
        <w:rPr>
          <w:i/>
          <w:iCs/>
          <w:color w:val="215E99" w:themeColor="text2" w:themeTint="BF"/>
          <w:sz w:val="20"/>
          <w:szCs w:val="20"/>
        </w:rPr>
        <w:t xml:space="preserve"> and Support</w:t>
      </w:r>
    </w:p>
    <w:p w14:paraId="7D52BB0B" w14:textId="155E5675" w:rsidR="007A3EAF" w:rsidRDefault="00FD6A67" w:rsidP="007A3EAF">
      <w:pPr>
        <w:pStyle w:val="Heading1"/>
        <w:ind w:left="360"/>
        <w:rPr>
          <w:b/>
          <w:bCs/>
          <w:color w:val="124F1A" w:themeColor="accent3" w:themeShade="BF"/>
        </w:rPr>
      </w:pPr>
      <w:r>
        <w:rPr>
          <w:noProof/>
        </w:rPr>
        <w:drawing>
          <wp:inline distT="0" distB="0" distL="0" distR="0" wp14:anchorId="123173A6" wp14:editId="27972538">
            <wp:extent cx="622300" cy="539750"/>
            <wp:effectExtent l="0" t="0" r="6350" b="0"/>
            <wp:docPr id="586395182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395182" name="Picture 1" descr="A black and white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0766" w:rsidRPr="00FD6A67">
        <w:rPr>
          <w:b/>
          <w:bCs/>
          <w:color w:val="124F1A" w:themeColor="accent3" w:themeShade="BF"/>
        </w:rPr>
        <w:t xml:space="preserve"> </w:t>
      </w:r>
      <w:r w:rsidR="005F0766" w:rsidRPr="00A33EF6">
        <w:rPr>
          <w:b/>
          <w:bCs/>
          <w:color w:val="3A7C22" w:themeColor="accent6" w:themeShade="BF"/>
        </w:rPr>
        <w:t xml:space="preserve">Grid </w:t>
      </w:r>
      <w:r w:rsidR="001268E5">
        <w:rPr>
          <w:b/>
          <w:bCs/>
          <w:color w:val="3A7C22" w:themeColor="accent6" w:themeShade="BF"/>
        </w:rPr>
        <w:t>a</w:t>
      </w:r>
      <w:r w:rsidR="00BD7C36">
        <w:rPr>
          <w:b/>
          <w:bCs/>
          <w:color w:val="3A7C22" w:themeColor="accent6" w:themeShade="BF"/>
        </w:rPr>
        <w:t xml:space="preserve">nd Rail </w:t>
      </w:r>
      <w:r w:rsidR="005F0766" w:rsidRPr="00A33EF6">
        <w:rPr>
          <w:b/>
          <w:bCs/>
          <w:color w:val="3A7C22" w:themeColor="accent6" w:themeShade="BF"/>
        </w:rPr>
        <w:t>Work</w:t>
      </w:r>
      <w:r w:rsidR="005F0766" w:rsidRPr="00FD6A67">
        <w:rPr>
          <w:b/>
          <w:bCs/>
          <w:color w:val="124F1A" w:themeColor="accent3" w:themeShade="BF"/>
        </w:rPr>
        <w:t xml:space="preserve"> </w:t>
      </w:r>
      <w:r w:rsidR="00751D0F">
        <w:rPr>
          <w:b/>
          <w:bCs/>
          <w:color w:val="124F1A" w:themeColor="accent3" w:themeShade="BF"/>
        </w:rPr>
        <w:t>–</w:t>
      </w:r>
      <w:r w:rsidR="00A730D9">
        <w:rPr>
          <w:b/>
          <w:bCs/>
          <w:color w:val="124F1A" w:themeColor="accent3" w:themeShade="BF"/>
        </w:rPr>
        <w:t xml:space="preserve">January </w:t>
      </w:r>
      <w:r w:rsidR="00E17CF8">
        <w:rPr>
          <w:b/>
          <w:bCs/>
          <w:color w:val="124F1A" w:themeColor="accent3" w:themeShade="BF"/>
        </w:rPr>
        <w:t>2026</w:t>
      </w:r>
    </w:p>
    <w:p w14:paraId="31A8777F" w14:textId="77777777" w:rsidR="002717D7" w:rsidRDefault="00F8601E" w:rsidP="00423B5A">
      <w:pPr>
        <w:pStyle w:val="Heading1"/>
        <w:ind w:left="720"/>
        <w:jc w:val="center"/>
      </w:pPr>
      <w:r>
        <w:t>Regulatory</w:t>
      </w:r>
      <w:r w:rsidR="003A59FB">
        <w:t xml:space="preserve"> and Policy</w:t>
      </w:r>
      <w:r>
        <w:t xml:space="preserve"> Engagement</w:t>
      </w:r>
    </w:p>
    <w:p w14:paraId="13FDDF62" w14:textId="6FE61E10" w:rsidR="008A602D" w:rsidRPr="002717D7" w:rsidRDefault="003B5205" w:rsidP="00423B5A">
      <w:pPr>
        <w:pStyle w:val="Heading1"/>
        <w:ind w:left="90"/>
        <w:rPr>
          <w:sz w:val="24"/>
          <w:szCs w:val="24"/>
        </w:rPr>
      </w:pPr>
      <w:r w:rsidRPr="00423B5A">
        <w:rPr>
          <w:b/>
          <w:bCs/>
          <w:sz w:val="32"/>
          <w:szCs w:val="32"/>
        </w:rPr>
        <w:t>RGC</w:t>
      </w:r>
      <w:r w:rsidR="00FB643D" w:rsidRPr="00423B5A">
        <w:rPr>
          <w:b/>
          <w:bCs/>
          <w:sz w:val="32"/>
          <w:szCs w:val="32"/>
        </w:rPr>
        <w:t xml:space="preserve">’s December 16 </w:t>
      </w:r>
      <w:r w:rsidR="00AB7A30" w:rsidRPr="00423B5A">
        <w:rPr>
          <w:b/>
          <w:bCs/>
          <w:sz w:val="32"/>
          <w:szCs w:val="32"/>
        </w:rPr>
        <w:t>“</w:t>
      </w:r>
      <w:r w:rsidRPr="00423B5A">
        <w:rPr>
          <w:b/>
          <w:bCs/>
          <w:sz w:val="32"/>
          <w:szCs w:val="32"/>
        </w:rPr>
        <w:t xml:space="preserve">TOWN </w:t>
      </w:r>
      <w:proofErr w:type="gramStart"/>
      <w:r w:rsidRPr="00423B5A">
        <w:rPr>
          <w:b/>
          <w:bCs/>
          <w:sz w:val="32"/>
          <w:szCs w:val="32"/>
        </w:rPr>
        <w:t>MEETING</w:t>
      </w:r>
      <w:r w:rsidR="00AB7A30" w:rsidRPr="00423B5A">
        <w:rPr>
          <w:b/>
          <w:bCs/>
          <w:sz w:val="32"/>
          <w:szCs w:val="32"/>
        </w:rPr>
        <w:t>”</w:t>
      </w:r>
      <w:r w:rsidRPr="002717D7">
        <w:rPr>
          <w:sz w:val="24"/>
          <w:szCs w:val="24"/>
        </w:rPr>
        <w:t xml:space="preserve">  gene</w:t>
      </w:r>
      <w:r w:rsidR="00071C74" w:rsidRPr="002717D7">
        <w:rPr>
          <w:sz w:val="24"/>
          <w:szCs w:val="24"/>
        </w:rPr>
        <w:t>rated</w:t>
      </w:r>
      <w:proofErr w:type="gramEnd"/>
      <w:r w:rsidR="00D027AE" w:rsidRPr="002717D7">
        <w:rPr>
          <w:sz w:val="24"/>
          <w:szCs w:val="24"/>
        </w:rPr>
        <w:t xml:space="preserve"> cross-sector </w:t>
      </w:r>
      <w:r w:rsidR="00071C74" w:rsidRPr="002717D7">
        <w:rPr>
          <w:sz w:val="24"/>
          <w:szCs w:val="24"/>
        </w:rPr>
        <w:t>discussion</w:t>
      </w:r>
      <w:r w:rsidR="00423B5A">
        <w:rPr>
          <w:sz w:val="24"/>
          <w:szCs w:val="24"/>
        </w:rPr>
        <w:t xml:space="preserve"> </w:t>
      </w:r>
      <w:r w:rsidR="00301E9B" w:rsidRPr="002717D7">
        <w:rPr>
          <w:sz w:val="24"/>
          <w:szCs w:val="24"/>
        </w:rPr>
        <w:t xml:space="preserve">among </w:t>
      </w:r>
      <w:r w:rsidRPr="002717D7">
        <w:rPr>
          <w:sz w:val="24"/>
          <w:szCs w:val="24"/>
        </w:rPr>
        <w:t>members and non-members</w:t>
      </w:r>
      <w:r w:rsidR="00AB7A30" w:rsidRPr="002717D7">
        <w:rPr>
          <w:sz w:val="24"/>
          <w:szCs w:val="24"/>
        </w:rPr>
        <w:t xml:space="preserve"> </w:t>
      </w:r>
      <w:r w:rsidR="00006CE3" w:rsidRPr="002717D7">
        <w:rPr>
          <w:sz w:val="24"/>
          <w:szCs w:val="24"/>
        </w:rPr>
        <w:t>t</w:t>
      </w:r>
      <w:r w:rsidR="00301E9B" w:rsidRPr="002717D7">
        <w:rPr>
          <w:sz w:val="24"/>
          <w:szCs w:val="24"/>
        </w:rPr>
        <w:t>hat</w:t>
      </w:r>
      <w:r w:rsidR="00006CE3" w:rsidRPr="002717D7">
        <w:rPr>
          <w:sz w:val="24"/>
          <w:szCs w:val="24"/>
        </w:rPr>
        <w:t xml:space="preserve"> identif</w:t>
      </w:r>
      <w:r w:rsidR="00301E9B" w:rsidRPr="002717D7">
        <w:rPr>
          <w:sz w:val="24"/>
          <w:szCs w:val="24"/>
        </w:rPr>
        <w:t>ied</w:t>
      </w:r>
      <w:r w:rsidR="00006CE3" w:rsidRPr="002717D7">
        <w:rPr>
          <w:sz w:val="24"/>
          <w:szCs w:val="24"/>
        </w:rPr>
        <w:t xml:space="preserve"> </w:t>
      </w:r>
      <w:r w:rsidR="004F29C6" w:rsidRPr="002717D7">
        <w:rPr>
          <w:sz w:val="24"/>
          <w:szCs w:val="24"/>
        </w:rPr>
        <w:t xml:space="preserve">projects and issues for </w:t>
      </w:r>
      <w:r w:rsidR="00D954FE" w:rsidRPr="002717D7">
        <w:rPr>
          <w:sz w:val="24"/>
          <w:szCs w:val="24"/>
        </w:rPr>
        <w:t>2026</w:t>
      </w:r>
      <w:r w:rsidR="00CE7ECA" w:rsidRPr="002717D7">
        <w:rPr>
          <w:sz w:val="24"/>
          <w:szCs w:val="24"/>
        </w:rPr>
        <w:t xml:space="preserve">. </w:t>
      </w:r>
      <w:r w:rsidR="00FE18DD" w:rsidRPr="002717D7">
        <w:rPr>
          <w:sz w:val="24"/>
          <w:szCs w:val="24"/>
        </w:rPr>
        <w:t>After leading off with presentation on electric transmission development and</w:t>
      </w:r>
      <w:r w:rsidR="0063669B">
        <w:rPr>
          <w:sz w:val="24"/>
          <w:szCs w:val="24"/>
        </w:rPr>
        <w:t xml:space="preserve"> siting challenges as well as</w:t>
      </w:r>
      <w:r w:rsidR="00FE18DD" w:rsidRPr="002717D7">
        <w:rPr>
          <w:sz w:val="24"/>
          <w:szCs w:val="24"/>
        </w:rPr>
        <w:t xml:space="preserve"> the role </w:t>
      </w:r>
      <w:r w:rsidR="00C34197">
        <w:rPr>
          <w:sz w:val="24"/>
          <w:szCs w:val="24"/>
        </w:rPr>
        <w:t xml:space="preserve">that </w:t>
      </w:r>
      <w:r w:rsidR="00FE18DD" w:rsidRPr="002717D7">
        <w:rPr>
          <w:sz w:val="24"/>
          <w:szCs w:val="24"/>
        </w:rPr>
        <w:t>railroads and their facilities</w:t>
      </w:r>
      <w:r w:rsidR="00C34197">
        <w:rPr>
          <w:sz w:val="24"/>
          <w:szCs w:val="24"/>
        </w:rPr>
        <w:t xml:space="preserve"> might </w:t>
      </w:r>
      <w:proofErr w:type="gramStart"/>
      <w:r w:rsidR="00C34197">
        <w:rPr>
          <w:sz w:val="24"/>
          <w:szCs w:val="24"/>
        </w:rPr>
        <w:t xml:space="preserve">play </w:t>
      </w:r>
      <w:r w:rsidR="000D5C50" w:rsidRPr="002717D7">
        <w:rPr>
          <w:sz w:val="24"/>
          <w:szCs w:val="24"/>
        </w:rPr>
        <w:t xml:space="preserve"> (</w:t>
      </w:r>
      <w:proofErr w:type="gramEnd"/>
      <w:r w:rsidR="000D5C50" w:rsidRPr="002717D7">
        <w:rPr>
          <w:sz w:val="24"/>
          <w:szCs w:val="24"/>
        </w:rPr>
        <w:t xml:space="preserve">Jay Caspary) and on the transformational concepts </w:t>
      </w:r>
      <w:r w:rsidR="00041924" w:rsidRPr="002717D7">
        <w:rPr>
          <w:sz w:val="24"/>
          <w:szCs w:val="24"/>
        </w:rPr>
        <w:t>facing the rail industry, including electrification</w:t>
      </w:r>
      <w:r w:rsidR="008A602D" w:rsidRPr="002717D7">
        <w:rPr>
          <w:sz w:val="24"/>
          <w:szCs w:val="24"/>
        </w:rPr>
        <w:t xml:space="preserve"> and other forms of </w:t>
      </w:r>
      <w:proofErr w:type="gramStart"/>
      <w:r w:rsidR="008A602D" w:rsidRPr="002717D7">
        <w:rPr>
          <w:sz w:val="24"/>
          <w:szCs w:val="24"/>
        </w:rPr>
        <w:t xml:space="preserve">modernization </w:t>
      </w:r>
      <w:r w:rsidR="0008562C" w:rsidRPr="002717D7">
        <w:rPr>
          <w:sz w:val="24"/>
          <w:szCs w:val="24"/>
        </w:rPr>
        <w:t xml:space="preserve"> (</w:t>
      </w:r>
      <w:proofErr w:type="gramEnd"/>
      <w:r w:rsidR="0008562C" w:rsidRPr="002717D7">
        <w:rPr>
          <w:sz w:val="24"/>
          <w:szCs w:val="24"/>
        </w:rPr>
        <w:t>Nicolas Little)</w:t>
      </w:r>
      <w:r w:rsidR="008A602D" w:rsidRPr="002717D7">
        <w:rPr>
          <w:sz w:val="24"/>
          <w:szCs w:val="24"/>
        </w:rPr>
        <w:t>, the</w:t>
      </w:r>
      <w:r w:rsidR="008B041A">
        <w:rPr>
          <w:sz w:val="24"/>
          <w:szCs w:val="24"/>
        </w:rPr>
        <w:t xml:space="preserve"> discussion was </w:t>
      </w:r>
      <w:proofErr w:type="gramStart"/>
      <w:r w:rsidR="008B041A">
        <w:rPr>
          <w:sz w:val="24"/>
          <w:szCs w:val="24"/>
        </w:rPr>
        <w:t>opened up</w:t>
      </w:r>
      <w:proofErr w:type="gramEnd"/>
      <w:r w:rsidR="008B041A">
        <w:rPr>
          <w:sz w:val="24"/>
          <w:szCs w:val="24"/>
        </w:rPr>
        <w:t xml:space="preserve">. </w:t>
      </w:r>
      <w:r w:rsidR="008A602D" w:rsidRPr="002717D7">
        <w:rPr>
          <w:sz w:val="24"/>
          <w:szCs w:val="24"/>
        </w:rPr>
        <w:t xml:space="preserve"> </w:t>
      </w:r>
      <w:r w:rsidR="008B041A">
        <w:rPr>
          <w:sz w:val="24"/>
          <w:szCs w:val="24"/>
        </w:rPr>
        <w:t>F</w:t>
      </w:r>
      <w:r w:rsidR="008A602D" w:rsidRPr="002717D7">
        <w:rPr>
          <w:sz w:val="24"/>
          <w:szCs w:val="24"/>
        </w:rPr>
        <w:t xml:space="preserve">ollowing </w:t>
      </w:r>
      <w:r w:rsidR="008B041A">
        <w:rPr>
          <w:sz w:val="24"/>
          <w:szCs w:val="24"/>
        </w:rPr>
        <w:t xml:space="preserve">are the </w:t>
      </w:r>
      <w:r w:rsidR="008A602D" w:rsidRPr="002717D7">
        <w:rPr>
          <w:sz w:val="24"/>
          <w:szCs w:val="24"/>
        </w:rPr>
        <w:t xml:space="preserve">issues </w:t>
      </w:r>
      <w:r w:rsidR="0012268A" w:rsidRPr="002717D7">
        <w:rPr>
          <w:sz w:val="24"/>
          <w:szCs w:val="24"/>
        </w:rPr>
        <w:t>raised</w:t>
      </w:r>
      <w:r w:rsidR="00933675">
        <w:rPr>
          <w:sz w:val="24"/>
          <w:szCs w:val="24"/>
        </w:rPr>
        <w:t xml:space="preserve"> by attendees</w:t>
      </w:r>
      <w:r w:rsidR="0012268A" w:rsidRPr="002717D7">
        <w:rPr>
          <w:sz w:val="24"/>
          <w:szCs w:val="24"/>
        </w:rPr>
        <w:t xml:space="preserve"> for future consideration:</w:t>
      </w:r>
    </w:p>
    <w:p w14:paraId="09773180" w14:textId="29E2A37B" w:rsidR="00494F87" w:rsidRDefault="00494F87" w:rsidP="00494F87">
      <w:pPr>
        <w:pStyle w:val="ListParagraph"/>
        <w:numPr>
          <w:ilvl w:val="0"/>
          <w:numId w:val="13"/>
        </w:numPr>
      </w:pPr>
      <w:r>
        <w:t>Abandoned RR ROWs</w:t>
      </w:r>
      <w:r w:rsidR="00D9252C">
        <w:t xml:space="preserve"> as a site for electric transmission </w:t>
      </w:r>
    </w:p>
    <w:p w14:paraId="6B129963" w14:textId="12872F2D" w:rsidR="00D9252C" w:rsidRDefault="00A45597" w:rsidP="00494F87">
      <w:pPr>
        <w:pStyle w:val="ListParagraph"/>
        <w:numPr>
          <w:ilvl w:val="0"/>
          <w:numId w:val="13"/>
        </w:numPr>
      </w:pPr>
      <w:r>
        <w:t>Models of rail-electric collaboration</w:t>
      </w:r>
    </w:p>
    <w:p w14:paraId="3FB0FAA0" w14:textId="5D33F155" w:rsidR="00A45597" w:rsidRDefault="00A45597" w:rsidP="00494F87">
      <w:pPr>
        <w:pStyle w:val="ListParagraph"/>
        <w:numPr>
          <w:ilvl w:val="0"/>
          <w:numId w:val="13"/>
        </w:numPr>
      </w:pPr>
      <w:r>
        <w:t xml:space="preserve">Potential for </w:t>
      </w:r>
      <w:r w:rsidR="00960D18">
        <w:t>overhead catenary as a win-win</w:t>
      </w:r>
      <w:r w:rsidR="008C0352">
        <w:t xml:space="preserve"> for both </w:t>
      </w:r>
      <w:proofErr w:type="spellStart"/>
      <w:r w:rsidR="008C0352">
        <w:t>indtries</w:t>
      </w:r>
      <w:proofErr w:type="spellEnd"/>
    </w:p>
    <w:p w14:paraId="2AA01D94" w14:textId="10D25981" w:rsidR="00960D18" w:rsidRDefault="00960D18" w:rsidP="00494F87">
      <w:pPr>
        <w:pStyle w:val="ListParagraph"/>
        <w:numPr>
          <w:ilvl w:val="0"/>
          <w:numId w:val="13"/>
        </w:numPr>
      </w:pPr>
      <w:r>
        <w:t>STB’s role in facilitating service improvements</w:t>
      </w:r>
    </w:p>
    <w:p w14:paraId="1E456A3B" w14:textId="0486FF24" w:rsidR="00960D18" w:rsidRDefault="00953151" w:rsidP="00494F87">
      <w:pPr>
        <w:pStyle w:val="ListParagraph"/>
        <w:numPr>
          <w:ilvl w:val="0"/>
          <w:numId w:val="13"/>
        </w:numPr>
      </w:pPr>
      <w:r>
        <w:t>Supply chain challenges for installation of buried HVDC</w:t>
      </w:r>
    </w:p>
    <w:p w14:paraId="235777E0" w14:textId="343F9C72" w:rsidR="00953151" w:rsidRDefault="00953151" w:rsidP="00494F87">
      <w:pPr>
        <w:pStyle w:val="ListParagraph"/>
        <w:numPr>
          <w:ilvl w:val="0"/>
          <w:numId w:val="13"/>
        </w:numPr>
      </w:pPr>
      <w:r>
        <w:t>N</w:t>
      </w:r>
      <w:r w:rsidR="00157ED0">
        <w:t>ew, efficient trucks as a competitive headwind for freight rail</w:t>
      </w:r>
    </w:p>
    <w:p w14:paraId="4454C365" w14:textId="3EBFA80B" w:rsidR="00157ED0" w:rsidRDefault="00157ED0" w:rsidP="00494F87">
      <w:pPr>
        <w:pStyle w:val="ListParagraph"/>
        <w:numPr>
          <w:ilvl w:val="0"/>
          <w:numId w:val="13"/>
        </w:numPr>
      </w:pPr>
      <w:r>
        <w:t xml:space="preserve">Determining the value of ROWs as </w:t>
      </w:r>
      <w:r w:rsidR="00A825E4">
        <w:t xml:space="preserve">location for </w:t>
      </w:r>
      <w:proofErr w:type="gramStart"/>
      <w:r w:rsidR="00A825E4">
        <w:t>u</w:t>
      </w:r>
      <w:r w:rsidR="002B5FB3">
        <w:t>t</w:t>
      </w:r>
      <w:r w:rsidR="00A825E4">
        <w:t>ility  assets</w:t>
      </w:r>
      <w:proofErr w:type="gramEnd"/>
    </w:p>
    <w:p w14:paraId="017E833E" w14:textId="38D45639" w:rsidR="002B5FB3" w:rsidRDefault="002B5FB3" w:rsidP="00430A0C">
      <w:pPr>
        <w:pStyle w:val="ListParagraph"/>
        <w:numPr>
          <w:ilvl w:val="0"/>
          <w:numId w:val="13"/>
        </w:numPr>
      </w:pPr>
      <w:r>
        <w:t>Should railroads contemplate installing/selling grid capacity</w:t>
      </w:r>
      <w:r w:rsidR="00430A0C">
        <w:t xml:space="preserve"> themselves</w:t>
      </w:r>
      <w:r>
        <w:t>?</w:t>
      </w:r>
    </w:p>
    <w:p w14:paraId="3AEDFCFE" w14:textId="7D000527" w:rsidR="00452467" w:rsidRDefault="00BF2E82" w:rsidP="00494F87">
      <w:pPr>
        <w:pStyle w:val="ListParagraph"/>
        <w:numPr>
          <w:ilvl w:val="0"/>
          <w:numId w:val="13"/>
        </w:numPr>
      </w:pPr>
      <w:r>
        <w:t>Railroad real estate as an answer to electric siting and permitting problems</w:t>
      </w:r>
    </w:p>
    <w:p w14:paraId="73D3DBEA" w14:textId="5E57A41E" w:rsidR="00212BBD" w:rsidRDefault="00212BBD" w:rsidP="00494F87">
      <w:pPr>
        <w:pStyle w:val="ListParagraph"/>
        <w:numPr>
          <w:ilvl w:val="0"/>
          <w:numId w:val="13"/>
        </w:numPr>
      </w:pPr>
      <w:r>
        <w:t>Cost of overhead versus underground transmission installation, AC or DC</w:t>
      </w:r>
    </w:p>
    <w:p w14:paraId="343753A9" w14:textId="222271FD" w:rsidR="00987858" w:rsidRDefault="00987858" w:rsidP="00494F87">
      <w:pPr>
        <w:pStyle w:val="ListParagraph"/>
        <w:numPr>
          <w:ilvl w:val="0"/>
          <w:numId w:val="13"/>
        </w:numPr>
      </w:pPr>
      <w:r>
        <w:t>Comparing</w:t>
      </w:r>
      <w:r w:rsidR="0046761A">
        <w:t xml:space="preserve"> grid (i.e., economic and reliability) benefits </w:t>
      </w:r>
      <w:r w:rsidR="00CE5AE3">
        <w:t>made possible by</w:t>
      </w:r>
      <w:r>
        <w:t xml:space="preserve"> us</w:t>
      </w:r>
      <w:r w:rsidR="0046761A">
        <w:t>ing</w:t>
      </w:r>
      <w:r>
        <w:t xml:space="preserve"> existing ROWs </w:t>
      </w:r>
      <w:r w:rsidR="003B30B6">
        <w:t>and other</w:t>
      </w:r>
      <w:r>
        <w:t xml:space="preserve"> potential</w:t>
      </w:r>
      <w:r w:rsidR="003B30B6">
        <w:t xml:space="preserve"> solutions</w:t>
      </w:r>
      <w:r>
        <w:t xml:space="preserve"> </w:t>
      </w:r>
      <w:r w:rsidR="00705C59">
        <w:t xml:space="preserve">to </w:t>
      </w:r>
      <w:proofErr w:type="gramStart"/>
      <w:r w:rsidR="009D7275">
        <w:t>reform of</w:t>
      </w:r>
      <w:proofErr w:type="gramEnd"/>
      <w:r w:rsidR="009D7275">
        <w:t xml:space="preserve"> </w:t>
      </w:r>
      <w:r>
        <w:t>siting and permitting</w:t>
      </w:r>
      <w:r w:rsidR="00705C59">
        <w:t xml:space="preserve"> </w:t>
      </w:r>
      <w:proofErr w:type="gramStart"/>
      <w:r w:rsidR="00430891">
        <w:t>regulation</w:t>
      </w:r>
      <w:r w:rsidR="00A64520">
        <w:t xml:space="preserve">, </w:t>
      </w:r>
      <w:r w:rsidR="00705C59">
        <w:t xml:space="preserve"> </w:t>
      </w:r>
      <w:r w:rsidR="00A64520">
        <w:t>engineering</w:t>
      </w:r>
      <w:proofErr w:type="gramEnd"/>
      <w:r w:rsidR="00A64520">
        <w:t xml:space="preserve"> solutions such as </w:t>
      </w:r>
      <w:r>
        <w:t>DLR measures</w:t>
      </w:r>
      <w:r w:rsidR="001B60B5">
        <w:t>,</w:t>
      </w:r>
      <w:r>
        <w:t xml:space="preserve"> reconductoring </w:t>
      </w:r>
      <w:proofErr w:type="spellStart"/>
      <w:r>
        <w:t>mainlies</w:t>
      </w:r>
      <w:proofErr w:type="spellEnd"/>
      <w:r w:rsidR="001B60B5">
        <w:t>, or grid enhancing technologies</w:t>
      </w:r>
    </w:p>
    <w:p w14:paraId="10081D8A" w14:textId="6926FC8F" w:rsidR="00457FF4" w:rsidRPr="00237328" w:rsidRDefault="00457FF4" w:rsidP="00237328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>
        <w:lastRenderedPageBreak/>
        <w:t>Assessing the potential for further risk analysis of rail electrification by FRA and the University of Texas</w:t>
      </w:r>
    </w:p>
    <w:p w14:paraId="1B7204EB" w14:textId="770B90AF" w:rsidR="00E66941" w:rsidRDefault="005F0B69" w:rsidP="00E66941">
      <w:r>
        <w:t xml:space="preserve">The recorded meeting </w:t>
      </w:r>
      <w:r w:rsidR="001A1DBF">
        <w:t>chat download are</w:t>
      </w:r>
      <w:r>
        <w:t xml:space="preserve"> on our website</w:t>
      </w:r>
      <w:r w:rsidR="00207CE0">
        <w:t xml:space="preserve">, </w:t>
      </w:r>
      <w:hyperlink r:id="rId7" w:history="1">
        <w:r w:rsidR="00D75A4F" w:rsidRPr="00751CEA">
          <w:rPr>
            <w:rStyle w:val="Hyperlink"/>
          </w:rPr>
          <w:t>https://rail-grid.org</w:t>
        </w:r>
      </w:hyperlink>
      <w:r>
        <w:t>.</w:t>
      </w:r>
      <w:r w:rsidR="00D75A4F">
        <w:t xml:space="preserve"> </w:t>
      </w:r>
      <w:r>
        <w:t xml:space="preserve">  </w:t>
      </w:r>
      <w:r w:rsidR="00F219DF">
        <w:t>A</w:t>
      </w:r>
      <w:r w:rsidR="00B23634">
        <w:t xml:space="preserve"> follow-up</w:t>
      </w:r>
      <w:r w:rsidR="009C6086">
        <w:t xml:space="preserve"> exploration </w:t>
      </w:r>
      <w:r w:rsidR="00B23634">
        <w:t>is planned for January 13</w:t>
      </w:r>
      <w:r w:rsidR="00E51A05">
        <w:t>, 2026.</w:t>
      </w:r>
      <w:r w:rsidR="00E909D5">
        <w:t xml:space="preserve"> Watch you</w:t>
      </w:r>
      <w:r w:rsidR="00FB643D">
        <w:t>r</w:t>
      </w:r>
      <w:r w:rsidR="00E909D5">
        <w:t xml:space="preserve"> email for invitations</w:t>
      </w:r>
      <w:r w:rsidR="006F18DF">
        <w:t xml:space="preserve"> or contact us at </w:t>
      </w:r>
      <w:hyperlink r:id="rId8" w:history="1">
        <w:r w:rsidR="0073052E" w:rsidRPr="00751CEA">
          <w:rPr>
            <w:rStyle w:val="Hyperlink"/>
          </w:rPr>
          <w:t>Hometown@rail-grid.org</w:t>
        </w:r>
      </w:hyperlink>
      <w:r w:rsidR="0073052E">
        <w:t xml:space="preserve"> </w:t>
      </w:r>
    </w:p>
    <w:p w14:paraId="441026AD" w14:textId="77777777" w:rsidR="00122768" w:rsidRPr="005C5E81" w:rsidRDefault="0023430C" w:rsidP="00122768">
      <w:pPr>
        <w:rPr>
          <w:rFonts w:asciiTheme="majorHAnsi" w:hAnsiTheme="majorHAnsi"/>
          <w:b/>
          <w:bCs/>
          <w:sz w:val="32"/>
          <w:szCs w:val="32"/>
        </w:rPr>
      </w:pPr>
      <w:r w:rsidRPr="005C5E81">
        <w:rPr>
          <w:rFonts w:asciiTheme="majorHAnsi" w:hAnsiTheme="majorHAnsi"/>
          <w:b/>
          <w:bCs/>
          <w:sz w:val="32"/>
          <w:szCs w:val="32"/>
        </w:rPr>
        <w:t xml:space="preserve">OTHER RGC </w:t>
      </w:r>
      <w:r w:rsidR="00B14FE3" w:rsidRPr="005C5E81">
        <w:rPr>
          <w:rFonts w:asciiTheme="majorHAnsi" w:hAnsiTheme="majorHAnsi"/>
          <w:b/>
          <w:bCs/>
          <w:sz w:val="32"/>
          <w:szCs w:val="32"/>
        </w:rPr>
        <w:t>ENGAGEMENTS</w:t>
      </w:r>
    </w:p>
    <w:p w14:paraId="73E917B5" w14:textId="77777777" w:rsidR="00122768" w:rsidRDefault="00A84528" w:rsidP="00122768">
      <w:pPr>
        <w:pStyle w:val="ListParagraph"/>
        <w:numPr>
          <w:ilvl w:val="0"/>
          <w:numId w:val="16"/>
        </w:numPr>
        <w:rPr>
          <w:rFonts w:asciiTheme="majorHAnsi" w:hAnsiTheme="majorHAnsi"/>
        </w:rPr>
      </w:pPr>
      <w:r>
        <w:t xml:space="preserve">Presentation </w:t>
      </w:r>
      <w:r w:rsidR="00B14FE3">
        <w:t xml:space="preserve">by JH </w:t>
      </w:r>
      <w:r>
        <w:t>on Rail</w:t>
      </w:r>
      <w:r w:rsidR="00DD364B">
        <w:t>roads</w:t>
      </w:r>
      <w:r>
        <w:t xml:space="preserve"> and </w:t>
      </w:r>
      <w:r w:rsidR="00DD364B">
        <w:t xml:space="preserve">Other </w:t>
      </w:r>
      <w:r>
        <w:t>Transportation</w:t>
      </w:r>
      <w:r w:rsidR="00891D49">
        <w:t xml:space="preserve"> modes</w:t>
      </w:r>
      <w:r>
        <w:t xml:space="preserve"> as </w:t>
      </w:r>
      <w:r w:rsidR="00066B11">
        <w:t>integral to</w:t>
      </w:r>
      <w:r w:rsidR="00446952">
        <w:t xml:space="preserve"> g</w:t>
      </w:r>
      <w:r>
        <w:t>rid</w:t>
      </w:r>
      <w:r w:rsidR="00AE3431">
        <w:t xml:space="preserve"> </w:t>
      </w:r>
      <w:proofErr w:type="gramStart"/>
      <w:r w:rsidR="00446952">
        <w:t>d</w:t>
      </w:r>
      <w:r w:rsidR="00AE3431">
        <w:t>evelopment</w:t>
      </w:r>
      <w:r>
        <w:t xml:space="preserve">, </w:t>
      </w:r>
      <w:r w:rsidRPr="00122768">
        <w:rPr>
          <w:i/>
          <w:iCs/>
        </w:rPr>
        <w:t xml:space="preserve"> ACORE</w:t>
      </w:r>
      <w:proofErr w:type="gramEnd"/>
      <w:r w:rsidRPr="00122768">
        <w:rPr>
          <w:i/>
          <w:iCs/>
        </w:rPr>
        <w:t xml:space="preserve"> </w:t>
      </w:r>
      <w:proofErr w:type="spellStart"/>
      <w:r w:rsidRPr="00122768">
        <w:rPr>
          <w:i/>
          <w:iCs/>
        </w:rPr>
        <w:t>Macrogrid</w:t>
      </w:r>
      <w:proofErr w:type="spellEnd"/>
      <w:r w:rsidRPr="00122768">
        <w:rPr>
          <w:i/>
          <w:iCs/>
        </w:rPr>
        <w:t xml:space="preserve"> Initiative</w:t>
      </w:r>
      <w:r>
        <w:t>, Nov. 18</w:t>
      </w:r>
    </w:p>
    <w:p w14:paraId="1D50F1B1" w14:textId="7252F760" w:rsidR="00F8601E" w:rsidRPr="00122768" w:rsidRDefault="00D579FC" w:rsidP="006C5787">
      <w:pPr>
        <w:pStyle w:val="ListParagraph"/>
        <w:numPr>
          <w:ilvl w:val="0"/>
          <w:numId w:val="16"/>
        </w:numPr>
        <w:spacing w:line="276" w:lineRule="auto"/>
        <w:rPr>
          <w:rFonts w:asciiTheme="majorHAnsi" w:hAnsiTheme="majorHAnsi"/>
        </w:rPr>
      </w:pPr>
      <w:r>
        <w:t>C</w:t>
      </w:r>
      <w:r w:rsidR="00F8601E" w:rsidRPr="00F8601E">
        <w:t>ommentar</w:t>
      </w:r>
      <w:r w:rsidR="007B1C62">
        <w:t>ies</w:t>
      </w:r>
      <w:r w:rsidR="00F8601E" w:rsidRPr="00F8601E">
        <w:t xml:space="preserve"> on </w:t>
      </w:r>
      <w:r w:rsidR="006636C5">
        <w:t xml:space="preserve">potential for </w:t>
      </w:r>
      <w:r w:rsidR="001A3872">
        <w:t xml:space="preserve">motive power </w:t>
      </w:r>
      <w:r w:rsidR="00F8601E" w:rsidRPr="00F8601E">
        <w:t>electrification</w:t>
      </w:r>
      <w:r w:rsidR="001A3872">
        <w:t>, digitalization of rail yard</w:t>
      </w:r>
      <w:r w:rsidR="00016C63">
        <w:t>s</w:t>
      </w:r>
      <w:r w:rsidR="001A3872">
        <w:t xml:space="preserve"> and other operations,</w:t>
      </w:r>
      <w:r w:rsidR="00F8601E" w:rsidRPr="00F8601E">
        <w:t xml:space="preserve"> </w:t>
      </w:r>
      <w:r w:rsidR="00EF17CC">
        <w:t>and the physical and financial suitability of</w:t>
      </w:r>
      <w:r w:rsidR="00F8601E" w:rsidRPr="00F8601E">
        <w:t xml:space="preserve"> ROW</w:t>
      </w:r>
      <w:r w:rsidR="00016C63">
        <w:t>s</w:t>
      </w:r>
      <w:r w:rsidR="00F8601E" w:rsidRPr="00F8601E">
        <w:t xml:space="preserve"> </w:t>
      </w:r>
      <w:r w:rsidR="00EF17CC">
        <w:t>as</w:t>
      </w:r>
      <w:r w:rsidR="00F8601E" w:rsidRPr="00F8601E">
        <w:t xml:space="preserve"> transmission </w:t>
      </w:r>
      <w:r w:rsidR="006B5319">
        <w:t xml:space="preserve">(see </w:t>
      </w:r>
      <w:hyperlink r:id="rId9" w:history="1">
        <w:r w:rsidR="001C1B11" w:rsidRPr="00751CEA">
          <w:rPr>
            <w:rStyle w:val="Hyperlink"/>
          </w:rPr>
          <w:t>https://Rail-Grid.org</w:t>
        </w:r>
      </w:hyperlink>
      <w:r w:rsidR="001C1B11">
        <w:t xml:space="preserve">) </w:t>
      </w:r>
    </w:p>
    <w:p w14:paraId="654D0B20" w14:textId="77777777" w:rsidR="00122768" w:rsidRPr="00122768" w:rsidRDefault="00F84C02" w:rsidP="006C5787">
      <w:pPr>
        <w:pStyle w:val="ListParagraph"/>
        <w:numPr>
          <w:ilvl w:val="0"/>
          <w:numId w:val="16"/>
        </w:numPr>
        <w:spacing w:line="276" w:lineRule="auto"/>
        <w:rPr>
          <w:rFonts w:asciiTheme="majorHAnsi" w:hAnsiTheme="majorHAnsi"/>
        </w:rPr>
      </w:pPr>
      <w:r>
        <w:t>Commentar</w:t>
      </w:r>
      <w:r w:rsidR="00C52E29">
        <w:t>y</w:t>
      </w:r>
      <w:r>
        <w:t xml:space="preserve"> on the state of railroads for electricity </w:t>
      </w:r>
      <w:proofErr w:type="gramStart"/>
      <w:r>
        <w:t>practitioner</w:t>
      </w:r>
      <w:proofErr w:type="gramEnd"/>
      <w:r w:rsidR="00C52E29">
        <w:t xml:space="preserve">, </w:t>
      </w:r>
      <w:r w:rsidR="00C52E29" w:rsidRPr="00122768">
        <w:rPr>
          <w:i/>
          <w:iCs/>
        </w:rPr>
        <w:t>Rail Age</w:t>
      </w:r>
    </w:p>
    <w:p w14:paraId="07546354" w14:textId="77777777" w:rsidR="00122768" w:rsidRDefault="00F84C02" w:rsidP="006C5787">
      <w:pPr>
        <w:pStyle w:val="ListParagraph"/>
        <w:numPr>
          <w:ilvl w:val="0"/>
          <w:numId w:val="16"/>
        </w:numPr>
        <w:spacing w:line="276" w:lineRule="auto"/>
        <w:rPr>
          <w:rFonts w:asciiTheme="majorHAnsi" w:hAnsiTheme="majorHAnsi"/>
        </w:rPr>
      </w:pPr>
      <w:r>
        <w:t>Commentary on the electric system</w:t>
      </w:r>
      <w:r w:rsidR="00DD56E2">
        <w:t>’s transformations, for railroaders</w:t>
      </w:r>
      <w:r w:rsidR="003077BD">
        <w:t xml:space="preserve">, </w:t>
      </w:r>
      <w:r w:rsidR="003077BD" w:rsidRPr="00122768">
        <w:rPr>
          <w:i/>
          <w:iCs/>
        </w:rPr>
        <w:t>Rail Age</w:t>
      </w:r>
    </w:p>
    <w:p w14:paraId="2A921E18" w14:textId="77777777" w:rsidR="00122768" w:rsidRDefault="009F41C1" w:rsidP="006C5787">
      <w:pPr>
        <w:pStyle w:val="ListParagraph"/>
        <w:numPr>
          <w:ilvl w:val="0"/>
          <w:numId w:val="16"/>
        </w:numPr>
        <w:spacing w:line="276" w:lineRule="auto"/>
        <w:rPr>
          <w:rFonts w:asciiTheme="majorHAnsi" w:hAnsiTheme="majorHAnsi"/>
        </w:rPr>
      </w:pPr>
      <w:r>
        <w:t xml:space="preserve">Review of </w:t>
      </w:r>
      <w:r w:rsidR="00716979">
        <w:t xml:space="preserve">the gap analysis and data appendices </w:t>
      </w:r>
      <w:r w:rsidR="00794C83">
        <w:t>produced by</w:t>
      </w:r>
      <w:r w:rsidR="00716979">
        <w:t xml:space="preserve"> PNNL and Volpe Center regarding the potential for co-location of electric transmission along railroad ROWs</w:t>
      </w:r>
      <w:r w:rsidR="00313C1B">
        <w:t>, as first discussed at the National Academy forum in April</w:t>
      </w:r>
    </w:p>
    <w:p w14:paraId="5FB34BC9" w14:textId="77777777" w:rsidR="00C522AD" w:rsidRPr="00237328" w:rsidRDefault="00EC00D9" w:rsidP="006C5787">
      <w:pPr>
        <w:pStyle w:val="ListParagraph"/>
        <w:numPr>
          <w:ilvl w:val="0"/>
          <w:numId w:val="16"/>
        </w:numPr>
        <w:spacing w:line="276" w:lineRule="auto"/>
        <w:rPr>
          <w:rFonts w:asciiTheme="majorHAnsi" w:hAnsiTheme="majorHAnsi"/>
        </w:rPr>
      </w:pPr>
      <w:r>
        <w:t>Strategic consultations with</w:t>
      </w:r>
      <w:proofErr w:type="gramStart"/>
      <w:r w:rsidR="007211DC">
        <w:t xml:space="preserve">: </w:t>
      </w:r>
      <w:r>
        <w:t xml:space="preserve"> </w:t>
      </w:r>
      <w:r w:rsidR="003312A6">
        <w:t>National</w:t>
      </w:r>
      <w:proofErr w:type="gramEnd"/>
      <w:r w:rsidR="003312A6">
        <w:t xml:space="preserve"> Governors Association staff and State DOTs on transmission siting and permitting in existing ROWs</w:t>
      </w:r>
      <w:r w:rsidR="00BF4E59">
        <w:t>;</w:t>
      </w:r>
      <w:r w:rsidR="003312A6">
        <w:t xml:space="preserve"> </w:t>
      </w:r>
      <w:r>
        <w:t xml:space="preserve">Allie Kelly (The Ray), </w:t>
      </w:r>
      <w:r w:rsidR="008C3C10">
        <w:t>Electrification Coalition (Advanced Freight Partnership Group</w:t>
      </w:r>
      <w:proofErr w:type="gramStart"/>
      <w:r w:rsidR="0021285B">
        <w:t>)</w:t>
      </w:r>
      <w:r w:rsidR="00BF4E59">
        <w:t xml:space="preserve">; </w:t>
      </w:r>
      <w:r w:rsidR="00394589">
        <w:t xml:space="preserve"> the</w:t>
      </w:r>
      <w:proofErr w:type="gramEnd"/>
      <w:r w:rsidR="00394589">
        <w:t xml:space="preserve"> </w:t>
      </w:r>
      <w:r w:rsidR="007211DC">
        <w:t>O</w:t>
      </w:r>
      <w:r w:rsidR="00394589">
        <w:t>ffice of the Secr</w:t>
      </w:r>
      <w:r w:rsidR="00887750">
        <w:t>eta</w:t>
      </w:r>
      <w:r w:rsidR="00394589">
        <w:t>ry of Transportation</w:t>
      </w:r>
      <w:r w:rsidR="00887750">
        <w:t xml:space="preserve"> </w:t>
      </w:r>
      <w:proofErr w:type="gramStart"/>
      <w:r w:rsidR="00BF4E59">
        <w:t xml:space="preserve">and </w:t>
      </w:r>
      <w:r w:rsidR="0032650C">
        <w:t xml:space="preserve"> </w:t>
      </w:r>
      <w:r w:rsidR="00887750">
        <w:t>Build</w:t>
      </w:r>
      <w:proofErr w:type="gramEnd"/>
      <w:r w:rsidR="00887750">
        <w:t xml:space="preserve"> America division</w:t>
      </w:r>
      <w:r w:rsidR="006867D5">
        <w:t xml:space="preserve">; </w:t>
      </w:r>
      <w:r w:rsidR="0021285B">
        <w:t>NextGen Highway</w:t>
      </w:r>
    </w:p>
    <w:p w14:paraId="6CFB2E13" w14:textId="77777777" w:rsidR="00237328" w:rsidRPr="00237328" w:rsidRDefault="00237328" w:rsidP="00237328">
      <w:pPr>
        <w:rPr>
          <w:rFonts w:asciiTheme="majorHAnsi" w:hAnsiTheme="majorHAnsi"/>
        </w:rPr>
      </w:pPr>
    </w:p>
    <w:p w14:paraId="1131084D" w14:textId="7C7218E3" w:rsidR="005C5E81" w:rsidRPr="005C5E81" w:rsidRDefault="005C5E81" w:rsidP="005C5E81">
      <w:pPr>
        <w:pStyle w:val="ListParagraph"/>
        <w:ind w:hanging="1170"/>
        <w:rPr>
          <w:rFonts w:asciiTheme="majorHAnsi" w:hAnsiTheme="majorHAnsi"/>
          <w:sz w:val="32"/>
          <w:szCs w:val="32"/>
        </w:rPr>
      </w:pPr>
      <w:r>
        <w:rPr>
          <w:b/>
          <w:bCs/>
          <w:sz w:val="32"/>
          <w:szCs w:val="32"/>
        </w:rPr>
        <w:t xml:space="preserve">        </w:t>
      </w:r>
      <w:r w:rsidR="00F8601E" w:rsidRPr="005C5E81">
        <w:rPr>
          <w:b/>
          <w:bCs/>
          <w:sz w:val="32"/>
          <w:szCs w:val="32"/>
        </w:rPr>
        <w:t>F</w:t>
      </w:r>
      <w:r w:rsidR="00237328">
        <w:rPr>
          <w:b/>
          <w:bCs/>
          <w:sz w:val="32"/>
          <w:szCs w:val="32"/>
        </w:rPr>
        <w:t>EDERAL AND STATE MATTERS</w:t>
      </w:r>
      <w:r w:rsidR="00962FE1" w:rsidRPr="005C5E81">
        <w:rPr>
          <w:b/>
          <w:bCs/>
          <w:sz w:val="32"/>
          <w:szCs w:val="32"/>
        </w:rPr>
        <w:t xml:space="preserve"> of Continued Interest</w:t>
      </w:r>
    </w:p>
    <w:p w14:paraId="79F1382A" w14:textId="77777777" w:rsidR="006366E0" w:rsidRDefault="0000069F" w:rsidP="006C5787">
      <w:pPr>
        <w:pStyle w:val="Heading2"/>
        <w:numPr>
          <w:ilvl w:val="0"/>
          <w:numId w:val="16"/>
        </w:numPr>
        <w:spacing w:line="276" w:lineRule="auto"/>
        <w:rPr>
          <w:color w:val="auto"/>
          <w:sz w:val="24"/>
          <w:szCs w:val="24"/>
        </w:rPr>
      </w:pPr>
      <w:r w:rsidRPr="003E4D88">
        <w:rPr>
          <w:color w:val="auto"/>
          <w:sz w:val="24"/>
          <w:szCs w:val="24"/>
        </w:rPr>
        <w:t xml:space="preserve">Follow-up on </w:t>
      </w:r>
      <w:r w:rsidR="00FE21ED" w:rsidRPr="003E4D88">
        <w:rPr>
          <w:color w:val="auto"/>
          <w:sz w:val="24"/>
          <w:szCs w:val="24"/>
        </w:rPr>
        <w:t xml:space="preserve">2024-2025 </w:t>
      </w:r>
      <w:r w:rsidR="00F8601E" w:rsidRPr="003E4D88">
        <w:rPr>
          <w:color w:val="auto"/>
          <w:sz w:val="24"/>
          <w:szCs w:val="24"/>
        </w:rPr>
        <w:t>requests to the Administration for FRA</w:t>
      </w:r>
      <w:r w:rsidR="00763874" w:rsidRPr="003E4D88">
        <w:rPr>
          <w:color w:val="auto"/>
          <w:sz w:val="24"/>
          <w:szCs w:val="24"/>
        </w:rPr>
        <w:t xml:space="preserve">, </w:t>
      </w:r>
      <w:r w:rsidR="00F8601E" w:rsidRPr="003E4D88">
        <w:rPr>
          <w:color w:val="auto"/>
          <w:sz w:val="24"/>
          <w:szCs w:val="24"/>
        </w:rPr>
        <w:t>STB</w:t>
      </w:r>
      <w:r w:rsidR="00763874" w:rsidRPr="003E4D88">
        <w:rPr>
          <w:color w:val="auto"/>
          <w:sz w:val="24"/>
          <w:szCs w:val="24"/>
        </w:rPr>
        <w:t>, DOE</w:t>
      </w:r>
      <w:r w:rsidR="00F3512C" w:rsidRPr="003E4D88">
        <w:rPr>
          <w:color w:val="auto"/>
          <w:sz w:val="24"/>
          <w:szCs w:val="24"/>
        </w:rPr>
        <w:t>, and FERC</w:t>
      </w:r>
      <w:r w:rsidR="00F8601E" w:rsidRPr="003E4D88">
        <w:rPr>
          <w:color w:val="auto"/>
          <w:sz w:val="24"/>
          <w:szCs w:val="24"/>
        </w:rPr>
        <w:t xml:space="preserve"> </w:t>
      </w:r>
      <w:r w:rsidR="00C40F32" w:rsidRPr="003E4D88">
        <w:rPr>
          <w:color w:val="auto"/>
          <w:sz w:val="24"/>
          <w:szCs w:val="24"/>
        </w:rPr>
        <w:t xml:space="preserve">to </w:t>
      </w:r>
      <w:r w:rsidR="00F3512C" w:rsidRPr="003E4D88">
        <w:rPr>
          <w:color w:val="auto"/>
          <w:sz w:val="24"/>
          <w:szCs w:val="24"/>
        </w:rPr>
        <w:t>support consideration of</w:t>
      </w:r>
      <w:r w:rsidR="00F8601E" w:rsidRPr="003E4D88">
        <w:rPr>
          <w:color w:val="auto"/>
          <w:sz w:val="24"/>
          <w:szCs w:val="24"/>
        </w:rPr>
        <w:t xml:space="preserve"> rail </w:t>
      </w:r>
      <w:r w:rsidR="00C40F32" w:rsidRPr="003E4D88">
        <w:rPr>
          <w:color w:val="auto"/>
          <w:sz w:val="24"/>
          <w:szCs w:val="24"/>
        </w:rPr>
        <w:t xml:space="preserve">and other transportation </w:t>
      </w:r>
      <w:r w:rsidR="00F8601E" w:rsidRPr="003E4D88">
        <w:rPr>
          <w:color w:val="auto"/>
          <w:sz w:val="24"/>
          <w:szCs w:val="24"/>
        </w:rPr>
        <w:t xml:space="preserve">ROWs as </w:t>
      </w:r>
      <w:r w:rsidR="00C40F32" w:rsidRPr="003E4D88">
        <w:rPr>
          <w:color w:val="auto"/>
          <w:sz w:val="24"/>
          <w:szCs w:val="24"/>
        </w:rPr>
        <w:t xml:space="preserve">an integral part of </w:t>
      </w:r>
      <w:r w:rsidR="00F8601E" w:rsidRPr="003E4D88">
        <w:rPr>
          <w:color w:val="auto"/>
          <w:sz w:val="24"/>
          <w:szCs w:val="24"/>
        </w:rPr>
        <w:t xml:space="preserve">transmission </w:t>
      </w:r>
      <w:r w:rsidR="00034E49" w:rsidRPr="003E4D88">
        <w:rPr>
          <w:color w:val="auto"/>
          <w:sz w:val="24"/>
          <w:szCs w:val="24"/>
        </w:rPr>
        <w:t>planning</w:t>
      </w:r>
      <w:r w:rsidR="006366E0">
        <w:rPr>
          <w:color w:val="auto"/>
          <w:sz w:val="24"/>
          <w:szCs w:val="24"/>
        </w:rPr>
        <w:t xml:space="preserve"> </w:t>
      </w:r>
    </w:p>
    <w:p w14:paraId="7B25CDBE" w14:textId="045407BB" w:rsidR="00D01E8D" w:rsidRPr="006366E0" w:rsidRDefault="00F8601E" w:rsidP="006C5787">
      <w:pPr>
        <w:pStyle w:val="Heading2"/>
        <w:numPr>
          <w:ilvl w:val="0"/>
          <w:numId w:val="16"/>
        </w:numPr>
        <w:spacing w:line="276" w:lineRule="auto"/>
        <w:rPr>
          <w:color w:val="auto"/>
          <w:sz w:val="24"/>
          <w:szCs w:val="24"/>
        </w:rPr>
      </w:pPr>
      <w:r w:rsidRPr="006366E0">
        <w:rPr>
          <w:color w:val="auto"/>
          <w:sz w:val="24"/>
          <w:szCs w:val="24"/>
        </w:rPr>
        <w:t>Advising congressional staff on transmission and rail policy integration.</w:t>
      </w:r>
      <w:r w:rsidR="003D5F6E" w:rsidRPr="006366E0">
        <w:rPr>
          <w:color w:val="auto"/>
          <w:sz w:val="24"/>
          <w:szCs w:val="24"/>
        </w:rPr>
        <w:t xml:space="preserve"> For example, </w:t>
      </w:r>
      <w:r w:rsidR="00FA594D" w:rsidRPr="006366E0">
        <w:rPr>
          <w:color w:val="auto"/>
          <w:sz w:val="24"/>
          <w:szCs w:val="24"/>
        </w:rPr>
        <w:t>engaging</w:t>
      </w:r>
      <w:r w:rsidR="003D5F6E" w:rsidRPr="006366E0">
        <w:rPr>
          <w:color w:val="auto"/>
          <w:sz w:val="24"/>
          <w:szCs w:val="24"/>
        </w:rPr>
        <w:t xml:space="preserve"> in legislative discussions on </w:t>
      </w:r>
      <w:r w:rsidR="00CD1D70" w:rsidRPr="006366E0">
        <w:rPr>
          <w:color w:val="auto"/>
          <w:sz w:val="24"/>
          <w:szCs w:val="24"/>
        </w:rPr>
        <w:t xml:space="preserve">proposed </w:t>
      </w:r>
      <w:r w:rsidR="00DF46BE" w:rsidRPr="006366E0">
        <w:rPr>
          <w:color w:val="auto"/>
          <w:sz w:val="24"/>
          <w:szCs w:val="24"/>
        </w:rPr>
        <w:t>bills</w:t>
      </w:r>
      <w:r w:rsidR="003D5F6E" w:rsidRPr="006366E0">
        <w:rPr>
          <w:color w:val="auto"/>
          <w:sz w:val="24"/>
          <w:szCs w:val="24"/>
        </w:rPr>
        <w:t xml:space="preserve"> such as the Battery and Regenerative Braking (BRB) Act, Forging Ahead on Rail Electrification (FARE) Act, SAFE CROSS </w:t>
      </w:r>
      <w:r w:rsidR="003D5F6E" w:rsidRPr="006366E0">
        <w:rPr>
          <w:color w:val="auto"/>
          <w:sz w:val="24"/>
          <w:szCs w:val="24"/>
        </w:rPr>
        <w:tab/>
        <w:t>Act, and the Rail and Highway Transmission Planning Act</w:t>
      </w:r>
      <w:r w:rsidR="00B52B22">
        <w:rPr>
          <w:color w:val="auto"/>
          <w:sz w:val="24"/>
          <w:szCs w:val="24"/>
        </w:rPr>
        <w:t xml:space="preserve">; Standardizing Permitting </w:t>
      </w:r>
      <w:proofErr w:type="gramStart"/>
      <w:r w:rsidR="00B52B22">
        <w:rPr>
          <w:color w:val="auto"/>
          <w:sz w:val="24"/>
          <w:szCs w:val="24"/>
        </w:rPr>
        <w:t xml:space="preserve">Expedition </w:t>
      </w:r>
      <w:r w:rsidR="00301796">
        <w:rPr>
          <w:color w:val="auto"/>
          <w:sz w:val="24"/>
          <w:szCs w:val="24"/>
        </w:rPr>
        <w:t xml:space="preserve"> and</w:t>
      </w:r>
      <w:proofErr w:type="gramEnd"/>
      <w:r w:rsidR="00301796">
        <w:rPr>
          <w:color w:val="auto"/>
          <w:sz w:val="24"/>
          <w:szCs w:val="24"/>
        </w:rPr>
        <w:t xml:space="preserve"> Economic Development (SPEED) Act</w:t>
      </w:r>
    </w:p>
    <w:p w14:paraId="70D24934" w14:textId="7BBA760E" w:rsidR="00A20FCA" w:rsidRDefault="00A20FCA" w:rsidP="006C5787">
      <w:pPr>
        <w:pStyle w:val="ListParagraph"/>
        <w:numPr>
          <w:ilvl w:val="0"/>
          <w:numId w:val="16"/>
        </w:numPr>
        <w:spacing w:line="276" w:lineRule="auto"/>
      </w:pPr>
      <w:r>
        <w:t>Monitor</w:t>
      </w:r>
      <w:r w:rsidR="00D01E8D">
        <w:t>ing</w:t>
      </w:r>
      <w:r>
        <w:t xml:space="preserve"> development of </w:t>
      </w:r>
      <w:r w:rsidR="00E1654F">
        <w:t xml:space="preserve">periodic </w:t>
      </w:r>
      <w:r>
        <w:t xml:space="preserve">state rail plans </w:t>
      </w:r>
      <w:r w:rsidR="00AB53AE">
        <w:t>for possible inclusion of electrification</w:t>
      </w:r>
      <w:r w:rsidR="00E566D0">
        <w:t xml:space="preserve"> and other</w:t>
      </w:r>
      <w:r w:rsidR="005C5E81">
        <w:t xml:space="preserve"> cross-sector</w:t>
      </w:r>
      <w:r w:rsidR="00E566D0">
        <w:t xml:space="preserve"> modernization</w:t>
      </w:r>
      <w:r w:rsidR="00AB53AE">
        <w:t xml:space="preserve"> policies. </w:t>
      </w:r>
    </w:p>
    <w:p w14:paraId="6A213EF8" w14:textId="6ACAC262" w:rsidR="00DD524D" w:rsidRDefault="00DD524D" w:rsidP="006C5787">
      <w:pPr>
        <w:pStyle w:val="ListParagraph"/>
        <w:numPr>
          <w:ilvl w:val="0"/>
          <w:numId w:val="16"/>
        </w:numPr>
        <w:spacing w:line="276" w:lineRule="auto"/>
      </w:pPr>
      <w:r>
        <w:lastRenderedPageBreak/>
        <w:t>Participation in DOE’s (</w:t>
      </w:r>
      <w:proofErr w:type="gramStart"/>
      <w:r>
        <w:t>Grid  Deployment</w:t>
      </w:r>
      <w:proofErr w:type="gramEnd"/>
      <w:r>
        <w:t xml:space="preserve"> </w:t>
      </w:r>
      <w:r w:rsidR="00E3778C">
        <w:t xml:space="preserve">Office) Request </w:t>
      </w:r>
      <w:proofErr w:type="gramStart"/>
      <w:r w:rsidR="00E3778C">
        <w:t>For</w:t>
      </w:r>
      <w:proofErr w:type="gramEnd"/>
      <w:r w:rsidR="00E3778C">
        <w:t xml:space="preserve"> Information</w:t>
      </w:r>
      <w:r w:rsidR="000B2922">
        <w:t xml:space="preserve"> </w:t>
      </w:r>
      <w:proofErr w:type="gramStart"/>
      <w:r w:rsidR="00E3778C">
        <w:t>proceeding</w:t>
      </w:r>
      <w:r w:rsidR="000B2922">
        <w:t xml:space="preserve"> </w:t>
      </w:r>
      <w:r w:rsidR="00E3778C">
        <w:t xml:space="preserve"> </w:t>
      </w:r>
      <w:r w:rsidR="00DE3BBF">
        <w:t>--</w:t>
      </w:r>
      <w:proofErr w:type="gramEnd"/>
      <w:r w:rsidR="00DE3BBF">
        <w:t xml:space="preserve"> </w:t>
      </w:r>
      <w:r w:rsidR="00E3778C">
        <w:t xml:space="preserve">“Speed </w:t>
      </w:r>
      <w:proofErr w:type="gramStart"/>
      <w:r w:rsidR="00E3778C">
        <w:t>To</w:t>
      </w:r>
      <w:proofErr w:type="gramEnd"/>
      <w:r w:rsidR="00E3778C">
        <w:t xml:space="preserve"> Power</w:t>
      </w:r>
      <w:r w:rsidR="00DE3BBF">
        <w:t>”</w:t>
      </w:r>
      <w:r w:rsidR="00E3778C">
        <w:t xml:space="preserve"> Initiative</w:t>
      </w:r>
      <w:r w:rsidR="00DE3BBF">
        <w:t xml:space="preserve"> --</w:t>
      </w:r>
      <w:r w:rsidR="00D61C9D">
        <w:t xml:space="preserve"> in light </w:t>
      </w:r>
      <w:proofErr w:type="gramStart"/>
      <w:r w:rsidR="00D61C9D">
        <w:t>of  high</w:t>
      </w:r>
      <w:proofErr w:type="gramEnd"/>
      <w:r w:rsidR="00D61C9D">
        <w:t xml:space="preserve"> density electricity demand</w:t>
      </w:r>
      <w:r w:rsidR="00D90B40">
        <w:t xml:space="preserve"> for new large loads and the need for </w:t>
      </w:r>
      <w:r w:rsidR="00DE3BBF">
        <w:t xml:space="preserve">accelerated </w:t>
      </w:r>
      <w:r w:rsidR="00D90B40">
        <w:t>planning</w:t>
      </w:r>
      <w:r w:rsidR="00167ED5">
        <w:t xml:space="preserve">  </w:t>
      </w:r>
    </w:p>
    <w:p w14:paraId="35B35D20" w14:textId="59B20888" w:rsidR="0057574A" w:rsidRDefault="0057574A" w:rsidP="006C5787">
      <w:pPr>
        <w:pStyle w:val="ListParagraph"/>
        <w:numPr>
          <w:ilvl w:val="0"/>
          <w:numId w:val="16"/>
        </w:numPr>
        <w:spacing w:line="276" w:lineRule="auto"/>
      </w:pPr>
      <w:r>
        <w:t xml:space="preserve">DOE’s </w:t>
      </w:r>
      <w:r w:rsidR="00B12042">
        <w:t>d</w:t>
      </w:r>
      <w:r>
        <w:t xml:space="preserve">irective to FERC </w:t>
      </w:r>
      <w:r w:rsidR="00B12042">
        <w:t>to facilitate large load interconnection</w:t>
      </w:r>
      <w:r w:rsidR="00B12E7A">
        <w:t xml:space="preserve"> (</w:t>
      </w:r>
      <w:r w:rsidR="00167ED5">
        <w:t>action required by 4/30/25</w:t>
      </w:r>
      <w:r w:rsidR="003349AE">
        <w:t>)</w:t>
      </w:r>
    </w:p>
    <w:p w14:paraId="4FC85500" w14:textId="77777777" w:rsidR="009E241C" w:rsidRDefault="003349AE" w:rsidP="006C5787">
      <w:pPr>
        <w:pStyle w:val="ListParagraph"/>
        <w:numPr>
          <w:ilvl w:val="0"/>
          <w:numId w:val="16"/>
        </w:numPr>
        <w:spacing w:line="276" w:lineRule="auto"/>
      </w:pPr>
      <w:proofErr w:type="gramStart"/>
      <w:r>
        <w:t>Analyze</w:t>
      </w:r>
      <w:proofErr w:type="gramEnd"/>
      <w:r>
        <w:t xml:space="preserve"> relevance of NERC’s interregional transfer capacity </w:t>
      </w:r>
      <w:r w:rsidR="00376B0D">
        <w:t>study, FERC docket AD23-3</w:t>
      </w:r>
    </w:p>
    <w:p w14:paraId="7A411C7B" w14:textId="77777777" w:rsidR="009E241C" w:rsidRDefault="00336351" w:rsidP="009E241C">
      <w:pPr>
        <w:pStyle w:val="ListParagraph"/>
        <w:numPr>
          <w:ilvl w:val="0"/>
          <w:numId w:val="16"/>
        </w:numPr>
      </w:pPr>
      <w:r w:rsidRPr="00F8601E">
        <w:t xml:space="preserve">Monitoring FERC EL25-105 (MISO MVP LRTP Tranche 2.1 </w:t>
      </w:r>
      <w:r w:rsidR="007C4CD4">
        <w:t>F</w:t>
      </w:r>
      <w:r>
        <w:t xml:space="preserve">ive states’ </w:t>
      </w:r>
      <w:r w:rsidRPr="00F8601E">
        <w:t>complaint case) and considering involvement in support of transmission expansion</w:t>
      </w:r>
      <w:r w:rsidR="00CD3EC7">
        <w:t xml:space="preserve"> and broad cost allocations</w:t>
      </w:r>
      <w:r w:rsidRPr="00F8601E">
        <w:t>.</w:t>
      </w:r>
    </w:p>
    <w:p w14:paraId="130A111D" w14:textId="686CD2D1" w:rsidR="00FD6A67" w:rsidRDefault="00336351" w:rsidP="007F4D2F">
      <w:pPr>
        <w:pStyle w:val="ListParagraph"/>
        <w:numPr>
          <w:ilvl w:val="0"/>
          <w:numId w:val="16"/>
        </w:numPr>
      </w:pPr>
      <w:r w:rsidRPr="00F8601E">
        <w:t>Tracking Order 1920 implementation and its implications for grid expansion.</w:t>
      </w:r>
      <w:r>
        <w:t xml:space="preserve"> Will </w:t>
      </w:r>
      <w:proofErr w:type="gramStart"/>
      <w:r>
        <w:t>siting</w:t>
      </w:r>
      <w:proofErr w:type="gramEnd"/>
      <w:r>
        <w:t xml:space="preserve"> and permitting reform or existing ROWs enter the mix?</w:t>
      </w:r>
    </w:p>
    <w:p w14:paraId="0D7CB613" w14:textId="77777777" w:rsidR="007F4D2F" w:rsidRPr="007F4D2F" w:rsidRDefault="007F4D2F" w:rsidP="007F4D2F">
      <w:pPr>
        <w:pStyle w:val="ListParagraph"/>
      </w:pPr>
    </w:p>
    <w:p w14:paraId="543BB946" w14:textId="77777777" w:rsidR="007F4D2F" w:rsidRDefault="007F4D2F" w:rsidP="007F4D2F">
      <w:pPr>
        <w:pStyle w:val="ListParagraph"/>
        <w:ind w:left="810" w:hanging="540"/>
        <w:rPr>
          <w:rFonts w:asciiTheme="majorHAnsi" w:hAnsiTheme="majorHAnsi"/>
          <w:sz w:val="32"/>
          <w:szCs w:val="32"/>
        </w:rPr>
      </w:pPr>
      <w:r w:rsidRPr="007F4D2F">
        <w:rPr>
          <w:rFonts w:asciiTheme="majorHAnsi" w:hAnsiTheme="majorHAnsi"/>
          <w:b/>
          <w:bCs/>
          <w:sz w:val="32"/>
          <w:szCs w:val="32"/>
        </w:rPr>
        <w:t>TRANSACTIONS of Continued Interest</w:t>
      </w:r>
      <w:r w:rsidR="006A21F2" w:rsidRPr="007F4D2F">
        <w:rPr>
          <w:rFonts w:asciiTheme="majorHAnsi" w:hAnsiTheme="majorHAnsi"/>
          <w:sz w:val="32"/>
          <w:szCs w:val="32"/>
        </w:rPr>
        <w:tab/>
      </w:r>
    </w:p>
    <w:p w14:paraId="17D29D9C" w14:textId="7F9026A7" w:rsidR="00FB6CC9" w:rsidRPr="007F4D2F" w:rsidRDefault="002F7C43" w:rsidP="007F4D2F">
      <w:pPr>
        <w:pStyle w:val="ListParagraph"/>
        <w:numPr>
          <w:ilvl w:val="0"/>
          <w:numId w:val="19"/>
        </w:numPr>
        <w:ind w:left="720"/>
        <w:rPr>
          <w:rFonts w:asciiTheme="majorHAnsi" w:hAnsiTheme="majorHAnsi"/>
          <w:sz w:val="32"/>
          <w:szCs w:val="32"/>
        </w:rPr>
      </w:pPr>
      <w:r>
        <w:t xml:space="preserve">Analysis of whether and how </w:t>
      </w:r>
      <w:r w:rsidR="002E35AF" w:rsidRPr="00F8601E">
        <w:t>Union Pacific’s acquisition of Norfolk Southern</w:t>
      </w:r>
      <w:r w:rsidR="00DB466C">
        <w:t xml:space="preserve"> </w:t>
      </w:r>
      <w:r>
        <w:t>creates opportunities</w:t>
      </w:r>
      <w:r w:rsidR="00EE695F">
        <w:t xml:space="preserve"> to </w:t>
      </w:r>
      <w:r>
        <w:t xml:space="preserve">explore or </w:t>
      </w:r>
      <w:r w:rsidR="00EE695F">
        <w:t>support</w:t>
      </w:r>
      <w:r>
        <w:t xml:space="preserve"> new business opportunities, </w:t>
      </w:r>
      <w:proofErr w:type="gramStart"/>
      <w:r>
        <w:t xml:space="preserve">including </w:t>
      </w:r>
      <w:r w:rsidR="00EE695F">
        <w:t xml:space="preserve"> </w:t>
      </w:r>
      <w:r>
        <w:t>acceleration</w:t>
      </w:r>
      <w:proofErr w:type="gramEnd"/>
      <w:r>
        <w:t xml:space="preserve"> of</w:t>
      </w:r>
      <w:r w:rsidR="004134C3">
        <w:t xml:space="preserve"> </w:t>
      </w:r>
      <w:r w:rsidR="00EE695F">
        <w:t xml:space="preserve">electric </w:t>
      </w:r>
      <w:proofErr w:type="spellStart"/>
      <w:r w:rsidR="00EE695F">
        <w:t>macrogrid</w:t>
      </w:r>
      <w:proofErr w:type="spellEnd"/>
      <w:r>
        <w:t xml:space="preserve"> development</w:t>
      </w:r>
      <w:r w:rsidR="00EE695F">
        <w:t xml:space="preserve">, </w:t>
      </w:r>
      <w:r w:rsidR="002816B3">
        <w:t>fundamental</w:t>
      </w:r>
      <w:r w:rsidR="00613084">
        <w:t xml:space="preserve"> </w:t>
      </w:r>
      <w:r w:rsidR="002816B3">
        <w:t>reassessment of Class 1 operations</w:t>
      </w:r>
      <w:r>
        <w:t>,</w:t>
      </w:r>
      <w:r w:rsidR="004D1E3D">
        <w:t xml:space="preserve"> financi</w:t>
      </w:r>
      <w:r>
        <w:t>ng,</w:t>
      </w:r>
      <w:r w:rsidR="004D1E3D">
        <w:t xml:space="preserve"> or planning partnerships</w:t>
      </w:r>
      <w:r w:rsidR="00266C4A">
        <w:t xml:space="preserve">, </w:t>
      </w:r>
      <w:r w:rsidR="00C673DD">
        <w:t xml:space="preserve">competition, </w:t>
      </w:r>
      <w:r w:rsidR="00266C4A">
        <w:t>more dynamic</w:t>
      </w:r>
      <w:r w:rsidR="000857F0">
        <w:t xml:space="preserve"> </w:t>
      </w:r>
      <w:r w:rsidR="00C673DD">
        <w:t xml:space="preserve">linked </w:t>
      </w:r>
      <w:proofErr w:type="gramStart"/>
      <w:r w:rsidR="00C673DD">
        <w:t xml:space="preserve">services, </w:t>
      </w:r>
      <w:r w:rsidR="000857F0">
        <w:t xml:space="preserve"> or</w:t>
      </w:r>
      <w:proofErr w:type="gramEnd"/>
      <w:r w:rsidR="000857F0">
        <w:t xml:space="preserve"> </w:t>
      </w:r>
      <w:proofErr w:type="gramStart"/>
      <w:r w:rsidR="000857F0">
        <w:t xml:space="preserve">stronger </w:t>
      </w:r>
      <w:r w:rsidR="00C673DD">
        <w:t xml:space="preserve"> supply</w:t>
      </w:r>
      <w:proofErr w:type="gramEnd"/>
      <w:r w:rsidR="00C673DD">
        <w:t xml:space="preserve"> chains</w:t>
      </w:r>
    </w:p>
    <w:p w14:paraId="4141F490" w14:textId="77777777" w:rsidR="00DE3BBF" w:rsidRDefault="00C673DD" w:rsidP="00DE3BBF">
      <w:pPr>
        <w:pStyle w:val="ListParagraph"/>
        <w:numPr>
          <w:ilvl w:val="0"/>
          <w:numId w:val="19"/>
        </w:numPr>
        <w:ind w:left="720"/>
        <w:rPr>
          <w:rFonts w:asciiTheme="majorHAnsi" w:hAnsiTheme="majorHAnsi"/>
          <w:sz w:val="32"/>
          <w:szCs w:val="32"/>
        </w:rPr>
      </w:pPr>
      <w:r>
        <w:t xml:space="preserve">Analysis of the </w:t>
      </w:r>
      <w:r w:rsidR="00F8601E" w:rsidRPr="00F8601E">
        <w:t xml:space="preserve">University of Texas </w:t>
      </w:r>
      <w:r w:rsidR="004F3027">
        <w:t xml:space="preserve">[FRA] </w:t>
      </w:r>
      <w:r w:rsidR="00F8601E" w:rsidRPr="00F8601E">
        <w:t>study o</w:t>
      </w:r>
      <w:r w:rsidR="002E35AF">
        <w:t>f</w:t>
      </w:r>
      <w:r w:rsidR="00F8601E" w:rsidRPr="00F8601E">
        <w:t xml:space="preserve"> freight electrification via catenary and battery</w:t>
      </w:r>
      <w:r w:rsidR="00FB6CC9">
        <w:t xml:space="preserve"> </w:t>
      </w:r>
      <w:r w:rsidR="00F8601E" w:rsidRPr="00F8601E">
        <w:t>technologies</w:t>
      </w:r>
      <w:r w:rsidR="004F3027">
        <w:t>; implications for potential electrification</w:t>
      </w:r>
      <w:r w:rsidR="002F7C43">
        <w:t xml:space="preserve"> or incremental changes that capitalize on rail’s strategic network facilities, new technologies, or low-carbon fuel </w:t>
      </w:r>
      <w:proofErr w:type="gramStart"/>
      <w:r w:rsidR="002F7C43">
        <w:t>resources</w:t>
      </w:r>
      <w:r w:rsidR="006308EF">
        <w:t xml:space="preserve">; </w:t>
      </w:r>
      <w:r w:rsidR="00D0086F">
        <w:t xml:space="preserve"> determine</w:t>
      </w:r>
      <w:proofErr w:type="gramEnd"/>
      <w:r w:rsidR="006308EF">
        <w:t xml:space="preserve"> </w:t>
      </w:r>
      <w:r w:rsidR="00942F14">
        <w:t xml:space="preserve">potential for </w:t>
      </w:r>
      <w:r w:rsidR="006308EF">
        <w:t xml:space="preserve">expansion of this </w:t>
      </w:r>
      <w:r w:rsidR="00942F14">
        <w:t>and other studies</w:t>
      </w:r>
      <w:r w:rsidR="00AB53AE">
        <w:t>.</w:t>
      </w:r>
    </w:p>
    <w:p w14:paraId="7FFEEF4F" w14:textId="62487C9F" w:rsidR="00966D67" w:rsidRPr="00DE3BBF" w:rsidRDefault="00DE3BBF" w:rsidP="00DE3BBF">
      <w:pPr>
        <w:pStyle w:val="ListParagraph"/>
        <w:numPr>
          <w:ilvl w:val="0"/>
          <w:numId w:val="19"/>
        </w:numPr>
        <w:ind w:left="720"/>
        <w:rPr>
          <w:rFonts w:asciiTheme="majorHAnsi" w:hAnsiTheme="majorHAnsi"/>
          <w:sz w:val="32"/>
          <w:szCs w:val="32"/>
        </w:rPr>
      </w:pPr>
      <w:r>
        <w:t>The basics of i</w:t>
      </w:r>
      <w:r w:rsidR="00F8601E" w:rsidRPr="00F8601E">
        <w:t>ndustry</w:t>
      </w:r>
      <w:r w:rsidR="004D4CAB">
        <w:t xml:space="preserve"> </w:t>
      </w:r>
      <w:r w:rsidR="00F8601E" w:rsidRPr="00F8601E">
        <w:t xml:space="preserve">opposition to electrification </w:t>
      </w:r>
      <w:r w:rsidR="00A0170A">
        <w:t>(</w:t>
      </w:r>
      <w:r w:rsidR="00F8601E" w:rsidRPr="00F8601E">
        <w:t>Association of American Railroads (AAR)</w:t>
      </w:r>
      <w:r w:rsidR="00A0170A">
        <w:t xml:space="preserve">) </w:t>
      </w:r>
      <w:r w:rsidR="00036B95">
        <w:t xml:space="preserve">has </w:t>
      </w:r>
      <w:r w:rsidR="00E746E9">
        <w:t>stimulate</w:t>
      </w:r>
      <w:r w:rsidR="00036B95">
        <w:t>d</w:t>
      </w:r>
      <w:r w:rsidR="00E746E9">
        <w:t xml:space="preserve"> a conversation about the future of transportation decarbonization, the cost of changing fuels, interoperability, preserving industry returns</w:t>
      </w:r>
      <w:r w:rsidR="00FB2081">
        <w:t>, and what innovation by freight railroads</w:t>
      </w:r>
      <w:r>
        <w:t>, and its relationship to passenger rail,</w:t>
      </w:r>
      <w:r w:rsidR="00FB2081">
        <w:t xml:space="preserve"> will or will not look like in the</w:t>
      </w:r>
      <w:r>
        <w:t xml:space="preserve"> next quarter century</w:t>
      </w:r>
      <w:r w:rsidR="00FB2081">
        <w:t>.</w:t>
      </w:r>
    </w:p>
    <w:p w14:paraId="3AE48A07" w14:textId="19B0BD1F" w:rsidR="00F8601E" w:rsidRPr="00966D67" w:rsidRDefault="005B2585" w:rsidP="00966D67">
      <w:pPr>
        <w:pStyle w:val="ListParagraph"/>
        <w:numPr>
          <w:ilvl w:val="0"/>
          <w:numId w:val="19"/>
        </w:numPr>
        <w:ind w:left="720"/>
        <w:rPr>
          <w:rFonts w:asciiTheme="majorHAnsi" w:hAnsiTheme="majorHAnsi"/>
          <w:sz w:val="32"/>
          <w:szCs w:val="32"/>
        </w:rPr>
      </w:pPr>
      <w:r>
        <w:t>E</w:t>
      </w:r>
      <w:r w:rsidR="00F8601E" w:rsidRPr="00F8601E">
        <w:t>ngagement with Southern California Edison on a rail electrification test project</w:t>
      </w:r>
      <w:r w:rsidR="00073003" w:rsidRPr="00966D67">
        <w:rPr>
          <w:rFonts w:eastAsia="Times New Roman"/>
        </w:rPr>
        <w:t xml:space="preserve"> "in San Bernardino County</w:t>
      </w:r>
      <w:r w:rsidR="00E17CF8">
        <w:rPr>
          <w:rFonts w:eastAsia="Times New Roman"/>
        </w:rPr>
        <w:t>, California</w:t>
      </w:r>
      <w:r w:rsidR="00073003" w:rsidRPr="00966D67">
        <w:rPr>
          <w:rFonts w:eastAsia="Times New Roman"/>
        </w:rPr>
        <w:t>"</w:t>
      </w:r>
    </w:p>
    <w:p w14:paraId="27C0B3CE" w14:textId="26B9331A" w:rsidR="00F8601E" w:rsidRPr="00966D67" w:rsidRDefault="00F8601E" w:rsidP="00F8601E">
      <w:pPr>
        <w:pStyle w:val="Heading1"/>
        <w:rPr>
          <w:b/>
          <w:bCs/>
          <w:color w:val="auto"/>
          <w:sz w:val="32"/>
          <w:szCs w:val="32"/>
        </w:rPr>
      </w:pPr>
      <w:r w:rsidRPr="00966D67">
        <w:rPr>
          <w:b/>
          <w:bCs/>
          <w:color w:val="auto"/>
          <w:sz w:val="32"/>
          <w:szCs w:val="32"/>
        </w:rPr>
        <w:t>Proposal</w:t>
      </w:r>
      <w:r w:rsidR="00B1756D" w:rsidRPr="00966D67">
        <w:rPr>
          <w:b/>
          <w:bCs/>
          <w:color w:val="auto"/>
          <w:sz w:val="32"/>
          <w:szCs w:val="32"/>
        </w:rPr>
        <w:t>s</w:t>
      </w:r>
      <w:r w:rsidRPr="00966D67">
        <w:rPr>
          <w:b/>
          <w:bCs/>
          <w:color w:val="auto"/>
          <w:sz w:val="32"/>
          <w:szCs w:val="32"/>
        </w:rPr>
        <w:t xml:space="preserve"> for Partnership</w:t>
      </w:r>
      <w:r w:rsidR="00E17CF8">
        <w:rPr>
          <w:b/>
          <w:bCs/>
          <w:color w:val="auto"/>
          <w:sz w:val="32"/>
          <w:szCs w:val="32"/>
        </w:rPr>
        <w:t>s</w:t>
      </w:r>
      <w:r w:rsidRPr="00966D67">
        <w:rPr>
          <w:b/>
          <w:bCs/>
          <w:color w:val="auto"/>
          <w:sz w:val="32"/>
          <w:szCs w:val="32"/>
        </w:rPr>
        <w:t xml:space="preserve"> and Support</w:t>
      </w:r>
    </w:p>
    <w:p w14:paraId="6FBBB1A0" w14:textId="4B7C5C24" w:rsidR="0036047C" w:rsidRPr="00E17CF8" w:rsidRDefault="00F8601E" w:rsidP="00211F84">
      <w:pPr>
        <w:rPr>
          <w:b/>
          <w:bCs/>
        </w:rPr>
      </w:pPr>
      <w:r w:rsidRPr="00F8601E">
        <w:t xml:space="preserve">RGC seeks to expand its </w:t>
      </w:r>
      <w:r w:rsidR="00FC1E9D">
        <w:t xml:space="preserve">activities and </w:t>
      </w:r>
      <w:r w:rsidRPr="00F8601E">
        <w:t xml:space="preserve">impact through strategic partnerships with federal agencies, academic institutions, industry stakeholders, and advocacy organizations. </w:t>
      </w:r>
      <w:r w:rsidR="003E23C1">
        <w:t>RGC is</w:t>
      </w:r>
      <w:r w:rsidR="00D02545">
        <w:t xml:space="preserve"> solici</w:t>
      </w:r>
      <w:r w:rsidR="003E23C1">
        <w:t xml:space="preserve">ting financial support from Members who join the group and </w:t>
      </w:r>
      <w:r w:rsidR="006B7643">
        <w:t xml:space="preserve">from </w:t>
      </w:r>
      <w:r w:rsidR="0036047C">
        <w:t>o</w:t>
      </w:r>
      <w:r w:rsidR="003E23C1">
        <w:t>ther resources</w:t>
      </w:r>
      <w:r w:rsidR="00D02545" w:rsidRPr="0036047C">
        <w:rPr>
          <w:b/>
          <w:bCs/>
          <w:i/>
          <w:iCs/>
        </w:rPr>
        <w:t xml:space="preserve">. </w:t>
      </w:r>
      <w:r w:rsidR="00D02545" w:rsidRPr="0036047C">
        <w:rPr>
          <w:b/>
          <w:bCs/>
          <w:i/>
          <w:iCs/>
        </w:rPr>
        <w:lastRenderedPageBreak/>
        <w:t xml:space="preserve">If you’re </w:t>
      </w:r>
      <w:proofErr w:type="gramStart"/>
      <w:r w:rsidR="00D02545" w:rsidRPr="0036047C">
        <w:rPr>
          <w:b/>
          <w:bCs/>
          <w:i/>
          <w:iCs/>
        </w:rPr>
        <w:t>an  interested</w:t>
      </w:r>
      <w:proofErr w:type="gramEnd"/>
      <w:r w:rsidR="00D02545" w:rsidRPr="0036047C">
        <w:rPr>
          <w:b/>
          <w:bCs/>
          <w:i/>
          <w:iCs/>
        </w:rPr>
        <w:t xml:space="preserve"> stakeholder</w:t>
      </w:r>
      <w:r w:rsidR="0036047C" w:rsidRPr="0036047C">
        <w:rPr>
          <w:b/>
          <w:bCs/>
          <w:i/>
          <w:iCs/>
        </w:rPr>
        <w:t xml:space="preserve"> (as described on our website</w:t>
      </w:r>
      <w:r w:rsidR="0074225B">
        <w:rPr>
          <w:b/>
          <w:bCs/>
          <w:i/>
          <w:iCs/>
        </w:rPr>
        <w:t>) and this innovative cross-sector agenda appeals to you</w:t>
      </w:r>
      <w:r w:rsidR="00435F7D">
        <w:rPr>
          <w:b/>
          <w:bCs/>
          <w:i/>
          <w:iCs/>
        </w:rPr>
        <w:t>r</w:t>
      </w:r>
      <w:r w:rsidR="0074225B">
        <w:rPr>
          <w:b/>
          <w:bCs/>
          <w:i/>
          <w:iCs/>
        </w:rPr>
        <w:t xml:space="preserve"> business and public interests</w:t>
      </w:r>
      <w:r w:rsidR="0036047C" w:rsidRPr="0036047C">
        <w:rPr>
          <w:b/>
          <w:bCs/>
          <w:i/>
          <w:iCs/>
        </w:rPr>
        <w:t>, let’s talk</w:t>
      </w:r>
      <w:r w:rsidR="00E17CF8">
        <w:rPr>
          <w:b/>
          <w:bCs/>
          <w:i/>
          <w:iCs/>
        </w:rPr>
        <w:t xml:space="preserve"> about working together.</w:t>
      </w:r>
      <w:r w:rsidR="00D02545" w:rsidRPr="0036047C">
        <w:rPr>
          <w:b/>
          <w:bCs/>
          <w:i/>
          <w:iCs/>
        </w:rPr>
        <w:t xml:space="preserve"> </w:t>
      </w:r>
      <w:r w:rsidR="006B7643">
        <w:rPr>
          <w:b/>
          <w:bCs/>
          <w:i/>
          <w:iCs/>
        </w:rPr>
        <w:t>RGC is member-supported; its dues are tax-exempt; and its mission-driven</w:t>
      </w:r>
      <w:r w:rsidR="00E24952">
        <w:rPr>
          <w:b/>
          <w:bCs/>
          <w:i/>
          <w:iCs/>
        </w:rPr>
        <w:t xml:space="preserve"> activities</w:t>
      </w:r>
      <w:r w:rsidR="006B7643">
        <w:rPr>
          <w:b/>
          <w:bCs/>
          <w:i/>
          <w:iCs/>
        </w:rPr>
        <w:t xml:space="preserve"> and objectives are subject to discussion.</w:t>
      </w:r>
    </w:p>
    <w:p w14:paraId="312C1ACB" w14:textId="7C0BE8F8" w:rsidR="00E17CF8" w:rsidRPr="00E17CF8" w:rsidRDefault="00E17CF8" w:rsidP="00211F84">
      <w:pPr>
        <w:rPr>
          <w:b/>
          <w:bCs/>
        </w:rPr>
      </w:pPr>
      <w:r>
        <w:rPr>
          <w:b/>
          <w:bCs/>
        </w:rPr>
        <w:t>Here’s part of what Members can look forward to:</w:t>
      </w:r>
    </w:p>
    <w:p w14:paraId="06630002" w14:textId="3E2D874F" w:rsidR="00211F84" w:rsidRPr="00211F84" w:rsidRDefault="00211F84" w:rsidP="00CD4408">
      <w:pPr>
        <w:pStyle w:val="ListParagraph"/>
        <w:numPr>
          <w:ilvl w:val="0"/>
          <w:numId w:val="11"/>
        </w:numPr>
        <w:spacing w:line="240" w:lineRule="auto"/>
      </w:pPr>
      <w:r>
        <w:t xml:space="preserve">Discuss potential study or workshop topics: rail and energy drivers for rural economic development; relieving ports from transportation inadequacies or congestion; electrification of short lines, transportation for mining operations, or discreet </w:t>
      </w:r>
      <w:r w:rsidR="00A46F9D">
        <w:t xml:space="preserve">short </w:t>
      </w:r>
      <w:r>
        <w:t>lines in Alaska and Quebec; public benefits from rail expansion, AI applications</w:t>
      </w:r>
      <w:r w:rsidR="00CD06BB">
        <w:t>,</w:t>
      </w:r>
      <w:r>
        <w:t xml:space="preserve"> transmission development using rail, the sustainability of the </w:t>
      </w:r>
      <w:proofErr w:type="gramStart"/>
      <w:r>
        <w:t>150</w:t>
      </w:r>
      <w:r w:rsidR="001A0B3F">
        <w:t xml:space="preserve"> </w:t>
      </w:r>
      <w:r>
        <w:t>year</w:t>
      </w:r>
      <w:r w:rsidR="001A0B3F">
        <w:t>-</w:t>
      </w:r>
      <w:r>
        <w:t xml:space="preserve"> old</w:t>
      </w:r>
      <w:proofErr w:type="gramEnd"/>
      <w:r>
        <w:t xml:space="preserve"> </w:t>
      </w:r>
      <w:r w:rsidR="00CD06BB">
        <w:t xml:space="preserve">railroad </w:t>
      </w:r>
      <w:r w:rsidR="001A0B3F">
        <w:t xml:space="preserve">business </w:t>
      </w:r>
      <w:r>
        <w:t>model.</w:t>
      </w:r>
    </w:p>
    <w:p w14:paraId="54F8FE65" w14:textId="2BF93C53" w:rsidR="00F8601E" w:rsidRDefault="00F8601E" w:rsidP="00CD4408">
      <w:pPr>
        <w:pStyle w:val="ListParagraph"/>
        <w:numPr>
          <w:ilvl w:val="0"/>
          <w:numId w:val="7"/>
        </w:numPr>
        <w:spacing w:line="240" w:lineRule="auto"/>
      </w:pPr>
      <w:r w:rsidRPr="00F8601E">
        <w:t xml:space="preserve">Participate in the </w:t>
      </w:r>
      <w:r w:rsidR="00CD4408">
        <w:t>2026</w:t>
      </w:r>
      <w:r w:rsidRPr="00F8601E">
        <w:t xml:space="preserve"> workshop</w:t>
      </w:r>
      <w:r w:rsidR="00CD4408">
        <w:t>s</w:t>
      </w:r>
      <w:r w:rsidRPr="00F8601E">
        <w:t xml:space="preserve"> to shape collaborative research and policy</w:t>
      </w:r>
      <w:r w:rsidR="00E24952">
        <w:t xml:space="preserve"> </w:t>
      </w:r>
      <w:r w:rsidRPr="00F8601E">
        <w:t>initia</w:t>
      </w:r>
      <w:r w:rsidR="00E24952">
        <w:t>t</w:t>
      </w:r>
      <w:r w:rsidRPr="00F8601E">
        <w:t>iv</w:t>
      </w:r>
      <w:r w:rsidR="00E24952">
        <w:t>e</w:t>
      </w:r>
      <w:r w:rsidRPr="00F8601E">
        <w:t>s.</w:t>
      </w:r>
    </w:p>
    <w:p w14:paraId="4B3BA6C0" w14:textId="27BA9522" w:rsidR="00F8601E" w:rsidRDefault="00F8601E" w:rsidP="00CD4408">
      <w:pPr>
        <w:pStyle w:val="ListParagraph"/>
        <w:numPr>
          <w:ilvl w:val="0"/>
          <w:numId w:val="7"/>
        </w:numPr>
        <w:spacing w:line="240" w:lineRule="auto"/>
      </w:pPr>
      <w:r w:rsidRPr="00F8601E">
        <w:t>Contribute expertise, resources, or funding to support ongoing studies and demonstration projects</w:t>
      </w:r>
      <w:r w:rsidR="00E24952">
        <w:t xml:space="preserve"> with strategic partners.</w:t>
      </w:r>
    </w:p>
    <w:p w14:paraId="4C5DB696" w14:textId="36F582E4" w:rsidR="00F8601E" w:rsidRDefault="00F8601E" w:rsidP="00CD4408">
      <w:pPr>
        <w:pStyle w:val="ListParagraph"/>
        <w:numPr>
          <w:ilvl w:val="0"/>
          <w:numId w:val="7"/>
        </w:numPr>
        <w:spacing w:line="240" w:lineRule="auto"/>
      </w:pPr>
      <w:r w:rsidRPr="00F8601E">
        <w:t xml:space="preserve">Engage in advocacy efforts </w:t>
      </w:r>
      <w:r w:rsidR="00E24952">
        <w:t xml:space="preserve">before State policy makers and </w:t>
      </w:r>
      <w:r w:rsidR="00274F96">
        <w:t xml:space="preserve">at FERC, FRA, DOE and Congress </w:t>
      </w:r>
      <w:r w:rsidRPr="00F8601E">
        <w:t>to promote legislative and regulato</w:t>
      </w:r>
      <w:r w:rsidR="00E24952">
        <w:t>ry</w:t>
      </w:r>
      <w:r w:rsidRPr="00F8601E">
        <w:t xml:space="preserve"> changes favoring </w:t>
      </w:r>
      <w:r w:rsidR="008D4159">
        <w:t xml:space="preserve">electric </w:t>
      </w:r>
      <w:r w:rsidRPr="00F8601E">
        <w:t>transmission</w:t>
      </w:r>
      <w:r w:rsidR="008D4159">
        <w:t xml:space="preserve"> expansion, </w:t>
      </w:r>
      <w:r w:rsidRPr="00F8601E">
        <w:t>electrification</w:t>
      </w:r>
      <w:r w:rsidR="008D4159">
        <w:t xml:space="preserve"> of railyards and operations</w:t>
      </w:r>
      <w:r w:rsidRPr="00F8601E">
        <w:t>.</w:t>
      </w:r>
    </w:p>
    <w:p w14:paraId="7C080AD3" w14:textId="77777777" w:rsidR="00F8601E" w:rsidRDefault="00F8601E" w:rsidP="00F8601E">
      <w:pPr>
        <w:pStyle w:val="Heading1"/>
      </w:pPr>
      <w:r>
        <w:t>Next Steps and Timeline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4675"/>
        <w:gridCol w:w="4675"/>
      </w:tblGrid>
      <w:tr w:rsidR="00F8601E" w:rsidRPr="00F8601E" w14:paraId="2B01C6A1" w14:textId="77777777" w:rsidTr="00F860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5" w:type="dxa"/>
          </w:tcPr>
          <w:p w14:paraId="4029E029" w14:textId="7E2DDFC8" w:rsidR="00F8601E" w:rsidRPr="00F8601E" w:rsidRDefault="00F8601E" w:rsidP="00F8601E">
            <w:r>
              <w:t>Event</w:t>
            </w:r>
          </w:p>
        </w:tc>
        <w:tc>
          <w:tcPr>
            <w:tcW w:w="4675" w:type="dxa"/>
          </w:tcPr>
          <w:p w14:paraId="21894AA8" w14:textId="40EEFEEE" w:rsidR="00F8601E" w:rsidRPr="00F8601E" w:rsidRDefault="00F8601E" w:rsidP="00F8601E">
            <w:r>
              <w:t>Date</w:t>
            </w:r>
          </w:p>
        </w:tc>
      </w:tr>
      <w:tr w:rsidR="00F8601E" w:rsidRPr="00F8601E" w14:paraId="02478D58" w14:textId="77777777" w:rsidTr="00F86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5" w:type="dxa"/>
          </w:tcPr>
          <w:p w14:paraId="6C262EE9" w14:textId="21BDDD42" w:rsidR="00F8601E" w:rsidRDefault="001A0B3F" w:rsidP="00F8601E">
            <w:r>
              <w:t>Friday team meetings -- invitation</w:t>
            </w:r>
          </w:p>
        </w:tc>
        <w:tc>
          <w:tcPr>
            <w:tcW w:w="4675" w:type="dxa"/>
          </w:tcPr>
          <w:p w14:paraId="0FE293AA" w14:textId="58DE08D0" w:rsidR="00F8601E" w:rsidRDefault="006B66E7" w:rsidP="00F8601E">
            <w:r>
              <w:t xml:space="preserve">Beginning January </w:t>
            </w:r>
            <w:r w:rsidR="00F8601E">
              <w:t>202</w:t>
            </w:r>
            <w:r>
              <w:t>6</w:t>
            </w:r>
          </w:p>
        </w:tc>
      </w:tr>
      <w:tr w:rsidR="00F8601E" w:rsidRPr="00F8601E" w14:paraId="63A1DEC0" w14:textId="77777777" w:rsidTr="00F8601E">
        <w:tc>
          <w:tcPr>
            <w:tcW w:w="4675" w:type="dxa"/>
          </w:tcPr>
          <w:p w14:paraId="0AEF8BF2" w14:textId="6F2BF8FE" w:rsidR="00F8601E" w:rsidRDefault="006B66E7" w:rsidP="00F8601E">
            <w:r>
              <w:t>Follow-up Strategy Meeting (open to all)</w:t>
            </w:r>
          </w:p>
        </w:tc>
        <w:tc>
          <w:tcPr>
            <w:tcW w:w="4675" w:type="dxa"/>
          </w:tcPr>
          <w:p w14:paraId="22D86B87" w14:textId="0C6C7209" w:rsidR="00F8601E" w:rsidRDefault="006B66E7" w:rsidP="00F8601E">
            <w:r>
              <w:t xml:space="preserve">January </w:t>
            </w:r>
            <w:r w:rsidR="00F8601E">
              <w:t>202</w:t>
            </w:r>
            <w:r>
              <w:t>6</w:t>
            </w:r>
          </w:p>
        </w:tc>
      </w:tr>
    </w:tbl>
    <w:p w14:paraId="2989FBA3" w14:textId="77777777" w:rsidR="00FA2445" w:rsidRDefault="00FA2445" w:rsidP="00F8601E"/>
    <w:p w14:paraId="330D86EF" w14:textId="6032A500" w:rsidR="00F8601E" w:rsidRDefault="006B5A0A" w:rsidP="001630BC">
      <w:pPr>
        <w:jc w:val="center"/>
      </w:pPr>
      <w:r>
        <w:t xml:space="preserve">YOUR THOUGHTS AND INPUT </w:t>
      </w:r>
      <w:r w:rsidR="006A690B">
        <w:t>ARE</w:t>
      </w:r>
      <w:r>
        <w:t xml:space="preserve"> WELCOME AT </w:t>
      </w:r>
      <w:hyperlink r:id="rId10" w:history="1">
        <w:r w:rsidR="001630BC" w:rsidRPr="001D632A">
          <w:rPr>
            <w:rStyle w:val="Hyperlink"/>
          </w:rPr>
          <w:t>HTTPS://WWW.RAIL-GRID.ORG</w:t>
        </w:r>
      </w:hyperlink>
      <w:r w:rsidR="009E74EF">
        <w:t xml:space="preserve"> or </w:t>
      </w:r>
    </w:p>
    <w:p w14:paraId="4A4CE082" w14:textId="2834AF1A" w:rsidR="009E74EF" w:rsidRDefault="00B559C8" w:rsidP="001630BC">
      <w:pPr>
        <w:jc w:val="center"/>
      </w:pPr>
      <w:r>
        <w:t>202-549-0584</w:t>
      </w:r>
      <w:r w:rsidR="009E74EF">
        <w:tab/>
      </w:r>
    </w:p>
    <w:p w14:paraId="1C3598B8" w14:textId="77777777" w:rsidR="00B559C8" w:rsidRPr="00F8601E" w:rsidRDefault="00B559C8" w:rsidP="001630BC">
      <w:pPr>
        <w:jc w:val="center"/>
      </w:pPr>
    </w:p>
    <w:sectPr w:rsidR="00B559C8" w:rsidRPr="00F86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A5B"/>
    <w:multiLevelType w:val="hybridMultilevel"/>
    <w:tmpl w:val="7144A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B4EAC"/>
    <w:multiLevelType w:val="hybridMultilevel"/>
    <w:tmpl w:val="B8228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A1DB9"/>
    <w:multiLevelType w:val="hybridMultilevel"/>
    <w:tmpl w:val="E15AE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E3488"/>
    <w:multiLevelType w:val="hybridMultilevel"/>
    <w:tmpl w:val="0F9E76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A1A01"/>
    <w:multiLevelType w:val="hybridMultilevel"/>
    <w:tmpl w:val="C1429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5123B"/>
    <w:multiLevelType w:val="hybridMultilevel"/>
    <w:tmpl w:val="4E72E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E6779"/>
    <w:multiLevelType w:val="hybridMultilevel"/>
    <w:tmpl w:val="9C165F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13EBE"/>
    <w:multiLevelType w:val="hybridMultilevel"/>
    <w:tmpl w:val="A540323C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479D141B"/>
    <w:multiLevelType w:val="hybridMultilevel"/>
    <w:tmpl w:val="D2DC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F09B8"/>
    <w:multiLevelType w:val="hybridMultilevel"/>
    <w:tmpl w:val="4FD6172E"/>
    <w:lvl w:ilvl="0" w:tplc="09DA49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51DFD"/>
    <w:multiLevelType w:val="hybridMultilevel"/>
    <w:tmpl w:val="E5687D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2AF16CC"/>
    <w:multiLevelType w:val="hybridMultilevel"/>
    <w:tmpl w:val="60D43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30107"/>
    <w:multiLevelType w:val="hybridMultilevel"/>
    <w:tmpl w:val="0E927B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5B7B0F"/>
    <w:multiLevelType w:val="hybridMultilevel"/>
    <w:tmpl w:val="B0FE7D2E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4" w15:restartNumberingAfterBreak="0">
    <w:nsid w:val="71E5356F"/>
    <w:multiLevelType w:val="hybridMultilevel"/>
    <w:tmpl w:val="356614B6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72917EB7"/>
    <w:multiLevelType w:val="hybridMultilevel"/>
    <w:tmpl w:val="97B44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2386F"/>
    <w:multiLevelType w:val="hybridMultilevel"/>
    <w:tmpl w:val="5D5850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B42B3"/>
    <w:multiLevelType w:val="hybridMultilevel"/>
    <w:tmpl w:val="114284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0D68F0"/>
    <w:multiLevelType w:val="hybridMultilevel"/>
    <w:tmpl w:val="7684434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0430917">
    <w:abstractNumId w:val="1"/>
  </w:num>
  <w:num w:numId="2" w16cid:durableId="375088447">
    <w:abstractNumId w:val="12"/>
  </w:num>
  <w:num w:numId="3" w16cid:durableId="1121877055">
    <w:abstractNumId w:val="11"/>
  </w:num>
  <w:num w:numId="4" w16cid:durableId="780342327">
    <w:abstractNumId w:val="8"/>
  </w:num>
  <w:num w:numId="5" w16cid:durableId="240599438">
    <w:abstractNumId w:val="4"/>
  </w:num>
  <w:num w:numId="6" w16cid:durableId="1558518094">
    <w:abstractNumId w:val="0"/>
  </w:num>
  <w:num w:numId="7" w16cid:durableId="1018045955">
    <w:abstractNumId w:val="2"/>
  </w:num>
  <w:num w:numId="8" w16cid:durableId="775179165">
    <w:abstractNumId w:val="9"/>
  </w:num>
  <w:num w:numId="9" w16cid:durableId="652638425">
    <w:abstractNumId w:val="13"/>
  </w:num>
  <w:num w:numId="10" w16cid:durableId="1771312502">
    <w:abstractNumId w:val="15"/>
  </w:num>
  <w:num w:numId="11" w16cid:durableId="234365610">
    <w:abstractNumId w:val="5"/>
  </w:num>
  <w:num w:numId="12" w16cid:durableId="889263585">
    <w:abstractNumId w:val="18"/>
  </w:num>
  <w:num w:numId="13" w16cid:durableId="666174686">
    <w:abstractNumId w:val="16"/>
  </w:num>
  <w:num w:numId="14" w16cid:durableId="1963342810">
    <w:abstractNumId w:val="10"/>
  </w:num>
  <w:num w:numId="15" w16cid:durableId="2014144825">
    <w:abstractNumId w:val="3"/>
  </w:num>
  <w:num w:numId="16" w16cid:durableId="1973830310">
    <w:abstractNumId w:val="6"/>
  </w:num>
  <w:num w:numId="17" w16cid:durableId="270868521">
    <w:abstractNumId w:val="17"/>
  </w:num>
  <w:num w:numId="18" w16cid:durableId="39669274">
    <w:abstractNumId w:val="14"/>
  </w:num>
  <w:num w:numId="19" w16cid:durableId="7148910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01E"/>
    <w:rsid w:val="0000069F"/>
    <w:rsid w:val="00006CE3"/>
    <w:rsid w:val="00016C63"/>
    <w:rsid w:val="000309A1"/>
    <w:rsid w:val="00034E49"/>
    <w:rsid w:val="00036B95"/>
    <w:rsid w:val="00041924"/>
    <w:rsid w:val="00046249"/>
    <w:rsid w:val="00056DEA"/>
    <w:rsid w:val="00066B11"/>
    <w:rsid w:val="00070665"/>
    <w:rsid w:val="00071C74"/>
    <w:rsid w:val="00073003"/>
    <w:rsid w:val="0008562C"/>
    <w:rsid w:val="000857F0"/>
    <w:rsid w:val="00095E16"/>
    <w:rsid w:val="000A0C3B"/>
    <w:rsid w:val="000B1AE4"/>
    <w:rsid w:val="000B2922"/>
    <w:rsid w:val="000B36CF"/>
    <w:rsid w:val="000D5C50"/>
    <w:rsid w:val="000D7D46"/>
    <w:rsid w:val="000E1BA9"/>
    <w:rsid w:val="000E6C18"/>
    <w:rsid w:val="000F5514"/>
    <w:rsid w:val="001007C0"/>
    <w:rsid w:val="00102E9C"/>
    <w:rsid w:val="00112ADB"/>
    <w:rsid w:val="0012268A"/>
    <w:rsid w:val="00122768"/>
    <w:rsid w:val="001268E5"/>
    <w:rsid w:val="00126AD9"/>
    <w:rsid w:val="00131932"/>
    <w:rsid w:val="00141609"/>
    <w:rsid w:val="0014172C"/>
    <w:rsid w:val="0014528A"/>
    <w:rsid w:val="00156418"/>
    <w:rsid w:val="00157ED0"/>
    <w:rsid w:val="001630BC"/>
    <w:rsid w:val="00166196"/>
    <w:rsid w:val="00167ED5"/>
    <w:rsid w:val="001A0B3F"/>
    <w:rsid w:val="001A1DBF"/>
    <w:rsid w:val="001A3872"/>
    <w:rsid w:val="001B17D8"/>
    <w:rsid w:val="001B285E"/>
    <w:rsid w:val="001B60B5"/>
    <w:rsid w:val="001C1B11"/>
    <w:rsid w:val="001C7CD7"/>
    <w:rsid w:val="001D5196"/>
    <w:rsid w:val="001E425F"/>
    <w:rsid w:val="001E77E4"/>
    <w:rsid w:val="00200A88"/>
    <w:rsid w:val="00207CE0"/>
    <w:rsid w:val="00211F84"/>
    <w:rsid w:val="0021285B"/>
    <w:rsid w:val="00212BBD"/>
    <w:rsid w:val="00215C0A"/>
    <w:rsid w:val="00215EED"/>
    <w:rsid w:val="0023430C"/>
    <w:rsid w:val="00237328"/>
    <w:rsid w:val="00250A0A"/>
    <w:rsid w:val="00251CB3"/>
    <w:rsid w:val="00255DE1"/>
    <w:rsid w:val="00264D34"/>
    <w:rsid w:val="00266C4A"/>
    <w:rsid w:val="00266FBC"/>
    <w:rsid w:val="002717D7"/>
    <w:rsid w:val="00274F96"/>
    <w:rsid w:val="002816B3"/>
    <w:rsid w:val="002A2FD2"/>
    <w:rsid w:val="002B2DB2"/>
    <w:rsid w:val="002B41C2"/>
    <w:rsid w:val="002B5FB3"/>
    <w:rsid w:val="002C1E18"/>
    <w:rsid w:val="002D4CB6"/>
    <w:rsid w:val="002E35AF"/>
    <w:rsid w:val="002F5442"/>
    <w:rsid w:val="002F7C43"/>
    <w:rsid w:val="00301796"/>
    <w:rsid w:val="00301E9B"/>
    <w:rsid w:val="00303E8C"/>
    <w:rsid w:val="003077BD"/>
    <w:rsid w:val="00313C1B"/>
    <w:rsid w:val="00316BA0"/>
    <w:rsid w:val="0032239B"/>
    <w:rsid w:val="0032650C"/>
    <w:rsid w:val="003312A6"/>
    <w:rsid w:val="003349AE"/>
    <w:rsid w:val="00336351"/>
    <w:rsid w:val="00340C24"/>
    <w:rsid w:val="00351402"/>
    <w:rsid w:val="0035386D"/>
    <w:rsid w:val="0036047C"/>
    <w:rsid w:val="00376B0D"/>
    <w:rsid w:val="00393CD1"/>
    <w:rsid w:val="00394589"/>
    <w:rsid w:val="003A59FB"/>
    <w:rsid w:val="003B30B6"/>
    <w:rsid w:val="003B5205"/>
    <w:rsid w:val="003C3A36"/>
    <w:rsid w:val="003D5F6E"/>
    <w:rsid w:val="003E1C9E"/>
    <w:rsid w:val="003E23C1"/>
    <w:rsid w:val="003E372D"/>
    <w:rsid w:val="003E4D88"/>
    <w:rsid w:val="003F1945"/>
    <w:rsid w:val="00406967"/>
    <w:rsid w:val="004134C3"/>
    <w:rsid w:val="00423B5A"/>
    <w:rsid w:val="00430891"/>
    <w:rsid w:val="00430A0C"/>
    <w:rsid w:val="00435F7D"/>
    <w:rsid w:val="00446952"/>
    <w:rsid w:val="00452467"/>
    <w:rsid w:val="004536C6"/>
    <w:rsid w:val="00457FF4"/>
    <w:rsid w:val="0046761A"/>
    <w:rsid w:val="00494172"/>
    <w:rsid w:val="00494F87"/>
    <w:rsid w:val="004B7075"/>
    <w:rsid w:val="004C5A94"/>
    <w:rsid w:val="004D1E3D"/>
    <w:rsid w:val="004D3368"/>
    <w:rsid w:val="004D4CAB"/>
    <w:rsid w:val="004E3549"/>
    <w:rsid w:val="004E682C"/>
    <w:rsid w:val="004E7867"/>
    <w:rsid w:val="004F29C6"/>
    <w:rsid w:val="004F3027"/>
    <w:rsid w:val="00511755"/>
    <w:rsid w:val="00513FFE"/>
    <w:rsid w:val="005142F6"/>
    <w:rsid w:val="005322E4"/>
    <w:rsid w:val="0054438E"/>
    <w:rsid w:val="0057519D"/>
    <w:rsid w:val="0057574A"/>
    <w:rsid w:val="00576ACE"/>
    <w:rsid w:val="005956B4"/>
    <w:rsid w:val="00595941"/>
    <w:rsid w:val="005B2585"/>
    <w:rsid w:val="005B32DD"/>
    <w:rsid w:val="005C3479"/>
    <w:rsid w:val="005C5E81"/>
    <w:rsid w:val="005D3AA9"/>
    <w:rsid w:val="005F0766"/>
    <w:rsid w:val="005F0B69"/>
    <w:rsid w:val="005F1715"/>
    <w:rsid w:val="006012C7"/>
    <w:rsid w:val="00613084"/>
    <w:rsid w:val="006308EF"/>
    <w:rsid w:val="006335A0"/>
    <w:rsid w:val="00633D64"/>
    <w:rsid w:val="0063669B"/>
    <w:rsid w:val="006366E0"/>
    <w:rsid w:val="006636C5"/>
    <w:rsid w:val="006867D5"/>
    <w:rsid w:val="00686C13"/>
    <w:rsid w:val="006A0A57"/>
    <w:rsid w:val="006A21F2"/>
    <w:rsid w:val="006A6300"/>
    <w:rsid w:val="006A690B"/>
    <w:rsid w:val="006B5319"/>
    <w:rsid w:val="006B5A0A"/>
    <w:rsid w:val="006B66E7"/>
    <w:rsid w:val="006B7643"/>
    <w:rsid w:val="006C5530"/>
    <w:rsid w:val="006C5787"/>
    <w:rsid w:val="006D1483"/>
    <w:rsid w:val="006D3DBE"/>
    <w:rsid w:val="006E3565"/>
    <w:rsid w:val="006F18DF"/>
    <w:rsid w:val="006F233B"/>
    <w:rsid w:val="00705C59"/>
    <w:rsid w:val="00716979"/>
    <w:rsid w:val="007211DC"/>
    <w:rsid w:val="00722E43"/>
    <w:rsid w:val="007231FD"/>
    <w:rsid w:val="00727720"/>
    <w:rsid w:val="0073052E"/>
    <w:rsid w:val="007350FE"/>
    <w:rsid w:val="0074225B"/>
    <w:rsid w:val="00751D0F"/>
    <w:rsid w:val="0075414A"/>
    <w:rsid w:val="0075539C"/>
    <w:rsid w:val="00755FFC"/>
    <w:rsid w:val="00763874"/>
    <w:rsid w:val="00771CB0"/>
    <w:rsid w:val="00794C83"/>
    <w:rsid w:val="00794D53"/>
    <w:rsid w:val="007A0EFC"/>
    <w:rsid w:val="007A3EAF"/>
    <w:rsid w:val="007B1C62"/>
    <w:rsid w:val="007C12F5"/>
    <w:rsid w:val="007C4CD4"/>
    <w:rsid w:val="007E29A1"/>
    <w:rsid w:val="007F4D2F"/>
    <w:rsid w:val="0081189E"/>
    <w:rsid w:val="0081205D"/>
    <w:rsid w:val="00825A12"/>
    <w:rsid w:val="00830A29"/>
    <w:rsid w:val="008532E3"/>
    <w:rsid w:val="00887750"/>
    <w:rsid w:val="00891D49"/>
    <w:rsid w:val="008A602D"/>
    <w:rsid w:val="008B041A"/>
    <w:rsid w:val="008B494B"/>
    <w:rsid w:val="008C0352"/>
    <w:rsid w:val="008C3C10"/>
    <w:rsid w:val="008D4159"/>
    <w:rsid w:val="009077DB"/>
    <w:rsid w:val="0091725C"/>
    <w:rsid w:val="00933675"/>
    <w:rsid w:val="0094171B"/>
    <w:rsid w:val="00942F14"/>
    <w:rsid w:val="00953151"/>
    <w:rsid w:val="00960D18"/>
    <w:rsid w:val="00962FE1"/>
    <w:rsid w:val="00966D67"/>
    <w:rsid w:val="00987858"/>
    <w:rsid w:val="009979A1"/>
    <w:rsid w:val="009B0C93"/>
    <w:rsid w:val="009C6086"/>
    <w:rsid w:val="009C7E77"/>
    <w:rsid w:val="009D7275"/>
    <w:rsid w:val="009E241C"/>
    <w:rsid w:val="009E74EF"/>
    <w:rsid w:val="009F41C1"/>
    <w:rsid w:val="00A0170A"/>
    <w:rsid w:val="00A17F9B"/>
    <w:rsid w:val="00A20FCA"/>
    <w:rsid w:val="00A33EF6"/>
    <w:rsid w:val="00A45597"/>
    <w:rsid w:val="00A46F9D"/>
    <w:rsid w:val="00A64520"/>
    <w:rsid w:val="00A730D9"/>
    <w:rsid w:val="00A825E4"/>
    <w:rsid w:val="00A84528"/>
    <w:rsid w:val="00A911F5"/>
    <w:rsid w:val="00AA1161"/>
    <w:rsid w:val="00AA1FB2"/>
    <w:rsid w:val="00AB0E90"/>
    <w:rsid w:val="00AB53AE"/>
    <w:rsid w:val="00AB7A30"/>
    <w:rsid w:val="00AD5B8C"/>
    <w:rsid w:val="00AD5BFC"/>
    <w:rsid w:val="00AE3431"/>
    <w:rsid w:val="00AE6D31"/>
    <w:rsid w:val="00AF511D"/>
    <w:rsid w:val="00B004B4"/>
    <w:rsid w:val="00B054DA"/>
    <w:rsid w:val="00B12042"/>
    <w:rsid w:val="00B12E7A"/>
    <w:rsid w:val="00B13528"/>
    <w:rsid w:val="00B14FE3"/>
    <w:rsid w:val="00B1756D"/>
    <w:rsid w:val="00B23634"/>
    <w:rsid w:val="00B52B22"/>
    <w:rsid w:val="00B559C8"/>
    <w:rsid w:val="00B94EF7"/>
    <w:rsid w:val="00BA28F4"/>
    <w:rsid w:val="00BA5E14"/>
    <w:rsid w:val="00BC6D13"/>
    <w:rsid w:val="00BD7C36"/>
    <w:rsid w:val="00BE304F"/>
    <w:rsid w:val="00BF2E82"/>
    <w:rsid w:val="00BF4E59"/>
    <w:rsid w:val="00C142E2"/>
    <w:rsid w:val="00C14693"/>
    <w:rsid w:val="00C34197"/>
    <w:rsid w:val="00C40F32"/>
    <w:rsid w:val="00C454CA"/>
    <w:rsid w:val="00C522AD"/>
    <w:rsid w:val="00C52E29"/>
    <w:rsid w:val="00C64B93"/>
    <w:rsid w:val="00C673DD"/>
    <w:rsid w:val="00C9030A"/>
    <w:rsid w:val="00CA241F"/>
    <w:rsid w:val="00CA54A0"/>
    <w:rsid w:val="00CA551F"/>
    <w:rsid w:val="00CB2D57"/>
    <w:rsid w:val="00CC0A6E"/>
    <w:rsid w:val="00CC295F"/>
    <w:rsid w:val="00CD06BB"/>
    <w:rsid w:val="00CD1D70"/>
    <w:rsid w:val="00CD3EC7"/>
    <w:rsid w:val="00CD4408"/>
    <w:rsid w:val="00CE5879"/>
    <w:rsid w:val="00CE5AE3"/>
    <w:rsid w:val="00CE7ECA"/>
    <w:rsid w:val="00D0086F"/>
    <w:rsid w:val="00D01E8D"/>
    <w:rsid w:val="00D02188"/>
    <w:rsid w:val="00D02545"/>
    <w:rsid w:val="00D027AE"/>
    <w:rsid w:val="00D226BB"/>
    <w:rsid w:val="00D44AC8"/>
    <w:rsid w:val="00D51796"/>
    <w:rsid w:val="00D579FC"/>
    <w:rsid w:val="00D6048C"/>
    <w:rsid w:val="00D61C9D"/>
    <w:rsid w:val="00D75A4F"/>
    <w:rsid w:val="00D770B0"/>
    <w:rsid w:val="00D84F83"/>
    <w:rsid w:val="00D90B40"/>
    <w:rsid w:val="00D9252C"/>
    <w:rsid w:val="00D954FE"/>
    <w:rsid w:val="00DA0D96"/>
    <w:rsid w:val="00DA0E0F"/>
    <w:rsid w:val="00DB466C"/>
    <w:rsid w:val="00DD2438"/>
    <w:rsid w:val="00DD364B"/>
    <w:rsid w:val="00DD524D"/>
    <w:rsid w:val="00DD56E2"/>
    <w:rsid w:val="00DD635C"/>
    <w:rsid w:val="00DE3BBF"/>
    <w:rsid w:val="00DF46BE"/>
    <w:rsid w:val="00E12521"/>
    <w:rsid w:val="00E14445"/>
    <w:rsid w:val="00E1654F"/>
    <w:rsid w:val="00E17CF8"/>
    <w:rsid w:val="00E24952"/>
    <w:rsid w:val="00E2515F"/>
    <w:rsid w:val="00E25CF9"/>
    <w:rsid w:val="00E37168"/>
    <w:rsid w:val="00E3778C"/>
    <w:rsid w:val="00E40C8D"/>
    <w:rsid w:val="00E51A05"/>
    <w:rsid w:val="00E561D6"/>
    <w:rsid w:val="00E566D0"/>
    <w:rsid w:val="00E66941"/>
    <w:rsid w:val="00E746E9"/>
    <w:rsid w:val="00E764DD"/>
    <w:rsid w:val="00E909D5"/>
    <w:rsid w:val="00E91F5F"/>
    <w:rsid w:val="00EB3ADC"/>
    <w:rsid w:val="00EC00D9"/>
    <w:rsid w:val="00ED2B8D"/>
    <w:rsid w:val="00EE695F"/>
    <w:rsid w:val="00EF17CC"/>
    <w:rsid w:val="00F006ED"/>
    <w:rsid w:val="00F171C5"/>
    <w:rsid w:val="00F219DF"/>
    <w:rsid w:val="00F3512C"/>
    <w:rsid w:val="00F470B1"/>
    <w:rsid w:val="00F6600E"/>
    <w:rsid w:val="00F84C02"/>
    <w:rsid w:val="00F8601E"/>
    <w:rsid w:val="00F87679"/>
    <w:rsid w:val="00F9210D"/>
    <w:rsid w:val="00F937CF"/>
    <w:rsid w:val="00FA070D"/>
    <w:rsid w:val="00FA1277"/>
    <w:rsid w:val="00FA1404"/>
    <w:rsid w:val="00FA2445"/>
    <w:rsid w:val="00FA2B26"/>
    <w:rsid w:val="00FA594D"/>
    <w:rsid w:val="00FB2081"/>
    <w:rsid w:val="00FB226B"/>
    <w:rsid w:val="00FB643D"/>
    <w:rsid w:val="00FB6CC9"/>
    <w:rsid w:val="00FC1E9D"/>
    <w:rsid w:val="00FC2E84"/>
    <w:rsid w:val="00FD6A67"/>
    <w:rsid w:val="00FD71FA"/>
    <w:rsid w:val="00FD77C1"/>
    <w:rsid w:val="00FE18DD"/>
    <w:rsid w:val="00FE21ED"/>
    <w:rsid w:val="00FF3DAD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B9BFE"/>
  <w15:chartTrackingRefBased/>
  <w15:docId w15:val="{4D99F985-2662-4568-B771-E3F01DC3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0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0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86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0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0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0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0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0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0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6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60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60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0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0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01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6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F860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1630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metown@rail-grid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ail-grid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C345B.B2C5FBA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RAIL-GRID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il-Gri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1114</Words>
  <Characters>6833</Characters>
  <Application>Microsoft Office Word</Application>
  <DocSecurity>0</DocSecurity>
  <Lines>125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Hoecker, James</dc:creator>
  <cp:keywords/>
  <dc:description/>
  <cp:lastModifiedBy>Hoecker, James</cp:lastModifiedBy>
  <cp:revision>2</cp:revision>
  <dcterms:created xsi:type="dcterms:W3CDTF">2026-01-16T16:14:00Z</dcterms:created>
  <dcterms:modified xsi:type="dcterms:W3CDTF">2026-01-16T16:14:00Z</dcterms:modified>
</cp:coreProperties>
</file>