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k7q4rfzhwd3j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NDIS Frequently Used Acronyms – V 04.01.2024</w:t>
      </w:r>
    </w:p>
    <w:tbl>
      <w:tblPr>
        <w:tblStyle w:val="Table1"/>
        <w:tblW w:w="8996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  <w:insideV w:color="595959" w:space="0" w:sz="4" w:val="single"/>
        </w:tblBorders>
        <w:tblLayout w:type="fixed"/>
        <w:tblLook w:val="0400"/>
      </w:tblPr>
      <w:tblGrid>
        <w:gridCol w:w="1693"/>
        <w:gridCol w:w="7303"/>
        <w:tblGridChange w:id="0">
          <w:tblGrid>
            <w:gridCol w:w="1693"/>
            <w:gridCol w:w="7303"/>
          </w:tblGrid>
        </w:tblGridChange>
      </w:tblGrid>
      <w:tr>
        <w:trPr>
          <w:cantSplit w:val="1"/>
          <w:trHeight w:val="300" w:hRule="atLeast"/>
          <w:tblHeader w:val="1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8" w:val="single"/>
              <w:right w:color="ffffff" w:space="0" w:sz="12" w:val="single"/>
            </w:tcBorders>
            <w:shd w:fill="6b246e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Acronym</w:t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8" w:val="single"/>
              <w:right w:color="ffffff" w:space="0" w:sz="12" w:val="single"/>
            </w:tcBorders>
            <w:shd w:fill="6b246e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Full Wording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Administrative Appeals Tribunal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Acquired Brain Injury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Australian Disability Enterprises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Autism Spectrum Disorder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Assistive Technology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Culturally and Linguistically Diverse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Care and Need Scale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CCBP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Capacity Building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Child Disability Allowance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CDRC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COAG Disability Reform Council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Council of Australian Governments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Conflict of Interest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Cerebral Palsy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Client Record Management - database used for recording participant information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Developmental Delay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Disability Employment Services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Education and Training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Human Services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DSP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Disability Support Pension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Social Services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ECEI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Early Childhood Early Intervention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Early Intervention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Freedom of Information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FTB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Tax Benefit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GDD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Global Developmental Delay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Independent Advisory Council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ILC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Information, Linkages, Capacity Building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Independent Living Options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Local Area Coordination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Lifetime Cost Estimator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of Parliament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Multiple Sclerosis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Access Team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NDAP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Disability Advocacy Program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Disability Insurance Agency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NDIS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Disability Insurance Scheme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NHSC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Health and Safety Committee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Our (Operational) Guidelines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 Conversation Tool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PEDI-CAT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Paediatric Evaluation of Disability Inventory – Computer Adaptive 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Partners in Recovery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PITC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Partners in the Community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 Management Agent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Proof of Identity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PWD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People with Disability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SCCP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Social, Community and Civic Participation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Spinal Cord Injury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Specialist Disability Accommodation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SFOF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Short Form Outcomes Framework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Supported Independent Living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 Leavers Employment Support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Subject Matter Expert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Standard Operating Procedure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Supported Residential Service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Short Term Accommodation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TSP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Typical Support Package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Vision Impairment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WHODAS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World Health Organisation Disability Assessment Schedule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WHS 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 Health and Safety Act 2011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after="240" w:before="240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114300" distT="114300" distL="114300" distR="114300">
          <wp:extent cx="3320888" cy="70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0888" cy="70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>
        <w:widowControl w:val="0"/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before="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  <w:qFormat w:val="1"/>
    <w:rsid w:val="00066F3A"/>
    <w:pPr>
      <w:widowControl w:val="0"/>
      <w:spacing w:after="120" w:before="120" w:line="240" w:lineRule="auto"/>
    </w:pPr>
    <w:rPr>
      <w:rFonts w:ascii="Arial" w:cs="Arial" w:eastAsia="Times New Roman" w:hAnsi="Arial"/>
      <w:color w:val="000000" w:themeColor="text1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66F3A"/>
    <w:pPr>
      <w:keepNext w:val="1"/>
      <w:keepLines w:val="1"/>
      <w:widowControl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0" w:before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66F3A"/>
    <w:pPr>
      <w:keepNext w:val="1"/>
      <w:keepLines w:val="1"/>
      <w:widowControl w:val="1"/>
      <w:spacing w:after="0" w:before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66F3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66F3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6F3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66F3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66F3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66F3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66F3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66F3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66F3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66F3A"/>
    <w:pPr>
      <w:widowControl w:val="1"/>
      <w:spacing w:after="80" w:before="0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6F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66F3A"/>
    <w:pPr>
      <w:widowControl w:val="1"/>
      <w:numPr>
        <w:ilvl w:val="1"/>
      </w:numPr>
      <w:spacing w:after="160" w:before="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6F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66F3A"/>
    <w:pPr>
      <w:widowControl w:val="1"/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</w:rPr>
  </w:style>
  <w:style w:type="character" w:styleId="QuoteChar" w:customStyle="1">
    <w:name w:val="Quote Char"/>
    <w:basedOn w:val="DefaultParagraphFont"/>
    <w:link w:val="Quote"/>
    <w:uiPriority w:val="29"/>
    <w:rsid w:val="00066F3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66F3A"/>
    <w:pPr>
      <w:widowControl w:val="1"/>
      <w:spacing w:after="160" w:before="0" w:line="278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2"/>
    </w:rPr>
  </w:style>
  <w:style w:type="character" w:styleId="IntenseEmphasis">
    <w:name w:val="Intense Emphasis"/>
    <w:basedOn w:val="DefaultParagraphFont"/>
    <w:uiPriority w:val="21"/>
    <w:qFormat w:val="1"/>
    <w:rsid w:val="00066F3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66F3A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6F3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66F3A"/>
    <w:rPr>
      <w:b w:val="1"/>
      <w:bCs w:val="1"/>
      <w:smallCaps w:val="1"/>
      <w:color w:val="0f4761" w:themeColor="accent1" w:themeShade="0000BF"/>
      <w:spacing w:val="5"/>
    </w:rPr>
  </w:style>
  <w:style w:type="character" w:styleId="FGHeadingChar" w:customStyle="1">
    <w:name w:val="FG Heading Char"/>
    <w:basedOn w:val="DefaultParagraphFont"/>
    <w:link w:val="FGHeading"/>
    <w:locked w:val="1"/>
    <w:rsid w:val="00066F3A"/>
    <w:rPr>
      <w:rFonts w:ascii="Arial" w:cs="Arial" w:hAnsi="Arial" w:eastAsiaTheme="majorEastAsia"/>
      <w:b w:val="1"/>
      <w:bCs w:val="1"/>
      <w:color w:val="0b769f" w:themeColor="accent4" w:themeShade="0000BF"/>
      <w:sz w:val="32"/>
      <w:szCs w:val="32"/>
    </w:rPr>
  </w:style>
  <w:style w:type="paragraph" w:styleId="FGHeading" w:customStyle="1">
    <w:name w:val="FG Heading"/>
    <w:basedOn w:val="Heading1"/>
    <w:next w:val="Normal"/>
    <w:link w:val="FGHeadingChar"/>
    <w:qFormat w:val="1"/>
    <w:rsid w:val="00066F3A"/>
    <w:pPr>
      <w:keepNext w:val="0"/>
      <w:keepLines w:val="0"/>
      <w:widowControl w:val="0"/>
      <w:tabs>
        <w:tab w:val="left" w:pos="142"/>
      </w:tabs>
      <w:spacing w:after="240" w:before="0" w:line="240" w:lineRule="auto"/>
    </w:pPr>
    <w:rPr>
      <w:rFonts w:ascii="Arial" w:cs="Arial" w:hAnsi="Arial"/>
      <w:b w:val="1"/>
      <w:bCs w:val="1"/>
      <w:color w:val="0b769f" w:themeColor="accent4" w:themeShade="0000BF"/>
      <w:sz w:val="32"/>
      <w:szCs w:val="32"/>
    </w:rPr>
  </w:style>
  <w:style w:type="table" w:styleId="TableGrid">
    <w:name w:val="Table Grid"/>
    <w:aliases w:val="WISDOM Table"/>
    <w:basedOn w:val="TableNormal"/>
    <w:uiPriority w:val="59"/>
    <w:rsid w:val="00066F3A"/>
    <w:pPr>
      <w:spacing w:after="360" w:before="360" w:line="240" w:lineRule="auto"/>
    </w:pPr>
    <w:rPr>
      <w:rFonts w:ascii="Times New Roman" w:cs="Times New Roman" w:eastAsia="Times New Roman" w:hAnsi="Times New Roman"/>
      <w:kern w:val="0"/>
      <w:sz w:val="20"/>
      <w:szCs w:val="20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widowControl w:val="1"/>
      <w:spacing w:after="160" w:before="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360" w:before="36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2WKIbKMWpTo5bk2zSmOXto8Ng==">CgMxLjAyDmguazdxNHJmemh3ZDNqOAByITE4R05ITm5yWTVaTTYyS25qTU1HdWlyREpldjJmNElnMg==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2024-01-04T04:49:00Z</dcterms:created>
  <dc:creator>Mandy McRae</dc:creator>
</cp:coreProperties>
</file>