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2CC" w14:textId="42681BE0" w:rsidR="00745746" w:rsidRDefault="00745746" w:rsidP="00745746">
      <w:pPr>
        <w:spacing w:after="0"/>
        <w:jc w:val="center"/>
      </w:pPr>
      <w:r>
        <w:t>Waterview POA Board of Directors Meeting</w:t>
      </w:r>
    </w:p>
    <w:p w14:paraId="0318A650" w14:textId="1A813FF0" w:rsidR="00745746" w:rsidRDefault="00FF5C42" w:rsidP="00745746">
      <w:pPr>
        <w:spacing w:after="0"/>
        <w:jc w:val="center"/>
      </w:pPr>
      <w:r>
        <w:t>10-20</w:t>
      </w:r>
      <w:r w:rsidR="00154434">
        <w:t>-25</w:t>
      </w:r>
    </w:p>
    <w:p w14:paraId="000CBF65" w14:textId="77777777" w:rsidR="00154434" w:rsidRDefault="00154434" w:rsidP="00745746">
      <w:pPr>
        <w:spacing w:after="0"/>
        <w:jc w:val="center"/>
      </w:pPr>
    </w:p>
    <w:p w14:paraId="2EA579D8" w14:textId="77777777" w:rsidR="00745746" w:rsidRDefault="00745746" w:rsidP="00745746">
      <w:pPr>
        <w:spacing w:after="0"/>
        <w:jc w:val="center"/>
      </w:pPr>
    </w:p>
    <w:p w14:paraId="3EFAC532" w14:textId="42508249" w:rsidR="00745746" w:rsidRDefault="00745746" w:rsidP="00745746">
      <w:pPr>
        <w:pStyle w:val="ListParagraph"/>
        <w:numPr>
          <w:ilvl w:val="0"/>
          <w:numId w:val="1"/>
        </w:numPr>
        <w:spacing w:after="0"/>
      </w:pPr>
      <w:r>
        <w:t xml:space="preserve">Call to order:  </w:t>
      </w:r>
      <w:r w:rsidRPr="001B3433">
        <w:t>6:3</w:t>
      </w:r>
      <w:r w:rsidR="001B3433" w:rsidRPr="001B3433">
        <w:t>5</w:t>
      </w:r>
      <w:r w:rsidRPr="001B3433">
        <w:t>pm</w:t>
      </w:r>
    </w:p>
    <w:p w14:paraId="6970938B" w14:textId="377237D6" w:rsidR="00745746" w:rsidRDefault="00745746" w:rsidP="00745746">
      <w:pPr>
        <w:pStyle w:val="ListParagraph"/>
        <w:numPr>
          <w:ilvl w:val="1"/>
          <w:numId w:val="1"/>
        </w:numPr>
        <w:spacing w:after="0"/>
      </w:pPr>
      <w:r w:rsidRPr="001B3433">
        <w:t xml:space="preserve">Board members present:  Mark Robbins, </w:t>
      </w:r>
      <w:r w:rsidR="00154434" w:rsidRPr="001B3433">
        <w:t>Kirk Schwyn</w:t>
      </w:r>
      <w:r w:rsidRPr="001B3433">
        <w:t>, Ray Ludowese</w:t>
      </w:r>
      <w:r w:rsidR="001B3433">
        <w:t xml:space="preserve">.  </w:t>
      </w:r>
    </w:p>
    <w:p w14:paraId="082BE47D" w14:textId="18530516" w:rsidR="001B3433" w:rsidRPr="001B3433" w:rsidRDefault="001B3433" w:rsidP="001B3433">
      <w:pPr>
        <w:pStyle w:val="ListParagraph"/>
        <w:numPr>
          <w:ilvl w:val="2"/>
          <w:numId w:val="1"/>
        </w:numPr>
        <w:spacing w:after="0"/>
      </w:pPr>
      <w:r>
        <w:t>Absent:  George Brobst, Maria Bliss</w:t>
      </w:r>
    </w:p>
    <w:p w14:paraId="5C227C58" w14:textId="77777777" w:rsidR="0064415B" w:rsidRDefault="0064415B" w:rsidP="0064415B">
      <w:pPr>
        <w:pStyle w:val="ListParagraph"/>
        <w:spacing w:after="0"/>
        <w:ind w:left="1440"/>
      </w:pPr>
    </w:p>
    <w:p w14:paraId="7CBABE6F" w14:textId="31B26D4E" w:rsidR="00745746" w:rsidRDefault="00745746" w:rsidP="00745746">
      <w:pPr>
        <w:pStyle w:val="ListParagraph"/>
        <w:numPr>
          <w:ilvl w:val="0"/>
          <w:numId w:val="1"/>
        </w:numPr>
        <w:spacing w:after="0"/>
      </w:pPr>
      <w:r>
        <w:rPr>
          <w:b/>
          <w:bCs/>
        </w:rPr>
        <w:t xml:space="preserve">Motion </w:t>
      </w:r>
      <w:r w:rsidR="00E57E42" w:rsidRPr="001B3433">
        <w:t>Ray</w:t>
      </w:r>
      <w:r w:rsidRPr="001B3433">
        <w:t>/</w:t>
      </w:r>
      <w:r w:rsidR="00E57E42" w:rsidRPr="001B3433">
        <w:t>Kirk</w:t>
      </w:r>
      <w:r>
        <w:t xml:space="preserve"> to </w:t>
      </w:r>
      <w:r w:rsidRPr="00D7208B">
        <w:t xml:space="preserve">approve </w:t>
      </w:r>
      <w:r w:rsidR="00A93DBA">
        <w:t>9</w:t>
      </w:r>
      <w:r w:rsidR="00E57E42">
        <w:t>-</w:t>
      </w:r>
      <w:r w:rsidR="00A93DBA">
        <w:t>15</w:t>
      </w:r>
      <w:r w:rsidR="00E57E42">
        <w:t>-25</w:t>
      </w:r>
      <w:r>
        <w:t xml:space="preserve"> meeting minutes. </w:t>
      </w:r>
      <w:r w:rsidR="00E57E42">
        <w:t xml:space="preserve">All in favor. </w:t>
      </w:r>
      <w:r>
        <w:t>Motion carried.</w:t>
      </w:r>
    </w:p>
    <w:p w14:paraId="22EF685B" w14:textId="77777777" w:rsidR="0064415B" w:rsidRDefault="0064415B" w:rsidP="0064415B">
      <w:pPr>
        <w:pStyle w:val="ListParagraph"/>
        <w:spacing w:after="0"/>
      </w:pPr>
    </w:p>
    <w:p w14:paraId="7D380576" w14:textId="5861E90D" w:rsidR="00B767AB" w:rsidRDefault="00B767AB" w:rsidP="00B767AB">
      <w:pPr>
        <w:pStyle w:val="ListParagraph"/>
        <w:numPr>
          <w:ilvl w:val="0"/>
          <w:numId w:val="1"/>
        </w:numPr>
        <w:spacing w:after="0"/>
      </w:pPr>
      <w:r>
        <w:t>Ray Ludowese provided the treasurer’s report:</w:t>
      </w:r>
    </w:p>
    <w:p w14:paraId="2AB7648F" w14:textId="0D1334B0" w:rsidR="00B767AB" w:rsidRDefault="00B767AB" w:rsidP="00B767AB">
      <w:pPr>
        <w:pStyle w:val="ListParagraph"/>
        <w:numPr>
          <w:ilvl w:val="1"/>
          <w:numId w:val="1"/>
        </w:numPr>
        <w:spacing w:after="0"/>
      </w:pPr>
      <w:r>
        <w:t xml:space="preserve">Checking account balance as of </w:t>
      </w:r>
      <w:r w:rsidR="00A93DBA">
        <w:t>9</w:t>
      </w:r>
      <w:r>
        <w:t>-3</w:t>
      </w:r>
      <w:r w:rsidR="00A93DBA">
        <w:t>0</w:t>
      </w:r>
      <w:r>
        <w:t>-2</w:t>
      </w:r>
      <w:r w:rsidR="00D7208B">
        <w:t>5</w:t>
      </w:r>
      <w:r>
        <w:t>:  $</w:t>
      </w:r>
      <w:r w:rsidR="00A93DBA">
        <w:t>77,671.47</w:t>
      </w:r>
    </w:p>
    <w:p w14:paraId="19801C66" w14:textId="0B7F90FC" w:rsidR="00B767AB" w:rsidRDefault="00B767AB" w:rsidP="00B767AB">
      <w:pPr>
        <w:pStyle w:val="ListParagraph"/>
        <w:numPr>
          <w:ilvl w:val="1"/>
          <w:numId w:val="1"/>
        </w:numPr>
        <w:spacing w:after="0"/>
      </w:pPr>
      <w:r>
        <w:t xml:space="preserve">Delinquent assessments amount as of </w:t>
      </w:r>
      <w:r w:rsidR="00A93DBA">
        <w:t>9-30</w:t>
      </w:r>
      <w:r>
        <w:t>-2</w:t>
      </w:r>
      <w:r w:rsidR="00D7208B">
        <w:t>5</w:t>
      </w:r>
      <w:r>
        <w:t>:  $</w:t>
      </w:r>
      <w:r w:rsidR="00E57E42">
        <w:t>1</w:t>
      </w:r>
      <w:r w:rsidR="00A93DBA">
        <w:t>2,566.02</w:t>
      </w:r>
      <w:r>
        <w:t xml:space="preserve"> (</w:t>
      </w:r>
      <w:r w:rsidR="00A93DBA">
        <w:t>98</w:t>
      </w:r>
      <w:r w:rsidR="00E57E42">
        <w:t xml:space="preserve"> </w:t>
      </w:r>
      <w:r>
        <w:t>owners)</w:t>
      </w:r>
      <w:r w:rsidR="00E57E42">
        <w:t xml:space="preserve"> (amount doesn’t collection fees</w:t>
      </w:r>
      <w:r w:rsidR="0023654C">
        <w:t>)</w:t>
      </w:r>
    </w:p>
    <w:p w14:paraId="21D7DC93" w14:textId="6CD2AF55" w:rsidR="00A93DBA" w:rsidRDefault="00A93DBA" w:rsidP="00B767AB">
      <w:pPr>
        <w:pStyle w:val="ListParagraph"/>
        <w:numPr>
          <w:ilvl w:val="1"/>
          <w:numId w:val="1"/>
        </w:numPr>
        <w:spacing w:after="0"/>
      </w:pPr>
      <w:r>
        <w:t>Currently 56 properties owe over $154.75 in late assessments.  This is equal to two years of non-payment of assessments.</w:t>
      </w:r>
    </w:p>
    <w:p w14:paraId="53132794" w14:textId="44824883" w:rsidR="00A93DBA" w:rsidRDefault="00A93DBA" w:rsidP="00A93DBA">
      <w:pPr>
        <w:pStyle w:val="ListParagraph"/>
        <w:numPr>
          <w:ilvl w:val="2"/>
          <w:numId w:val="1"/>
        </w:numPr>
        <w:spacing w:after="0"/>
      </w:pPr>
      <w:r>
        <w:t>Of the 56 properties, 44 of them owe us over $220.34.  This is equal to three years of non-payment of assessments.</w:t>
      </w:r>
    </w:p>
    <w:p w14:paraId="77206157" w14:textId="1C5224F7" w:rsidR="00A93DBA" w:rsidRDefault="00A93DBA" w:rsidP="00A93DBA">
      <w:pPr>
        <w:pStyle w:val="ListParagraph"/>
        <w:numPr>
          <w:ilvl w:val="1"/>
          <w:numId w:val="1"/>
        </w:numPr>
        <w:spacing w:after="0"/>
      </w:pPr>
      <w:r>
        <w:t xml:space="preserve">In September the board approved ALS to start foreclosure process on all properties with three years or more of late assessments.  </w:t>
      </w:r>
      <w:r w:rsidR="001B3433">
        <w:t xml:space="preserve">Ray to contact </w:t>
      </w:r>
      <w:r>
        <w:t>Maria to ver</w:t>
      </w:r>
      <w:r w:rsidR="001B3433">
        <w:t>if</w:t>
      </w:r>
      <w:r>
        <w:t>y the foreclosure process has started on the 44 properties owing $220.34 in late assessments and fees.</w:t>
      </w:r>
    </w:p>
    <w:p w14:paraId="2DCB3D54" w14:textId="5BC3CB68" w:rsidR="00794D78" w:rsidRDefault="00D7208B" w:rsidP="00E97E80">
      <w:pPr>
        <w:pStyle w:val="ListParagraph"/>
        <w:numPr>
          <w:ilvl w:val="0"/>
          <w:numId w:val="1"/>
        </w:numPr>
        <w:spacing w:after="0"/>
      </w:pPr>
      <w:r w:rsidRPr="00945913">
        <w:t xml:space="preserve">Dan Haines </w:t>
      </w:r>
      <w:r w:rsidR="00945913" w:rsidRPr="00945913">
        <w:t xml:space="preserve"> was not present to </w:t>
      </w:r>
      <w:r w:rsidRPr="00945913">
        <w:t>provide</w:t>
      </w:r>
      <w:r w:rsidR="00945913" w:rsidRPr="00945913">
        <w:t xml:space="preserve"> an </w:t>
      </w:r>
      <w:r w:rsidRPr="00945913">
        <w:t>ACC Committee update.</w:t>
      </w:r>
    </w:p>
    <w:p w14:paraId="769C4B4D" w14:textId="77777777" w:rsidR="004B7C20" w:rsidRPr="00945913" w:rsidRDefault="004B7C20" w:rsidP="004B7C20">
      <w:pPr>
        <w:pStyle w:val="ListParagraph"/>
        <w:spacing w:after="0"/>
      </w:pPr>
    </w:p>
    <w:p w14:paraId="767BB96F" w14:textId="016E9D3F" w:rsidR="004B73CF" w:rsidRPr="00945913" w:rsidRDefault="004B73CF" w:rsidP="004B73CF">
      <w:pPr>
        <w:pStyle w:val="ListParagraph"/>
        <w:numPr>
          <w:ilvl w:val="0"/>
          <w:numId w:val="1"/>
        </w:numPr>
        <w:spacing w:after="0"/>
      </w:pPr>
      <w:r w:rsidRPr="00945913">
        <w:t xml:space="preserve">Kirk </w:t>
      </w:r>
      <w:r w:rsidR="00ED7044" w:rsidRPr="00945913">
        <w:t xml:space="preserve">Schwyn </w:t>
      </w:r>
      <w:r w:rsidRPr="00945913">
        <w:t>provided ECC Committee update:</w:t>
      </w:r>
    </w:p>
    <w:p w14:paraId="2D30BCEB" w14:textId="312ED7FC" w:rsidR="003E754B" w:rsidRDefault="00945913" w:rsidP="003E754B">
      <w:pPr>
        <w:pStyle w:val="ListParagraph"/>
        <w:numPr>
          <w:ilvl w:val="1"/>
          <w:numId w:val="1"/>
        </w:numPr>
        <w:spacing w:after="0"/>
      </w:pPr>
      <w:r w:rsidRPr="00945913">
        <w:t>One existing dock repair/remodel request was approved.</w:t>
      </w:r>
    </w:p>
    <w:p w14:paraId="1701912C" w14:textId="0C1FF5B2" w:rsidR="00945913" w:rsidRDefault="00F74AB5" w:rsidP="003E754B">
      <w:pPr>
        <w:pStyle w:val="ListParagraph"/>
        <w:numPr>
          <w:ilvl w:val="1"/>
          <w:numId w:val="1"/>
        </w:numPr>
        <w:spacing w:after="0"/>
      </w:pPr>
      <w:r>
        <w:t>A Non-compliant structure notice was sent via certified mail to all parties listed on the foreclosure notice for the under-construction house located on St. Paul street.</w:t>
      </w:r>
    </w:p>
    <w:p w14:paraId="6CAA8B38" w14:textId="7AC532A7" w:rsidR="00F74AB5" w:rsidRDefault="00F74AB5" w:rsidP="003E754B">
      <w:pPr>
        <w:pStyle w:val="ListParagraph"/>
        <w:numPr>
          <w:ilvl w:val="1"/>
          <w:numId w:val="1"/>
        </w:numPr>
        <w:spacing w:after="0"/>
      </w:pPr>
      <w:r>
        <w:t>Letters will be sent to all property owners with an open violation with the FDEP.</w:t>
      </w:r>
    </w:p>
    <w:p w14:paraId="65616F9A" w14:textId="71A57A85" w:rsidR="00F74AB5" w:rsidRDefault="00F74AB5" w:rsidP="003E754B">
      <w:pPr>
        <w:pStyle w:val="ListParagraph"/>
        <w:numPr>
          <w:ilvl w:val="1"/>
          <w:numId w:val="1"/>
        </w:numPr>
        <w:spacing w:after="0"/>
      </w:pPr>
      <w:r>
        <w:t xml:space="preserve">Discussion on revised/updated </w:t>
      </w:r>
      <w:r w:rsidR="00CF01A4">
        <w:t>NELA form.</w:t>
      </w:r>
    </w:p>
    <w:p w14:paraId="5A9CB042" w14:textId="15ECC3DD" w:rsidR="00CF01A4" w:rsidRDefault="00CF01A4" w:rsidP="00CF01A4">
      <w:pPr>
        <w:pStyle w:val="ListParagraph"/>
        <w:numPr>
          <w:ilvl w:val="2"/>
          <w:numId w:val="1"/>
        </w:numPr>
        <w:spacing w:after="0"/>
      </w:pPr>
      <w:r>
        <w:t>Signed NELA’s are required from all property owners requesting to use the Greenbelt property adjacent to their property.</w:t>
      </w:r>
    </w:p>
    <w:p w14:paraId="49B39B5D" w14:textId="60625802" w:rsidR="00CF01A4" w:rsidRDefault="00CF01A4" w:rsidP="00CF01A4">
      <w:pPr>
        <w:pStyle w:val="ListParagraph"/>
        <w:numPr>
          <w:ilvl w:val="1"/>
          <w:numId w:val="1"/>
        </w:numPr>
        <w:spacing w:after="0"/>
      </w:pPr>
      <w:r>
        <w:t xml:space="preserve">Rip-Rap clarification.  Rip-Rap is allowed if installation is permitted and completed per all governing codes.  An </w:t>
      </w:r>
      <w:r w:rsidR="00A27BC7">
        <w:t>approved ECC Residential Application request form is needed prior to installation.</w:t>
      </w:r>
    </w:p>
    <w:p w14:paraId="717448D3" w14:textId="6E939C07" w:rsidR="00CF01A4" w:rsidRDefault="00CF01A4" w:rsidP="00CF01A4">
      <w:pPr>
        <w:pStyle w:val="ListParagraph"/>
        <w:numPr>
          <w:ilvl w:val="1"/>
          <w:numId w:val="1"/>
        </w:numPr>
        <w:spacing w:after="0"/>
      </w:pPr>
      <w:r>
        <w:t>Non-pervious pavers are allowed for walkways to the water</w:t>
      </w:r>
      <w:r w:rsidR="00A27BC7">
        <w:t xml:space="preserve"> (only in areas allowed by FDEP)</w:t>
      </w:r>
      <w:r>
        <w:t xml:space="preserve">.  </w:t>
      </w:r>
      <w:r w:rsidR="00A27BC7">
        <w:t>An approved ECC Residential Application request form is needed prior to installation.</w:t>
      </w:r>
    </w:p>
    <w:p w14:paraId="0E61EE30" w14:textId="77777777" w:rsidR="004B7C20" w:rsidRDefault="004B7C20" w:rsidP="004B7C20">
      <w:pPr>
        <w:pStyle w:val="ListParagraph"/>
        <w:spacing w:after="0"/>
        <w:ind w:left="1440"/>
      </w:pPr>
    </w:p>
    <w:p w14:paraId="2AB4CD04" w14:textId="258025D7" w:rsidR="00C3713E" w:rsidRPr="005B6CA7" w:rsidRDefault="00CF01A4" w:rsidP="00C3713E">
      <w:pPr>
        <w:pStyle w:val="ListParagraph"/>
        <w:numPr>
          <w:ilvl w:val="0"/>
          <w:numId w:val="1"/>
        </w:numPr>
        <w:spacing w:after="0"/>
        <w:rPr>
          <w:b/>
          <w:bCs/>
        </w:rPr>
      </w:pPr>
      <w:r w:rsidRPr="005B6CA7">
        <w:t>Kirk Schwyn discussed</w:t>
      </w:r>
      <w:r w:rsidR="005B6CA7">
        <w:t xml:space="preserve"> preparation for annual meeting in January</w:t>
      </w:r>
    </w:p>
    <w:p w14:paraId="4DBA6C7F" w14:textId="14D34C1C" w:rsidR="005B6CA7" w:rsidRPr="005B6CA7" w:rsidRDefault="005B6CA7" w:rsidP="005B6CA7">
      <w:pPr>
        <w:pStyle w:val="ListParagraph"/>
        <w:numPr>
          <w:ilvl w:val="1"/>
          <w:numId w:val="1"/>
        </w:numPr>
        <w:spacing w:after="0"/>
        <w:rPr>
          <w:b/>
          <w:bCs/>
        </w:rPr>
      </w:pPr>
      <w:r>
        <w:t>Ray to contact Tim Freeman (Grande Property Services) to discuss the following:</w:t>
      </w:r>
    </w:p>
    <w:p w14:paraId="7FF2CB5E" w14:textId="7673B62B" w:rsidR="005B6CA7" w:rsidRPr="005B6CA7" w:rsidRDefault="005B6CA7" w:rsidP="005B6CA7">
      <w:pPr>
        <w:pStyle w:val="ListParagraph"/>
        <w:numPr>
          <w:ilvl w:val="2"/>
          <w:numId w:val="1"/>
        </w:numPr>
        <w:spacing w:after="0"/>
      </w:pPr>
      <w:r w:rsidRPr="005B6CA7">
        <w:t>2026 Budget:  Present to the board at November board meeting</w:t>
      </w:r>
    </w:p>
    <w:p w14:paraId="0D11F9C7" w14:textId="6A18A440" w:rsidR="005B6CA7" w:rsidRDefault="005B6CA7" w:rsidP="005B6CA7">
      <w:pPr>
        <w:pStyle w:val="ListParagraph"/>
        <w:numPr>
          <w:ilvl w:val="2"/>
          <w:numId w:val="1"/>
        </w:numPr>
        <w:spacing w:after="0"/>
      </w:pPr>
      <w:r>
        <w:t xml:space="preserve">Annual meeting notice to membership </w:t>
      </w:r>
    </w:p>
    <w:p w14:paraId="237DDD1B" w14:textId="3C29C146" w:rsidR="005B6CA7" w:rsidRDefault="005B6CA7" w:rsidP="005B6CA7">
      <w:pPr>
        <w:pStyle w:val="ListParagraph"/>
        <w:numPr>
          <w:ilvl w:val="3"/>
          <w:numId w:val="1"/>
        </w:numPr>
        <w:spacing w:after="0"/>
      </w:pPr>
      <w:r>
        <w:t xml:space="preserve">Deadline date for candidate resumes </w:t>
      </w:r>
      <w:r w:rsidR="00CC21FF">
        <w:t xml:space="preserve">sent to GPS </w:t>
      </w:r>
      <w:r>
        <w:t>for 2 open seats on the WPOA Board of Directors</w:t>
      </w:r>
    </w:p>
    <w:p w14:paraId="3F1577E3" w14:textId="7E5184C7" w:rsidR="00CC21FF" w:rsidRDefault="00CC21FF" w:rsidP="005B6CA7">
      <w:pPr>
        <w:pStyle w:val="ListParagraph"/>
        <w:numPr>
          <w:ilvl w:val="3"/>
          <w:numId w:val="1"/>
        </w:numPr>
        <w:spacing w:after="0"/>
      </w:pPr>
      <w:r>
        <w:t>Mailing date of annual meeting notice to membership</w:t>
      </w:r>
    </w:p>
    <w:p w14:paraId="3F4DFDBD" w14:textId="77777777" w:rsidR="00F60FA5" w:rsidRDefault="00F60FA5" w:rsidP="00CC21FF">
      <w:pPr>
        <w:pStyle w:val="ListParagraph"/>
        <w:spacing w:after="0"/>
        <w:ind w:left="2880"/>
      </w:pPr>
    </w:p>
    <w:p w14:paraId="148FB1C6" w14:textId="77777777" w:rsidR="00CC21FF" w:rsidRPr="005B6CA7" w:rsidRDefault="00CC21FF" w:rsidP="00CC21FF">
      <w:pPr>
        <w:spacing w:after="0"/>
        <w:ind w:left="720"/>
      </w:pPr>
    </w:p>
    <w:p w14:paraId="1FCCEABF" w14:textId="51A34E49" w:rsidR="00F60FA5" w:rsidRDefault="00F60FA5" w:rsidP="00CC21FF">
      <w:pPr>
        <w:pStyle w:val="ListParagraph"/>
        <w:numPr>
          <w:ilvl w:val="0"/>
          <w:numId w:val="1"/>
        </w:numPr>
        <w:spacing w:after="0"/>
      </w:pPr>
      <w:r>
        <w:t>Kirk discussed the possible need for “background checks” for current and future board members.</w:t>
      </w:r>
    </w:p>
    <w:p w14:paraId="588EA3D0" w14:textId="46E52AA8" w:rsidR="00F60FA5" w:rsidRDefault="00F60FA5" w:rsidP="00F60FA5">
      <w:pPr>
        <w:pStyle w:val="ListParagraph"/>
        <w:numPr>
          <w:ilvl w:val="1"/>
          <w:numId w:val="1"/>
        </w:numPr>
        <w:spacing w:after="0"/>
      </w:pPr>
      <w:r>
        <w:t>Ray raised the question of whether an out of state background check would work.</w:t>
      </w:r>
    </w:p>
    <w:p w14:paraId="4D8D3C47" w14:textId="482F6182" w:rsidR="00F60FA5" w:rsidRDefault="00F60FA5" w:rsidP="00F60FA5">
      <w:pPr>
        <w:pStyle w:val="ListParagraph"/>
        <w:numPr>
          <w:ilvl w:val="2"/>
          <w:numId w:val="1"/>
        </w:numPr>
        <w:spacing w:after="0"/>
      </w:pPr>
      <w:r>
        <w:t xml:space="preserve">Many companies require an employee background check.  </w:t>
      </w:r>
      <w:r w:rsidR="00261C16">
        <w:t>Therefore,</w:t>
      </w:r>
      <w:r>
        <w:t xml:space="preserve"> current and future board members may have </w:t>
      </w:r>
      <w:r w:rsidR="00261C16">
        <w:t>completed an</w:t>
      </w:r>
      <w:r>
        <w:t xml:space="preserve"> out of state </w:t>
      </w:r>
      <w:r w:rsidR="00261C16">
        <w:t>background check.</w:t>
      </w:r>
    </w:p>
    <w:p w14:paraId="004AB5F7" w14:textId="299E4683" w:rsidR="00261C16" w:rsidRDefault="00261C16" w:rsidP="00261C16">
      <w:pPr>
        <w:pStyle w:val="ListParagraph"/>
        <w:numPr>
          <w:ilvl w:val="1"/>
          <w:numId w:val="1"/>
        </w:numPr>
        <w:spacing w:after="0"/>
      </w:pPr>
      <w:r>
        <w:t>The issue was tabled for future discussion.</w:t>
      </w:r>
    </w:p>
    <w:p w14:paraId="0EE9F409" w14:textId="77777777" w:rsidR="004B7C20" w:rsidRDefault="004B7C20" w:rsidP="004B7C20">
      <w:pPr>
        <w:pStyle w:val="ListParagraph"/>
        <w:spacing w:after="0"/>
        <w:ind w:left="1440"/>
      </w:pPr>
    </w:p>
    <w:p w14:paraId="53E03E0B" w14:textId="2E0C0FF5" w:rsidR="00CC21FF" w:rsidRDefault="009D48EE" w:rsidP="00CC21FF">
      <w:pPr>
        <w:pStyle w:val="ListParagraph"/>
        <w:numPr>
          <w:ilvl w:val="0"/>
          <w:numId w:val="1"/>
        </w:numPr>
        <w:spacing w:after="0"/>
      </w:pPr>
      <w:r w:rsidRPr="00CC21FF">
        <w:t>Open Discussion:</w:t>
      </w:r>
    </w:p>
    <w:p w14:paraId="37929524" w14:textId="0D4631BC" w:rsidR="007A7369" w:rsidRDefault="00CC21FF" w:rsidP="00CC21FF">
      <w:pPr>
        <w:pStyle w:val="ListParagraph"/>
        <w:numPr>
          <w:ilvl w:val="1"/>
          <w:numId w:val="1"/>
        </w:numPr>
        <w:spacing w:after="0"/>
      </w:pPr>
      <w:r>
        <w:t xml:space="preserve">Rita Kitenplon: Questioned the legal right </w:t>
      </w:r>
      <w:r w:rsidR="00AC023F">
        <w:t>and/or</w:t>
      </w:r>
      <w:r>
        <w:t xml:space="preserve"> the </w:t>
      </w:r>
      <w:r w:rsidR="00AC023F">
        <w:t xml:space="preserve">authority of the </w:t>
      </w:r>
      <w:r>
        <w:t>board</w:t>
      </w:r>
      <w:r w:rsidR="004B7C20">
        <w:t xml:space="preserve"> to study</w:t>
      </w:r>
      <w:r w:rsidR="00AC023F">
        <w:t xml:space="preserve"> a potential sale of Greenbelt property.</w:t>
      </w:r>
    </w:p>
    <w:p w14:paraId="59DC7D47" w14:textId="77777777" w:rsidR="004B7C20" w:rsidRDefault="00320965" w:rsidP="00CC21FF">
      <w:pPr>
        <w:pStyle w:val="ListParagraph"/>
        <w:numPr>
          <w:ilvl w:val="1"/>
          <w:numId w:val="1"/>
        </w:numPr>
        <w:spacing w:after="0"/>
      </w:pPr>
      <w:r>
        <w:t xml:space="preserve">Kirk Schwyn addressed Rita’s concerns on the board’s preliminary feasibility study involving a potential sale of specific Greenbelt property.   </w:t>
      </w:r>
    </w:p>
    <w:p w14:paraId="7AE619E6" w14:textId="58EEBD2E" w:rsidR="00320965" w:rsidRDefault="00320965" w:rsidP="004B7C20">
      <w:pPr>
        <w:pStyle w:val="ListParagraph"/>
        <w:numPr>
          <w:ilvl w:val="2"/>
          <w:numId w:val="1"/>
        </w:numPr>
        <w:spacing w:after="0"/>
      </w:pPr>
      <w:r>
        <w:t>Kirk expressed it is the current board and future boards obligation to explore all avenues for improvements to Section 94.  Kirk noted improvements need to benefit all members of the WPOA.</w:t>
      </w:r>
    </w:p>
    <w:p w14:paraId="0B4BE7E0" w14:textId="27E59AF1" w:rsidR="004B7C20" w:rsidRDefault="004B7C20" w:rsidP="004B7C20">
      <w:pPr>
        <w:pStyle w:val="ListParagraph"/>
        <w:numPr>
          <w:ilvl w:val="2"/>
          <w:numId w:val="1"/>
        </w:numPr>
        <w:spacing w:after="0"/>
      </w:pPr>
      <w:r>
        <w:t>No money has been spent on the current feasibility study.</w:t>
      </w:r>
    </w:p>
    <w:p w14:paraId="47C204C8" w14:textId="2B944F85" w:rsidR="004B7C20" w:rsidRDefault="004B7C20" w:rsidP="004B7C20">
      <w:pPr>
        <w:pStyle w:val="ListParagraph"/>
        <w:numPr>
          <w:ilvl w:val="2"/>
          <w:numId w:val="1"/>
        </w:numPr>
        <w:spacing w:after="0"/>
      </w:pPr>
      <w:r>
        <w:t>The WPOA legal counsel has been and will be consulted on legal issues arising during the process</w:t>
      </w:r>
    </w:p>
    <w:p w14:paraId="1234DCE3" w14:textId="1102E305" w:rsidR="00320965" w:rsidRDefault="00F60FA5" w:rsidP="00CC21FF">
      <w:pPr>
        <w:pStyle w:val="ListParagraph"/>
        <w:numPr>
          <w:ilvl w:val="1"/>
          <w:numId w:val="1"/>
        </w:numPr>
        <w:spacing w:after="0"/>
      </w:pPr>
      <w:r>
        <w:t>There was further discussion on potential beneficial improvements to Section 94.  Kirk noted at the current rate of funding, it would be decades before WPOA would have any significant funds for community improvements and/or development of common areas.</w:t>
      </w:r>
    </w:p>
    <w:p w14:paraId="02786330" w14:textId="77777777" w:rsidR="004B7C20" w:rsidRDefault="004B7C20" w:rsidP="004B7C20">
      <w:pPr>
        <w:pStyle w:val="ListParagraph"/>
        <w:spacing w:after="0"/>
        <w:ind w:left="1440"/>
      </w:pPr>
    </w:p>
    <w:p w14:paraId="4763D6DE" w14:textId="6DDE4067" w:rsidR="00F60FA5" w:rsidRDefault="00261C16" w:rsidP="00F60FA5">
      <w:pPr>
        <w:pStyle w:val="ListParagraph"/>
        <w:numPr>
          <w:ilvl w:val="0"/>
          <w:numId w:val="1"/>
        </w:numPr>
        <w:spacing w:after="0"/>
      </w:pPr>
      <w:r w:rsidRPr="00261C16">
        <w:rPr>
          <w:b/>
          <w:bCs/>
        </w:rPr>
        <w:t>Motion</w:t>
      </w:r>
      <w:r>
        <w:t xml:space="preserve"> Kirk/Ray to adjourn the meeting.  All in favor.  Motion carried.  Meeting adjourned 7:31pm.</w:t>
      </w:r>
    </w:p>
    <w:sectPr w:rsidR="00F60FA5" w:rsidSect="007A73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24B8"/>
    <w:multiLevelType w:val="hybridMultilevel"/>
    <w:tmpl w:val="AE78B010"/>
    <w:lvl w:ilvl="0" w:tplc="DE7E2640">
      <w:start w:val="1"/>
      <w:numFmt w:val="decimal"/>
      <w:lvlText w:val="%1."/>
      <w:lvlJc w:val="left"/>
      <w:pPr>
        <w:ind w:left="720" w:hanging="360"/>
      </w:pPr>
      <w:rPr>
        <w:rFonts w:hint="default"/>
        <w:b w:val="0"/>
        <w:bCs w:val="0"/>
      </w:rPr>
    </w:lvl>
    <w:lvl w:ilvl="1" w:tplc="D46E3F4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50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46"/>
    <w:rsid w:val="000607C8"/>
    <w:rsid w:val="000C446B"/>
    <w:rsid w:val="00154434"/>
    <w:rsid w:val="001B3433"/>
    <w:rsid w:val="0023654C"/>
    <w:rsid w:val="00261C16"/>
    <w:rsid w:val="003177D9"/>
    <w:rsid w:val="00320965"/>
    <w:rsid w:val="00332C37"/>
    <w:rsid w:val="003959B3"/>
    <w:rsid w:val="003E754B"/>
    <w:rsid w:val="004B73CF"/>
    <w:rsid w:val="004B7C20"/>
    <w:rsid w:val="005B6CA7"/>
    <w:rsid w:val="0064415B"/>
    <w:rsid w:val="006779C9"/>
    <w:rsid w:val="00734C75"/>
    <w:rsid w:val="00745746"/>
    <w:rsid w:val="00760684"/>
    <w:rsid w:val="00794D78"/>
    <w:rsid w:val="007A7369"/>
    <w:rsid w:val="00894C20"/>
    <w:rsid w:val="008C741B"/>
    <w:rsid w:val="00936908"/>
    <w:rsid w:val="00945913"/>
    <w:rsid w:val="00971A2A"/>
    <w:rsid w:val="0099453F"/>
    <w:rsid w:val="009A0976"/>
    <w:rsid w:val="009D48EE"/>
    <w:rsid w:val="00A27BC7"/>
    <w:rsid w:val="00A93DBA"/>
    <w:rsid w:val="00AC023F"/>
    <w:rsid w:val="00B37C8F"/>
    <w:rsid w:val="00B767AB"/>
    <w:rsid w:val="00C13A87"/>
    <w:rsid w:val="00C3713E"/>
    <w:rsid w:val="00CC21FF"/>
    <w:rsid w:val="00CF01A4"/>
    <w:rsid w:val="00D700B9"/>
    <w:rsid w:val="00D7208B"/>
    <w:rsid w:val="00D8723A"/>
    <w:rsid w:val="00DA0F95"/>
    <w:rsid w:val="00DA2031"/>
    <w:rsid w:val="00DA36B4"/>
    <w:rsid w:val="00DB7D6A"/>
    <w:rsid w:val="00E1527C"/>
    <w:rsid w:val="00E57E42"/>
    <w:rsid w:val="00E97E80"/>
    <w:rsid w:val="00ED7044"/>
    <w:rsid w:val="00ED7CF8"/>
    <w:rsid w:val="00F02457"/>
    <w:rsid w:val="00F60FA5"/>
    <w:rsid w:val="00F74AB5"/>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3DBA"/>
  <w15:chartTrackingRefBased/>
  <w15:docId w15:val="{8D226B55-F469-4CED-865E-87DCDFE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Ludowese</dc:creator>
  <cp:keywords/>
  <dc:description/>
  <cp:lastModifiedBy>Ray Ludowese</cp:lastModifiedBy>
  <cp:revision>7</cp:revision>
  <dcterms:created xsi:type="dcterms:W3CDTF">2025-10-20T19:15:00Z</dcterms:created>
  <dcterms:modified xsi:type="dcterms:W3CDTF">2025-10-21T18:39:00Z</dcterms:modified>
</cp:coreProperties>
</file>