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4B2E83"/>
          <w:sz w:val="48"/>
          <w:szCs w:val="48"/>
        </w:rPr>
        <w:t xml:space="preserve">SUPPORT SB 1105</w:t>
      </w:r>
    </w:p>
    <w:p>
      <w:pPr>
        <w:spacing w:after="160"/>
      </w:pPr>
      <w:r>
        <w:rPr>
          <w:b/>
          <w:bCs/>
          <w:color w:val="B8860B"/>
          <w:sz w:val="24"/>
          <w:szCs w:val="24"/>
        </w:rPr>
        <w:t xml:space="preserve">The Protect California Rights Act — Constituent Action Toolkit</w:t>
      </w:r>
    </w:p>
    <w:p>
      <w:pPr>
        <w:pBdr>
          <w:bottom w:val="single" w:color="B8860B" w:sz="12" w:space="1"/>
        </w:pBdr>
        <w:spacing w:after="200"/>
      </w:pPr>
    </w:p>
    <w:p>
      <w:pPr>
        <w:pStyle w:val="Heading2"/>
      </w:pPr>
      <w:r>
        <w:t xml:space="preserve">What SB 1105 does</w:t>
      </w:r>
    </w:p>
    <w:p>
      <w:pPr>
        <w:spacing w:after="120"/>
      </w:pPr>
      <w:r>
        <w:t xml:space="preserve">SB 1105, authored by Senator Sasha Renée Pérez (D-Pasadena), ensures California’s state and local police cannot be commandeered into federal operations that violate state law. Specifically, it bars assisting federal agents in operations involving racial or identity profiling, the criminalization of protected speech, or the use of unauthorized military-grade weapons against Californians — and it protects the right to lawfully observe and record enforcement activity.</w:t>
      </w:r>
    </w:p>
    <w:p>
      <w:pPr>
        <w:spacing w:after="200"/>
      </w:pPr>
      <w:r>
        <w:rPr>
          <w:b/>
          <w:bCs/>
        </w:rPr>
        <w:t xml:space="preserve">Status: </w:t>
      </w:r>
      <w:r>
        <w:t xml:space="preserve">Introduced February 13, 2026; referred to the Senate Public Safety Committee. This committee is the immediate decision point — contacting its members now matters most.</w:t>
      </w:r>
    </w:p>
    <w:p>
      <w:pPr>
        <w:pStyle w:val="Heading2"/>
      </w:pPr>
      <w:r>
        <w:t xml:space="preserve">Answering the opposition</w:t>
      </w:r>
    </w:p>
    <w:p>
      <w:pPr>
        <w:spacing w:after="200"/>
      </w:pPr>
      <w:r>
        <w:t xml:space="preserve">Police associations argue the bill undermines public safety partnerships and slows legitimate task force coordination on crimes like trafficking or abduction. The response: SB 1105 does not prohibit cooperation on genuine public safety threats. It draws a narrow line at conduct that is already unconstitutional. Keeping local officers out of profiling-driven operations protects the community trust and credibility that effective policing depends on — which serves officers as much as residents.</w:t>
      </w:r>
    </w:p>
    <w:p>
      <w:pPr>
        <w:pBdr>
          <w:bottom w:val="single" w:color="4B2E83" w:sz="12" w:space="1"/>
        </w:pBdr>
        <w:spacing w:after="200"/>
      </w:pPr>
    </w:p>
    <w:p>
      <w:pPr>
        <w:pStyle w:val="Heading1"/>
      </w:pPr>
      <w:r>
        <w:t xml:space="preserve">How to Make Your Voice Count</w:t>
      </w:r>
    </w:p>
    <w:p>
      <w:pPr>
        <w:spacing w:after="140"/>
      </w:pPr>
      <w:r>
        <w:t xml:space="preserve">For maximum impact, do all three. They do different jobs:</w:t>
      </w:r>
    </w:p>
    <w:p>
      <w:pPr>
        <w:spacing w:after="100"/>
      </w:pPr>
      <w:r>
        <w:rPr>
          <w:b/>
          <w:bCs/>
        </w:rPr>
        <w:t xml:space="preserve">1. Submit through the official Position Letter Portal (this is what enters the bill record). </w:t>
      </w:r>
      <w:r>
        <w:t xml:space="preserve">Letters filed through the California Legislature Advocates Portal are automatically made available to the bill author, members, and the committee, and are the only way to be cited in the committee’s official analysis. To be counted in the analysis for a hearing, submit at least five business days before the hearing date, on letterhead, signed, with the bill number and your stance (Support) stated clearly.</w:t>
      </w:r>
    </w:p>
    <w:p>
      <w:pPr>
        <w:spacing w:after="100"/>
        <w:ind w:left="360"/>
      </w:pPr>
      <w:hyperlink w:history="1" r:id="rId4b8qplm12nfdm9lmjbjlr">
        <w:r>
          <w:rPr>
            <w:color w:val="0563C1"/>
            <w:u w:val="single"/>
          </w:rPr>
          <w:t xml:space="preserve">Portal: calegislation.lc.ca.gov/Advocates</w:t>
        </w:r>
      </w:hyperlink>
    </w:p>
    <w:p>
      <w:pPr>
        <w:spacing w:after="100"/>
      </w:pPr>
      <w:r>
        <w:rPr>
          <w:b/>
          <w:bCs/>
        </w:rPr>
        <w:t xml:space="preserve">2. Contact each member directly. </w:t>
      </w:r>
      <w:r>
        <w:t xml:space="preserve">Letters delivered to a committee are NOT forwarded to its individual members. Email or call each member’s office separately using the phone script and letter below.</w:t>
      </w:r>
    </w:p>
    <w:p>
      <w:pPr>
        <w:spacing w:after="180"/>
      </w:pPr>
      <w:r>
        <w:rPr>
          <w:b/>
          <w:bCs/>
        </w:rPr>
        <w:t xml:space="preserve">3. (Optional) Mail a hard copy by certified mail for proof of delivery. </w:t>
      </w:r>
      <w:r>
        <w:t xml:space="preserve">Certified mail gives you a USPS tracking number and return receipt — useful documentation that an office received your letter, and a signal of seriousness. Note: certified mail proves delivery; it does not by itself place a letter in the official bill file. The portal submission in step 1 is what does that. Committees also accept letters by mail or hand delivery to their office as an alternative to the portal.</w:t>
      </w:r>
    </w:p>
    <w:p>
      <w:pPr>
        <w:pBdr>
          <w:bottom w:val="single" w:color="4B2E83" w:sz="12" w:space="1"/>
        </w:pBdr>
        <w:spacing w:after="200"/>
      </w:pPr>
    </w:p>
    <w:p>
      <w:pPr>
        <w:pStyle w:val="Heading1"/>
      </w:pPr>
      <w:r>
        <w:t xml:space="preserve">Phone Call Script</w:t>
      </w:r>
    </w:p>
    <w:p>
      <w:pPr>
        <w:spacing w:after="160"/>
      </w:pPr>
      <w:r>
        <w:rPr>
          <w:i/>
          <w:iCs/>
          <w:color w:val="555555"/>
        </w:rPr>
        <w:t xml:space="preserve">Replace the bracketed text. Calls take under a minute and carry real weight.</w:t>
      </w:r>
    </w:p>
    <w:p>
      <w:pPr>
        <w:pBdr>
          <w:left w:val="single" w:color="B8860B" w:sz="18" w:space="8"/>
        </w:pBdr>
        <w:shd w:fill="FBF7EF" w:val="clear"/>
        <w:spacing w:after="100"/>
        <w:ind w:left="200" w:right="200"/>
      </w:pPr>
      <w:r>
        <w:rPr>
          <w:color w:val="222222"/>
        </w:rPr>
        <w:t xml:space="preserve">Hi, my name is [NAME] and I’m a constituent from [CITY/ZIP]. I’m calling to ask Senator [NAME] to support SB 1105, the Protect California Rights Act.</w:t>
      </w:r>
    </w:p>
    <w:p>
      <w:pPr>
        <w:pBdr>
          <w:left w:val="single" w:color="B8860B" w:sz="18" w:space="8"/>
        </w:pBdr>
        <w:shd w:fill="FBF7EF" w:val="clear"/>
        <w:spacing w:after="100"/>
        <w:ind w:left="200" w:right="200"/>
      </w:pPr>
      <w:r>
        <w:rPr>
          <w:color w:val="222222"/>
        </w:rPr>
        <w:t xml:space="preserve">This bill makes sure local police can’t be pulled into federal operations that rely on racial profiling, target people for protected speech, or use military-grade weapons against Californians. It also protects the right to observe and record law enforcement.</w:t>
      </w:r>
    </w:p>
    <w:p>
      <w:pPr>
        <w:pBdr>
          <w:left w:val="single" w:color="B8860B" w:sz="18" w:space="8"/>
        </w:pBdr>
        <w:shd w:fill="FBF7EF" w:val="clear"/>
        <w:spacing w:after="100"/>
        <w:ind w:left="200" w:right="200"/>
      </w:pPr>
      <w:r>
        <w:rPr>
          <w:color w:val="222222"/>
        </w:rPr>
        <w:t xml:space="preserve">I know police unions are pushing back, but this bill doesn’t stop legitimate work on trafficking or kidnapping — it draws a line at unconstitutional conduct. Keeping local police out of profiling-based operations protects officers’ credibility and community trust too.</w:t>
      </w:r>
    </w:p>
    <w:p>
      <w:pPr>
        <w:pBdr>
          <w:left w:val="single" w:color="B8860B" w:sz="18" w:space="8"/>
        </w:pBdr>
        <w:shd w:fill="FBF7EF" w:val="clear"/>
        <w:spacing w:after="100"/>
        <w:ind w:left="200" w:right="200"/>
      </w:pPr>
      <w:r>
        <w:rPr>
          <w:color w:val="222222"/>
        </w:rPr>
        <w:t xml:space="preserve">Can I count on the Senator to support SB 1105? Thank you.</w:t>
      </w:r>
    </w:p>
    <w:p>
      <w:pPr>
        <w:spacing w:after="200" w:before="120"/>
      </w:pPr>
      <w:r>
        <w:rPr>
          <w:b/>
          <w:bCs/>
        </w:rPr>
        <w:t xml:space="preserve">Voicemail: </w:t>
      </w:r>
      <w:r>
        <w:t xml:space="preserve">Leave your name, city/ZIP, “I support SB 1105,” and a callback number.</w:t>
      </w:r>
    </w:p>
    <w:p>
      <w:pPr>
        <w:pBdr>
          <w:bottom w:val="single" w:color="4B2E83" w:sz="12" w:space="1"/>
        </w:pBdr>
        <w:spacing w:after="200"/>
      </w:pPr>
    </w:p>
    <w:p>
      <w:pPr>
        <w:pStyle w:val="Heading1"/>
      </w:pPr>
      <w:r>
        <w:t xml:space="preserve">Email / Letter Template</w:t>
      </w:r>
    </w:p>
    <w:p>
      <w:pPr>
        <w:spacing w:after="80"/>
      </w:pPr>
      <w:r>
        <w:rPr>
          <w:b/>
          <w:bCs/>
        </w:rPr>
        <w:t xml:space="preserve">Subject: </w:t>
      </w:r>
      <w:r>
        <w:t xml:space="preserve">Constituent request: Support SB 1105 — Protect California Rights Act</w:t>
      </w:r>
    </w:p>
    <w:p>
      <w:pPr>
        <w:spacing w:after="160"/>
      </w:pPr>
      <w:r>
        <w:rPr>
          <w:i/>
          <w:iCs/>
          <w:color w:val="555555"/>
        </w:rPr>
        <w:t xml:space="preserve">Tip: If submitting through the portal, put this on letterhead (even a simple bold name/address header works), date it, and sign it.</w:t>
      </w:r>
    </w:p>
    <w:p>
      <w:pPr>
        <w:spacing w:after="140"/>
      </w:pPr>
      <w:r>
        <w:t xml:space="preserve">Dear Senator [LAST NAME],</w:t>
      </w:r>
    </w:p>
    <w:p>
      <w:pPr>
        <w:spacing w:after="140"/>
      </w:pPr>
      <w:r>
        <w:t xml:space="preserve">My name is [FULL NAME] and I am your constituent in [CITY, ZIP]. I’m writing to urge you to support SB 1105, the Protect California Rights Act, authored by Senator Sasha Renée Pérez.</w:t>
      </w:r>
    </w:p>
    <w:p>
      <w:pPr>
        <w:spacing w:after="140"/>
      </w:pPr>
      <w:r>
        <w:t xml:space="preserve">SB 1105 ensures that California’s state and local law enforcement cannot be pulled into federal operations that violate state law — specifically those involving racial or identity profiling, the criminalization of protected First Amendment speech, or the use of unauthorized military-grade weapons against Californians. It also safeguards the right of residents to lawfully observe and document enforcement activity.</w:t>
      </w:r>
    </w:p>
    <w:p>
      <w:pPr>
        <w:spacing w:after="140"/>
      </w:pPr>
      <w:r>
        <w:t xml:space="preserve">I want to address the opposition directly. Police associations have argued this bill undermines public safety partnerships and slows legitimate task force coordination. I respectfully disagree. SB 1105 does not prohibit cooperation on trafficking, child abduction, or genuine public safety threats. It draws a narrow line at conduct that is already unconstitutional. When local officers are kept out of profiling-driven operations, it protects the community trust and credibility that effective policing depends on — something that serves officers as much as residents.</w:t>
      </w:r>
    </w:p>
    <w:p>
      <w:pPr>
        <w:spacing w:after="140"/>
      </w:pPr>
      <w:r>
        <w:t xml:space="preserve">Californians deserve confidence that the officers sworn to protect them will not be turned into instruments of intimidation. I ask that you stand with our communities and vote yes on SB 1105.</w:t>
      </w:r>
    </w:p>
    <w:p>
      <w:pPr>
        <w:spacing w:after="140"/>
      </w:pPr>
      <w:r>
        <w:t xml:space="preserve">Thank you for your service and for considering my request.</w:t>
      </w:r>
    </w:p>
    <w:p>
      <w:pPr>
        <w:spacing w:after="20"/>
      </w:pPr>
      <w:r>
        <w:t xml:space="preserve">Sincerely,</w:t>
      </w:r>
    </w:p>
    <w:p>
      <w:pPr>
        <w:spacing w:after="20"/>
      </w:pPr>
      <w:r>
        <w:t xml:space="preserve">[FULL NAME]</w:t>
      </w:r>
    </w:p>
    <w:p>
      <w:pPr>
        <w:spacing w:after="20"/>
      </w:pPr>
      <w:r>
        <w:t xml:space="preserve">[STREET ADDRESS]</w:t>
      </w:r>
    </w:p>
    <w:p>
      <w:pPr>
        <w:spacing w:after="20"/>
      </w:pPr>
      <w:r>
        <w:t xml:space="preserve">[CITY, CA ZIP]</w:t>
      </w:r>
    </w:p>
    <w:p>
      <w:pPr>
        <w:spacing w:after="20"/>
      </w:pPr>
      <w:r>
        <w:t xml:space="preserve">[EMAIL / PHONE — optional]</w:t>
      </w:r>
    </w:p>
    <w:p>
      <w:pPr>
        <w:pBdr>
          <w:bottom w:val="single" w:color="4B2E83" w:sz="12" w:space="1"/>
        </w:pBdr>
        <w:spacing w:after="200"/>
      </w:pPr>
    </w:p>
    <w:p>
      <w:pPr>
        <w:pStyle w:val="Heading1"/>
      </w:pPr>
      <w:r>
        <w:t xml:space="preserve">Where to Find Your Senator</w:t>
      </w:r>
    </w:p>
    <w:p>
      <w:pPr>
        <w:spacing w:after="100"/>
      </w:pPr>
      <w:r>
        <w:t xml:space="preserve">Find your own state senator by address — constituent letters carry the most weight:</w:t>
      </w:r>
    </w:p>
    <w:p>
      <w:pPr>
        <w:pStyle w:val="ListParagraph"/>
        <w:numPr>
          <w:ilvl w:val="0"/>
          <w:numId w:val="2"/>
        </w:numPr>
        <w:spacing w:after="80"/>
      </w:pPr>
      <w:hyperlink w:history="1" r:id="rId48k-lqkpmmkexni9brzqw">
        <w:r>
          <w:rPr>
            <w:color w:val="0563C1"/>
            <w:u w:val="single"/>
          </w:rPr>
          <w:t xml:space="preserve">findyourrep.legislature.ca.gov</w:t>
        </w:r>
      </w:hyperlink>
    </w:p>
    <w:p>
      <w:pPr>
        <w:pStyle w:val="ListParagraph"/>
        <w:numPr>
          <w:ilvl w:val="0"/>
          <w:numId w:val="2"/>
        </w:numPr>
        <w:spacing w:after="80"/>
      </w:pPr>
      <w:r>
        <w:t xml:space="preserve">Full State Senate roster and contact pages: </w:t>
      </w:r>
      <w:hyperlink w:history="1" r:id="rIdnp-9qile2ayxmqzyai94v">
        <w:r>
          <w:rPr>
            <w:color w:val="0563C1"/>
            <w:u w:val="single"/>
          </w:rPr>
          <w:t xml:space="preserve">senate.ca.gov/senators</w:t>
        </w:r>
      </w:hyperlink>
    </w:p>
    <w:p>
      <w:pPr>
        <w:pStyle w:val="ListParagraph"/>
        <w:numPr>
          <w:ilvl w:val="0"/>
          <w:numId w:val="2"/>
        </w:numPr>
        <w:spacing w:after="200"/>
      </w:pPr>
      <w:r>
        <w:t xml:space="preserve">Track SB 1105 and its hearing schedule: </w:t>
      </w:r>
      <w:hyperlink w:history="1" r:id="rIdyh_zkxco9v1sbprhl-o2o">
        <w:r>
          <w:rPr>
            <w:color w:val="0563C1"/>
            <w:u w:val="single"/>
          </w:rPr>
          <w:t xml:space="preserve">leginfo.legislature.ca.gov</w:t>
        </w:r>
      </w:hyperlink>
    </w:p>
    <w:p>
      <w:pPr>
        <w:pStyle w:val="Heading2"/>
      </w:pPr>
      <w:r>
        <w:t xml:space="preserve">Priority targets: Senate Public Safety Committee</w:t>
      </w:r>
    </w:p>
    <w:p>
      <w:pPr>
        <w:spacing w:after="120"/>
      </w:pPr>
      <w:r>
        <w:t xml:space="preserve">These members vote first. If one represents you, say so and ask for an aye vote in committee. Email each individually — the committee does not forward your letter to members.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3000"/>
        <w:gridCol w:w="3000"/>
      </w:tblGrid>
      <w:tr>
        <w:trPr>
          <w:tblHeader/>
        </w:trPr>
        <w:tc>
          <w:tcPr>
            <w:tcW w:type="dxa" w:w="3360"/>
            <w:tcBorders>
              <w:top w:val="single" w:color="CCCCCC" w:sz="1"/>
              <w:left w:val="single" w:color="CCCCCC" w:sz="1"/>
              <w:bottom w:val="single" w:color="CCCCCC" w:sz="1"/>
              <w:right w:val="single" w:color="CCCCCC" w:sz="1"/>
            </w:tcBorders>
            <w:shd w:fill="4B2E83" w:val="clear"/>
            <w:tcMar>
              <w:top w:type="dxa" w:w="80"/>
              <w:left w:type="dxa" w:w="120"/>
              <w:bottom w:type="dxa" w:w="80"/>
              <w:right w:type="dxa" w:w="120"/>
            </w:tcMar>
          </w:tcPr>
          <w:p>
            <w:r>
              <w:rPr>
                <w:b/>
                <w:bCs/>
                <w:color w:val="FFFFFF"/>
              </w:rPr>
              <w:t xml:space="preserve">Member</w:t>
            </w:r>
          </w:p>
        </w:tc>
        <w:tc>
          <w:tcPr>
            <w:tcW w:type="dxa" w:w="3000"/>
            <w:tcBorders>
              <w:top w:val="single" w:color="CCCCCC" w:sz="1"/>
              <w:left w:val="single" w:color="CCCCCC" w:sz="1"/>
              <w:bottom w:val="single" w:color="CCCCCC" w:sz="1"/>
              <w:right w:val="single" w:color="CCCCCC" w:sz="1"/>
            </w:tcBorders>
            <w:shd w:fill="4B2E83" w:val="clear"/>
            <w:tcMar>
              <w:top w:type="dxa" w:w="80"/>
              <w:left w:type="dxa" w:w="120"/>
              <w:bottom w:type="dxa" w:w="80"/>
              <w:right w:type="dxa" w:w="120"/>
            </w:tcMar>
          </w:tcPr>
          <w:p>
            <w:r>
              <w:rPr>
                <w:b/>
                <w:bCs/>
                <w:color w:val="FFFFFF"/>
              </w:rPr>
              <w:t xml:space="preserve">District / Party</w:t>
            </w:r>
          </w:p>
        </w:tc>
        <w:tc>
          <w:tcPr>
            <w:tcW w:type="dxa" w:w="3000"/>
            <w:tcBorders>
              <w:top w:val="single" w:color="CCCCCC" w:sz="1"/>
              <w:left w:val="single" w:color="CCCCCC" w:sz="1"/>
              <w:bottom w:val="single" w:color="CCCCCC" w:sz="1"/>
              <w:right w:val="single" w:color="CCCCCC" w:sz="1"/>
            </w:tcBorders>
            <w:shd w:fill="4B2E83" w:val="clear"/>
            <w:tcMar>
              <w:top w:type="dxa" w:w="80"/>
              <w:left w:type="dxa" w:w="120"/>
              <w:bottom w:type="dxa" w:w="80"/>
              <w:right w:type="dxa" w:w="120"/>
            </w:tcMar>
          </w:tcPr>
          <w:p>
            <w:r>
              <w:rPr>
                <w:b/>
                <w:bCs/>
                <w:color w:val="FFFFFF"/>
              </w:rPr>
              <w:t xml:space="preserve">Role</w:t>
            </w:r>
          </w:p>
        </w:tc>
      </w:tr>
      <w:tr>
        <w:trPr>
          <w:tblHeader w:val="false"/>
        </w:trP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b w:val="false"/>
                <w:bCs w:val="false"/>
                <w:color w:val="222222"/>
              </w:rPr>
              <w:t xml:space="preserve">Jesse Arreguín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b w:val="false"/>
                <w:bCs w:val="false"/>
                <w:color w:val="222222"/>
              </w:rPr>
              <w:t xml:space="preserve">District 7 (D)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b w:val="false"/>
                <w:bCs w:val="false"/>
                <w:color w:val="222222"/>
              </w:rPr>
              <w:t xml:space="preserve">Chair</w:t>
            </w:r>
          </w:p>
        </w:tc>
      </w:tr>
      <w:tr>
        <w:trPr>
          <w:tblHeader w:val="false"/>
        </w:trPr>
        <w:tc>
          <w:tcPr>
            <w:tcW w:type="dxa" w:w="3360"/>
            <w:tcBorders>
              <w:top w:val="single" w:color="CCCCCC" w:sz="1"/>
              <w:left w:val="single" w:color="CCCCCC" w:sz="1"/>
              <w:bottom w:val="single" w:color="CCCCCC" w:sz="1"/>
              <w:right w:val="single" w:color="CCCCCC" w:sz="1"/>
            </w:tcBorders>
            <w:shd w:fill="FBF7EF" w:val="clear"/>
            <w:tcMar>
              <w:top w:type="dxa" w:w="80"/>
              <w:left w:type="dxa" w:w="120"/>
              <w:bottom w:type="dxa" w:w="80"/>
              <w:right w:type="dxa" w:w="120"/>
            </w:tcMar>
          </w:tcPr>
          <w:p>
            <w:r>
              <w:rPr>
                <w:b w:val="false"/>
                <w:bCs w:val="false"/>
                <w:color w:val="222222"/>
              </w:rPr>
              <w:t xml:space="preserve">Kelly Seyarto</w:t>
            </w:r>
          </w:p>
        </w:tc>
        <w:tc>
          <w:tcPr>
            <w:tcW w:type="dxa" w:w="3000"/>
            <w:tcBorders>
              <w:top w:val="single" w:color="CCCCCC" w:sz="1"/>
              <w:left w:val="single" w:color="CCCCCC" w:sz="1"/>
              <w:bottom w:val="single" w:color="CCCCCC" w:sz="1"/>
              <w:right w:val="single" w:color="CCCCCC" w:sz="1"/>
            </w:tcBorders>
            <w:shd w:fill="FBF7EF" w:val="clear"/>
            <w:tcMar>
              <w:top w:type="dxa" w:w="80"/>
              <w:left w:type="dxa" w:w="120"/>
              <w:bottom w:type="dxa" w:w="80"/>
              <w:right w:type="dxa" w:w="120"/>
            </w:tcMar>
          </w:tcPr>
          <w:p>
            <w:r>
              <w:rPr>
                <w:b w:val="false"/>
                <w:bCs w:val="false"/>
                <w:color w:val="222222"/>
              </w:rPr>
              <w:t xml:space="preserve">District 32 (R)</w:t>
            </w:r>
          </w:p>
        </w:tc>
        <w:tc>
          <w:tcPr>
            <w:tcW w:type="dxa" w:w="3000"/>
            <w:tcBorders>
              <w:top w:val="single" w:color="CCCCCC" w:sz="1"/>
              <w:left w:val="single" w:color="CCCCCC" w:sz="1"/>
              <w:bottom w:val="single" w:color="CCCCCC" w:sz="1"/>
              <w:right w:val="single" w:color="CCCCCC" w:sz="1"/>
            </w:tcBorders>
            <w:shd w:fill="FBF7EF" w:val="clear"/>
            <w:tcMar>
              <w:top w:type="dxa" w:w="80"/>
              <w:left w:type="dxa" w:w="120"/>
              <w:bottom w:type="dxa" w:w="80"/>
              <w:right w:type="dxa" w:w="120"/>
            </w:tcMar>
          </w:tcPr>
          <w:p>
            <w:r>
              <w:rPr>
                <w:b w:val="false"/>
                <w:bCs w:val="false"/>
                <w:color w:val="222222"/>
              </w:rPr>
              <w:t xml:space="preserve">Vice Chair</w:t>
            </w:r>
          </w:p>
        </w:tc>
      </w:tr>
      <w:tr>
        <w:trPr>
          <w:tblHeader w:val="false"/>
        </w:trP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b w:val="false"/>
                <w:bCs w:val="false"/>
                <w:color w:val="222222"/>
              </w:rPr>
              <w:t xml:space="preserve">Anna Caballero</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b w:val="false"/>
                <w:bCs w:val="false"/>
                <w:color w:val="222222"/>
              </w:rPr>
              <w:t xml:space="preserve">District 14 (D)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b w:val="false"/>
                <w:bCs w:val="false"/>
                <w:color w:val="222222"/>
              </w:rPr>
              <w:t xml:space="preserve">Member</w:t>
            </w:r>
          </w:p>
        </w:tc>
      </w:tr>
      <w:tr>
        <w:trPr>
          <w:tblHeader w:val="false"/>
        </w:trPr>
        <w:tc>
          <w:tcPr>
            <w:tcW w:type="dxa" w:w="3360"/>
            <w:tcBorders>
              <w:top w:val="single" w:color="CCCCCC" w:sz="1"/>
              <w:left w:val="single" w:color="CCCCCC" w:sz="1"/>
              <w:bottom w:val="single" w:color="CCCCCC" w:sz="1"/>
              <w:right w:val="single" w:color="CCCCCC" w:sz="1"/>
            </w:tcBorders>
            <w:shd w:fill="FBF7EF" w:val="clear"/>
            <w:tcMar>
              <w:top w:type="dxa" w:w="80"/>
              <w:left w:type="dxa" w:w="120"/>
              <w:bottom w:type="dxa" w:w="80"/>
              <w:right w:type="dxa" w:w="120"/>
            </w:tcMar>
          </w:tcPr>
          <w:p>
            <w:r>
              <w:rPr>
                <w:b w:val="false"/>
                <w:bCs w:val="false"/>
                <w:color w:val="222222"/>
              </w:rPr>
              <w:t xml:space="preserve">Dave Cortese</w:t>
            </w:r>
          </w:p>
        </w:tc>
        <w:tc>
          <w:tcPr>
            <w:tcW w:type="dxa" w:w="3000"/>
            <w:tcBorders>
              <w:top w:val="single" w:color="CCCCCC" w:sz="1"/>
              <w:left w:val="single" w:color="CCCCCC" w:sz="1"/>
              <w:bottom w:val="single" w:color="CCCCCC" w:sz="1"/>
              <w:right w:val="single" w:color="CCCCCC" w:sz="1"/>
            </w:tcBorders>
            <w:shd w:fill="FBF7EF" w:val="clear"/>
            <w:tcMar>
              <w:top w:type="dxa" w:w="80"/>
              <w:left w:type="dxa" w:w="120"/>
              <w:bottom w:type="dxa" w:w="80"/>
              <w:right w:type="dxa" w:w="120"/>
            </w:tcMar>
          </w:tcPr>
          <w:p>
            <w:r>
              <w:rPr>
                <w:b w:val="false"/>
                <w:bCs w:val="false"/>
                <w:color w:val="222222"/>
              </w:rPr>
              <w:t xml:space="preserve">District 15 (D)</w:t>
            </w:r>
          </w:p>
        </w:tc>
        <w:tc>
          <w:tcPr>
            <w:tcW w:type="dxa" w:w="3000"/>
            <w:tcBorders>
              <w:top w:val="single" w:color="CCCCCC" w:sz="1"/>
              <w:left w:val="single" w:color="CCCCCC" w:sz="1"/>
              <w:bottom w:val="single" w:color="CCCCCC" w:sz="1"/>
              <w:right w:val="single" w:color="CCCCCC" w:sz="1"/>
            </w:tcBorders>
            <w:shd w:fill="FBF7EF" w:val="clear"/>
            <w:tcMar>
              <w:top w:type="dxa" w:w="80"/>
              <w:left w:type="dxa" w:w="120"/>
              <w:bottom w:type="dxa" w:w="80"/>
              <w:right w:type="dxa" w:w="120"/>
            </w:tcMar>
          </w:tcPr>
          <w:p>
            <w:r>
              <w:rPr>
                <w:b w:val="false"/>
                <w:bCs w:val="false"/>
                <w:color w:val="222222"/>
              </w:rPr>
              <w:t xml:space="preserve">Member</w:t>
            </w:r>
          </w:p>
        </w:tc>
      </w:tr>
      <w:tr>
        <w:trPr>
          <w:tblHeader w:val="false"/>
        </w:trPr>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b w:val="false"/>
                <w:bCs w:val="false"/>
                <w:color w:val="222222"/>
              </w:rPr>
              <w:t xml:space="preserve">Sasha Renée Pérez</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b w:val="false"/>
                <w:bCs w:val="false"/>
                <w:color w:val="222222"/>
              </w:rPr>
              <w:t xml:space="preserve">District 25 (D)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b w:val="false"/>
                <w:bCs w:val="false"/>
                <w:color w:val="222222"/>
              </w:rPr>
              <w:t xml:space="preserve">Member (bill author)</w:t>
            </w:r>
          </w:p>
        </w:tc>
      </w:tr>
      <w:tr>
        <w:trPr>
          <w:tblHeader w:val="false"/>
        </w:trPr>
        <w:tc>
          <w:tcPr>
            <w:tcW w:type="dxa" w:w="3360"/>
            <w:tcBorders>
              <w:top w:val="single" w:color="CCCCCC" w:sz="1"/>
              <w:left w:val="single" w:color="CCCCCC" w:sz="1"/>
              <w:bottom w:val="single" w:color="CCCCCC" w:sz="1"/>
              <w:right w:val="single" w:color="CCCCCC" w:sz="1"/>
            </w:tcBorders>
            <w:shd w:fill="FBF7EF" w:val="clear"/>
            <w:tcMar>
              <w:top w:type="dxa" w:w="80"/>
              <w:left w:type="dxa" w:w="120"/>
              <w:bottom w:type="dxa" w:w="80"/>
              <w:right w:type="dxa" w:w="120"/>
            </w:tcMar>
          </w:tcPr>
          <w:p>
            <w:r>
              <w:rPr>
                <w:b w:val="false"/>
                <w:bCs w:val="false"/>
                <w:color w:val="222222"/>
              </w:rPr>
              <w:t xml:space="preserve">Scott Wiener</w:t>
            </w:r>
          </w:p>
        </w:tc>
        <w:tc>
          <w:tcPr>
            <w:tcW w:type="dxa" w:w="3000"/>
            <w:tcBorders>
              <w:top w:val="single" w:color="CCCCCC" w:sz="1"/>
              <w:left w:val="single" w:color="CCCCCC" w:sz="1"/>
              <w:bottom w:val="single" w:color="CCCCCC" w:sz="1"/>
              <w:right w:val="single" w:color="CCCCCC" w:sz="1"/>
            </w:tcBorders>
            <w:shd w:fill="FBF7EF" w:val="clear"/>
            <w:tcMar>
              <w:top w:type="dxa" w:w="80"/>
              <w:left w:type="dxa" w:w="120"/>
              <w:bottom w:type="dxa" w:w="80"/>
              <w:right w:type="dxa" w:w="120"/>
            </w:tcMar>
          </w:tcPr>
          <w:p>
            <w:r>
              <w:rPr>
                <w:b w:val="false"/>
                <w:bCs w:val="false"/>
                <w:color w:val="222222"/>
              </w:rPr>
              <w:t xml:space="preserve">District 11 (D)</w:t>
            </w:r>
          </w:p>
        </w:tc>
        <w:tc>
          <w:tcPr>
            <w:tcW w:type="dxa" w:w="3000"/>
            <w:tcBorders>
              <w:top w:val="single" w:color="CCCCCC" w:sz="1"/>
              <w:left w:val="single" w:color="CCCCCC" w:sz="1"/>
              <w:bottom w:val="single" w:color="CCCCCC" w:sz="1"/>
              <w:right w:val="single" w:color="CCCCCC" w:sz="1"/>
            </w:tcBorders>
            <w:shd w:fill="FBF7EF" w:val="clear"/>
            <w:tcMar>
              <w:top w:type="dxa" w:w="80"/>
              <w:left w:type="dxa" w:w="120"/>
              <w:bottom w:type="dxa" w:w="80"/>
              <w:right w:type="dxa" w:w="120"/>
            </w:tcMar>
          </w:tcPr>
          <w:p>
            <w:r>
              <w:rPr>
                <w:b w:val="false"/>
                <w:bCs w:val="false"/>
                <w:color w:val="222222"/>
              </w:rPr>
              <w:t xml:space="preserve">Member (co-author)</w:t>
            </w:r>
          </w:p>
        </w:tc>
      </w:tr>
    </w:tbl>
    <w:p>
      <w:pPr>
        <w:spacing w:after="60" w:before="120"/>
      </w:pPr>
      <w:r>
        <w:t xml:space="preserve">Member contact pages are linked from the committee site: </w:t>
      </w:r>
      <w:hyperlink w:history="1" r:id="rIdft0wri4kjwk0y064rvnl6">
        <w:r>
          <w:rPr>
            <w:color w:val="0563C1"/>
            <w:u w:val="single"/>
          </w:rPr>
          <w:t xml:space="preserve">spsf.senate.ca.gov/members</w:t>
        </w:r>
      </w:hyperlink>
    </w:p>
    <w:p>
      <w:pPr>
        <w:spacing w:after="40"/>
      </w:pPr>
      <w:r>
        <w:rPr>
          <w:i/>
          <w:iCs/>
          <w:color w:val="555555"/>
          <w:sz w:val="18"/>
          <w:szCs w:val="18"/>
        </w:rPr>
        <w:t xml:space="preserve">Note: committee membership, hearing dates, and contact details can change. Verify each member and the current hearing date on the official sites before sending.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4B2E83"/>
      <w:sz w:val="34"/>
      <w:szCs w:val="34"/>
    </w:rPr>
  </w:style>
  <w:style w:type="paragraph" w:styleId="Heading2">
    <w:name w:val="Heading 2"/>
    <w:basedOn w:val="Normal"/>
    <w:next w:val="Normal"/>
    <w:qFormat/>
    <w:pPr>
      <w:spacing w:after="120" w:before="240"/>
      <w:outlineLvl w:val="1"/>
    </w:pPr>
    <w:rPr>
      <w:rFonts w:ascii="Arial" w:cs="Arial" w:eastAsia="Arial" w:hAnsi="Arial"/>
      <w:b/>
      <w:bCs/>
      <w:color w:val="B8860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4b8qplm12nfdm9lmjbjlr" Type="http://schemas.openxmlformats.org/officeDocument/2006/relationships/hyperlink" Target="https://calegislation.lc.ca.gov/Advocates/" TargetMode="External"/><Relationship Id="rId48k-lqkpmmkexni9brzqw" Type="http://schemas.openxmlformats.org/officeDocument/2006/relationships/hyperlink" Target="https://findyourrep.legislature.ca.gov/" TargetMode="External"/><Relationship Id="rIdnp-9qile2ayxmqzyai94v" Type="http://schemas.openxmlformats.org/officeDocument/2006/relationships/hyperlink" Target="https://www.senate.ca.gov/senators" TargetMode="External"/><Relationship Id="rIdyh_zkxco9v1sbprhl-o2o" Type="http://schemas.openxmlformats.org/officeDocument/2006/relationships/hyperlink" Target="https://leginfo.legislature.ca.gov/faces/billNavClient.xhtml?bill_id=202520260SB1105" TargetMode="External"/><Relationship Id="rIdft0wri4kjwk0y064rvnl6" Type="http://schemas.openxmlformats.org/officeDocument/2006/relationships/hyperlink" Target="https://spsf.senate.ca.gov/member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2026-05-22T01:50:35.957Z</dcterms:created>
  <dcterms:modified xsi:type="dcterms:W3CDTF">2026-05-22T01:50:35.957Z</dcterms:modified>
</cp:coreProperties>
</file>

<file path=docProps/custom.xml><?xml version="1.0" encoding="utf-8"?>
<Properties xmlns="http://schemas.openxmlformats.org/officeDocument/2006/custom-properties" xmlns:vt="http://schemas.openxmlformats.org/officeDocument/2006/docPropsVTypes"/>
</file>