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spacing w:before="700"/>
      </w:pPr>
      <w:r>
        <w:t>INDEPENDENT COMPUTATIONAL VALIDATION REPORT</w:t>
      </w:r>
    </w:p>
    <w:p>
      <w:pPr>
        <w:keepNext/>
        <w:spacing w:before="240" w:after="240"/>
      </w:pPr>
      <w:r>
        <w:rPr>
          <w:rFonts w:ascii="Calibri" w:hAnsi="Calibri"/>
          <w:b/>
          <w:color w:val="1F4E79"/>
          <w:sz w:val="62"/>
        </w:rPr>
        <w:t>END Theory 2.0</w:t>
      </w:r>
    </w:p>
    <w:p>
      <w:pPr>
        <w:spacing w:after="280"/>
      </w:pPr>
      <w:r>
        <w:rPr>
          <w:b/>
          <w:color w:val="2E74B5"/>
          <w:sz w:val="42"/>
        </w:rPr>
        <w:t>Public-Data Validation of the</w:t>
        <w:br/>
        <w:t>Experimental Analysis Contracts</w:t>
      </w:r>
    </w:p>
    <w:p>
      <w:pPr>
        <w:pBdr>
          <w:bottom w:val="single" w:sz="24" w:space="1" w:color="2E74B5"/>
        </w:pBdr>
      </w:pPr>
    </w:p>
    <w:p>
      <w:pPr>
        <w:spacing w:before="240"/>
      </w:pPr>
      <w:r>
        <w:rPr>
          <w:b/>
          <w:color w:val="152238"/>
          <w:sz w:val="23"/>
        </w:rPr>
        <w:t>GWOSC  /  ATLAS OPEN DATA  /  XENONnT  /  DUNE</w:t>
      </w:r>
    </w:p>
    <w:p>
      <w:pPr>
        <w:spacing w:before="2000"/>
      </w:pPr>
      <w:r>
        <w:rPr>
          <w:color w:val="5B6573"/>
          <w:sz w:val="22"/>
        </w:rPr>
        <w:t>Companion to the Technical Reference Edition by Jordan Ryan Evans</w:t>
      </w:r>
    </w:p>
    <w:p>
      <w:r>
        <w:rPr>
          <w:b/>
          <w:color w:val="1F4E79"/>
          <w:sz w:val="20"/>
        </w:rPr>
        <w:t>Analysis version 1.0  |  8 August 2026</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shd w:fill="FFF5D9"/>
            <w:tcMar>
              <w:top w:w="80" w:type="dxa"/>
              <w:bottom w:w="80" w:type="dxa"/>
              <w:start w:w="120" w:type="dxa"/>
              <w:end w:w="120" w:type="dxa"/>
            </w:tcMar>
            <w:vAlign w:val="center"/>
          </w:tcPr>
          <w:p>
            <w:pPr>
              <w:spacing w:after="80"/>
            </w:pPr>
            <w:r>
              <w:rPr>
                <w:b/>
                <w:color w:val="9A6700"/>
                <w:sz w:val="21"/>
              </w:rPr>
              <w:t>RESULT IN ONE SENTENCE</w:t>
            </w:r>
          </w:p>
          <w:p>
            <w:pPr>
              <w:spacing w:after="0" w:line="269" w:lineRule="auto"/>
            </w:pPr>
            <w:r>
              <w:rPr>
                <w:color w:val="152238"/>
                <w:sz w:val="19"/>
              </w:rPr>
              <w:t>The public-data analysis machinery passed its declared checks; an END-specific empirical validation is not established because the theory's experiment-specific coefficients are not numerically frozen.</w:t>
            </w:r>
          </w:p>
        </w:tc>
      </w:tr>
    </w:tbl>
    <w:p>
      <w:pPr>
        <w:spacing w:after="0"/>
      </w:pPr>
    </w:p>
    <w:p>
      <w:r>
        <w:br w:type="page"/>
      </w:r>
    </w:p>
    <w:p>
      <w:pPr>
        <w:spacing w:after="20"/>
      </w:pPr>
      <w:r>
        <w:rPr>
          <w:b/>
          <w:color w:val="2E74B5"/>
          <w:sz w:val="17"/>
        </w:rPr>
        <w:t>COMPANION PAPER</w:t>
      </w:r>
    </w:p>
    <w:p>
      <w:pPr>
        <w:pStyle w:val="Heading1"/>
        <w:pBdr>
          <w:bottom w:val="single" w:sz="10" w:space="1" w:color="2E74B5"/>
        </w:pBdr>
      </w:pPr>
      <w:r>
        <w:t>Abstract</w:t>
      </w:r>
    </w:p>
    <w:p>
      <w:r>
        <w:t>This study implements four public-release tests of the experimental contracts stated in END Theory 2.0. GW150914 strain is used to recover the Hanford-relative-to-Livingston delay and test subband timing consistency. ATLAS 13 TeV educational four-lepton collision data are reconstructed and fitted with a frozen 125 GeV scalar template in a binned Poisson likelihood, including an injection/recovery campaign. XENONnT's public light-WIMP templates and unblinded events are used to reproduce the released spin-independent limit with a declared nominal-yield asymptotic approximation. DUNE TDR-approximation flux, cross-section, and GLoBES material are used to verify three-flavour matter propagation and produce a release-based appearance proxy.</w:t>
      </w:r>
    </w:p>
    <w:p>
      <w:r>
        <w:t>All four implementation-level criteria pass. The GWOSC delay is 7.324 ms, inside the published 6.5-7.4 ms interval, and no significant frequency slope is found (beta = -0.226 +/- 0.263 ms per ln(f/100 Hz)). The ATLAS fit returns 12.09 signal-template events with a 68% profile interval [7.96, 16.81]; a frozen 10-event injection is recovered with median 10.36 and 68% interval [6.85, 14.28]. The XENONnT approximation agrees within 22.85% at every declared 5-12 GeV test mass. The DUNE evolution operator is unitary to 2.44e-15 and the appearance proxy peaks at 2.875 GeV.</w:t>
      </w:r>
    </w:p>
    <w:p>
      <w:r>
        <w:t>These are validations of code paths, detector-response logic, standard-candle inference, and forecast machinery. They do not measure the END coefficients A_alpha, C/Lambda^2, an END dark-sector mass/cross section, or H_END_nu. Without a frozen parameter card, no data-to-END likelihood ratio exists. The correct scientific conclusion is therefore: pipeline validated; END-specific empirical claim not established.</w:t>
      </w:r>
    </w:p>
    <w:p>
      <w:pPr>
        <w:pStyle w:val="Heading2"/>
      </w:pPr>
      <w:r>
        <w:t>Claim-status summary</w:t>
      </w:r>
    </w:p>
    <w:tbl>
      <w:tblPr>
        <w:tblStyle w:val="TableGrid"/>
        <w:tblW w:type="dxa" w:w="9360"/>
        <w:jc w:val="center"/>
        <w:tblLayout w:type="fixed"/>
        <w:tblLook w:firstColumn="1" w:firstRow="1" w:lastColumn="0" w:lastRow="0" w:noHBand="0" w:noVBand="1" w:val="04A0"/>
        <w:tblInd w:w="120" w:type="dxa"/>
      </w:tblPr>
      <w:tblGrid>
        <w:gridCol w:w="1400"/>
        <w:gridCol w:w="2200"/>
        <w:gridCol w:w="3860"/>
        <w:gridCol w:w="1900"/>
      </w:tblGrid>
      <w:tr>
        <w:trPr>
          <w:tblHeader w:val="true"/>
          <w:cantSplit/>
        </w:trPr>
        <w:tc>
          <w:tcPr>
            <w:tcW w:type="dxa" w:w="14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Program</w:t>
            </w:r>
          </w:p>
        </w:tc>
        <w:tc>
          <w:tcPr>
            <w:tcW w:type="dxa" w:w="22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Contract</w:t>
            </w:r>
          </w:p>
        </w:tc>
        <w:tc>
          <w:tcPr>
            <w:tcW w:type="dxa" w:w="386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Frozen decision rule</w:t>
            </w:r>
          </w:p>
        </w:tc>
        <w:tc>
          <w:tcPr>
            <w:tcW w:type="dxa" w:w="19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Status</w:t>
            </w:r>
          </w:p>
        </w:tc>
      </w:tr>
      <w:tr>
        <w:trPr>
          <w:cantSplit/>
        </w:trPr>
        <w:tc>
          <w:tcPr>
            <w:tcW w:type="dxa" w:w="1400"/>
            <w:tcMar>
              <w:top w:w="80" w:type="dxa"/>
              <w:bottom w:w="80" w:type="dxa"/>
              <w:start w:w="120" w:type="dxa"/>
              <w:end w:w="120" w:type="dxa"/>
            </w:tcMar>
            <w:vAlign w:val="center"/>
          </w:tcPr>
          <w:p>
            <w:pPr>
              <w:spacing w:after="0" w:line="252" w:lineRule="auto"/>
            </w:pPr>
            <w:r/>
            <w:r>
              <w:rPr>
                <w:rFonts w:ascii="Calibri" w:hAnsi="Calibri"/>
                <w:b w:val="0"/>
                <w:color w:val="152238"/>
                <w:sz w:val="16"/>
              </w:rPr>
              <w:t>GWOSC</w:t>
            </w:r>
          </w:p>
        </w:tc>
        <w:tc>
          <w:tcPr>
            <w:tcW w:type="dxa" w:w="2200"/>
            <w:tcMar>
              <w:top w:w="80" w:type="dxa"/>
              <w:bottom w:w="80" w:type="dxa"/>
              <w:start w:w="120" w:type="dxa"/>
              <w:end w:w="120" w:type="dxa"/>
            </w:tcMar>
            <w:vAlign w:val="center"/>
          </w:tcPr>
          <w:p>
            <w:pPr>
              <w:spacing w:after="0" w:line="252" w:lineRule="auto"/>
            </w:pPr>
            <w:r/>
            <w:r>
              <w:rPr>
                <w:rFonts w:ascii="Calibri" w:hAnsi="Calibri"/>
                <w:b w:val="0"/>
                <w:color w:val="152238"/>
                <w:sz w:val="16"/>
              </w:rPr>
              <w:t>D02 propagation/timing contract</w:t>
            </w:r>
          </w:p>
        </w:tc>
        <w:tc>
          <w:tcPr>
            <w:tcW w:type="dxa" w:w="3860"/>
            <w:tcMar>
              <w:top w:w="80" w:type="dxa"/>
              <w:bottom w:w="80" w:type="dxa"/>
              <w:start w:w="120" w:type="dxa"/>
              <w:end w:w="120" w:type="dxa"/>
            </w:tcMar>
            <w:vAlign w:val="center"/>
          </w:tcPr>
          <w:p>
            <w:pPr>
              <w:spacing w:after="0" w:line="252" w:lineRule="auto"/>
            </w:pPr>
            <w:r/>
            <w:r>
              <w:rPr>
                <w:rFonts w:ascii="Calibri" w:hAnsi="Calibri"/>
                <w:b w:val="0"/>
                <w:color w:val="152238"/>
                <w:sz w:val="16"/>
              </w:rPr>
              <w:t>Recovered delay in published interval; subband slope consistent with zero</w:t>
            </w:r>
          </w:p>
        </w:tc>
        <w:tc>
          <w:tcPr>
            <w:tcW w:type="dxa" w:w="1900"/>
            <w:tcMar>
              <w:top w:w="80" w:type="dxa"/>
              <w:bottom w:w="80" w:type="dxa"/>
              <w:start w:w="120" w:type="dxa"/>
              <w:end w:w="120" w:type="dxa"/>
            </w:tcMar>
            <w:vAlign w:val="center"/>
            <w:shd w:fill="EAF4EE"/>
          </w:tcPr>
          <w:p>
            <w:pPr>
              <w:spacing w:after="0" w:line="252" w:lineRule="auto"/>
            </w:pPr>
            <w:r>
              <w:rPr>
                <w:b/>
                <w:color w:val="26734D"/>
              </w:rPr>
            </w:r>
            <w:r>
              <w:rPr>
                <w:rFonts w:ascii="Calibri" w:hAnsi="Calibri"/>
                <w:b/>
                <w:color w:val="26734D"/>
                <w:sz w:val="16"/>
              </w:rPr>
              <w:t>PASS - pipeline</w:t>
            </w:r>
          </w:p>
        </w:tc>
      </w:tr>
      <w:tr>
        <w:trPr>
          <w:cantSplit/>
        </w:trPr>
        <w:tc>
          <w:tcPr>
            <w:tcW w:type="dxa" w:w="14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CERN/ATLAS</w:t>
            </w:r>
          </w:p>
        </w:tc>
        <w:tc>
          <w:tcPr>
            <w:tcW w:type="dxa" w:w="22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D03 scalar detector/likelihood contract</w:t>
            </w:r>
          </w:p>
        </w:tc>
        <w:tc>
          <w:tcPr>
            <w:tcW w:type="dxa" w:w="38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Finite fixed-template fit; injected 10 events recovered inside 68% interval</w:t>
            </w:r>
          </w:p>
        </w:tc>
        <w:tc>
          <w:tcPr>
            <w:tcW w:type="dxa" w:w="1900"/>
            <w:shd w:fill="EAF4EE"/>
            <w:tcMar>
              <w:top w:w="80" w:type="dxa"/>
              <w:bottom w:w="80" w:type="dxa"/>
              <w:start w:w="120" w:type="dxa"/>
              <w:end w:w="120" w:type="dxa"/>
            </w:tcMar>
            <w:vAlign w:val="center"/>
          </w:tcPr>
          <w:p>
            <w:pPr>
              <w:spacing w:after="0" w:line="252" w:lineRule="auto"/>
            </w:pPr>
            <w:r>
              <w:rPr>
                <w:b/>
                <w:color w:val="26734D"/>
              </w:rPr>
            </w:r>
            <w:r>
              <w:rPr>
                <w:rFonts w:ascii="Calibri" w:hAnsi="Calibri"/>
                <w:b/>
                <w:color w:val="26734D"/>
                <w:sz w:val="16"/>
              </w:rPr>
              <w:t>PASS - standard candle</w:t>
            </w:r>
          </w:p>
        </w:tc>
      </w:tr>
      <w:tr>
        <w:trPr>
          <w:cantSplit/>
        </w:trPr>
        <w:tc>
          <w:tcPr>
            <w:tcW w:type="dxa" w:w="1400"/>
            <w:tcMar>
              <w:top w:w="80" w:type="dxa"/>
              <w:bottom w:w="80" w:type="dxa"/>
              <w:start w:w="120" w:type="dxa"/>
              <w:end w:w="120" w:type="dxa"/>
            </w:tcMar>
            <w:vAlign w:val="center"/>
          </w:tcPr>
          <w:p>
            <w:pPr>
              <w:spacing w:after="0" w:line="252" w:lineRule="auto"/>
            </w:pPr>
            <w:r/>
            <w:r>
              <w:rPr>
                <w:rFonts w:ascii="Calibri" w:hAnsi="Calibri"/>
                <w:b w:val="0"/>
                <w:color w:val="152238"/>
                <w:sz w:val="16"/>
              </w:rPr>
              <w:t>XENONnT</w:t>
            </w:r>
          </w:p>
        </w:tc>
        <w:tc>
          <w:tcPr>
            <w:tcW w:type="dxa" w:w="2200"/>
            <w:tcMar>
              <w:top w:w="80" w:type="dxa"/>
              <w:bottom w:w="80" w:type="dxa"/>
              <w:start w:w="120" w:type="dxa"/>
              <w:end w:w="120" w:type="dxa"/>
            </w:tcMar>
            <w:vAlign w:val="center"/>
          </w:tcPr>
          <w:p>
            <w:pPr>
              <w:spacing w:after="0" w:line="252" w:lineRule="auto"/>
            </w:pPr>
            <w:r/>
            <w:r>
              <w:rPr>
                <w:rFonts w:ascii="Calibri" w:hAnsi="Calibri"/>
                <w:b w:val="0"/>
                <w:color w:val="152238"/>
                <w:sz w:val="16"/>
              </w:rPr>
              <w:t>D05 recoil/template likelihood contract</w:t>
            </w:r>
          </w:p>
        </w:tc>
        <w:tc>
          <w:tcPr>
            <w:tcW w:type="dxa" w:w="3860"/>
            <w:tcMar>
              <w:top w:w="80" w:type="dxa"/>
              <w:bottom w:w="80" w:type="dxa"/>
              <w:start w:w="120" w:type="dxa"/>
              <w:end w:w="120" w:type="dxa"/>
            </w:tcMar>
            <w:vAlign w:val="center"/>
          </w:tcPr>
          <w:p>
            <w:pPr>
              <w:spacing w:after="0" w:line="252" w:lineRule="auto"/>
            </w:pPr>
            <w:r/>
            <w:r>
              <w:rPr>
                <w:rFonts w:ascii="Calibri" w:hAnsi="Calibri"/>
                <w:b w:val="0"/>
                <w:color w:val="152238"/>
                <w:sz w:val="16"/>
              </w:rPr>
              <w:t>All 5-12 GeV points within declared +/-30% band</w:t>
            </w:r>
          </w:p>
        </w:tc>
        <w:tc>
          <w:tcPr>
            <w:tcW w:type="dxa" w:w="1900"/>
            <w:tcMar>
              <w:top w:w="80" w:type="dxa"/>
              <w:bottom w:w="80" w:type="dxa"/>
              <w:start w:w="120" w:type="dxa"/>
              <w:end w:w="120" w:type="dxa"/>
            </w:tcMar>
            <w:vAlign w:val="center"/>
            <w:shd w:fill="EAF4EE"/>
          </w:tcPr>
          <w:p>
            <w:pPr>
              <w:spacing w:after="0" w:line="252" w:lineRule="auto"/>
            </w:pPr>
            <w:r>
              <w:rPr>
                <w:b/>
                <w:color w:val="26734D"/>
              </w:rPr>
            </w:r>
            <w:r>
              <w:rPr>
                <w:rFonts w:ascii="Calibri" w:hAnsi="Calibri"/>
                <w:b/>
                <w:color w:val="26734D"/>
                <w:sz w:val="16"/>
              </w:rPr>
              <w:t>PASS - reproduction</w:t>
            </w:r>
          </w:p>
        </w:tc>
      </w:tr>
      <w:tr>
        <w:trPr>
          <w:cantSplit/>
        </w:trPr>
        <w:tc>
          <w:tcPr>
            <w:tcW w:type="dxa" w:w="14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DUNE</w:t>
            </w:r>
          </w:p>
        </w:tc>
        <w:tc>
          <w:tcPr>
            <w:tcW w:type="dxa" w:w="22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D06 oscillation Hamiltonian contract</w:t>
            </w:r>
          </w:p>
        </w:tc>
        <w:tc>
          <w:tcPr>
            <w:tcW w:type="dxa" w:w="38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Unitary evolution and physical release-based forecast; no empirical DUNE data</w:t>
            </w:r>
          </w:p>
        </w:tc>
        <w:tc>
          <w:tcPr>
            <w:tcW w:type="dxa" w:w="1900"/>
            <w:shd w:fill="EAF4EE"/>
            <w:tcMar>
              <w:top w:w="80" w:type="dxa"/>
              <w:bottom w:w="80" w:type="dxa"/>
              <w:start w:w="120" w:type="dxa"/>
              <w:end w:w="120" w:type="dxa"/>
            </w:tcMar>
            <w:vAlign w:val="center"/>
          </w:tcPr>
          <w:p>
            <w:pPr>
              <w:spacing w:after="0" w:line="252" w:lineRule="auto"/>
            </w:pPr>
            <w:r>
              <w:rPr>
                <w:b/>
                <w:color w:val="26734D"/>
              </w:rPr>
            </w:r>
            <w:r>
              <w:rPr>
                <w:rFonts w:ascii="Calibri" w:hAnsi="Calibri"/>
                <w:b/>
                <w:color w:val="26734D"/>
                <w:sz w:val="16"/>
              </w:rPr>
              <w:t>PASS - forecast only</w:t>
            </w:r>
          </w:p>
        </w:tc>
      </w:tr>
      <w:tr>
        <w:trPr>
          <w:cantSplit/>
        </w:trPr>
        <w:tc>
          <w:tcPr>
            <w:tcW w:type="dxa" w:w="1400"/>
            <w:tcMar>
              <w:top w:w="80" w:type="dxa"/>
              <w:bottom w:w="80" w:type="dxa"/>
              <w:start w:w="120" w:type="dxa"/>
              <w:end w:w="120" w:type="dxa"/>
            </w:tcMar>
            <w:vAlign w:val="center"/>
          </w:tcPr>
          <w:p>
            <w:pPr>
              <w:spacing w:after="0" w:line="252" w:lineRule="auto"/>
            </w:pPr>
            <w:r/>
            <w:r>
              <w:rPr>
                <w:rFonts w:ascii="Calibri" w:hAnsi="Calibri"/>
                <w:b w:val="0"/>
                <w:color w:val="152238"/>
                <w:sz w:val="16"/>
              </w:rPr>
              <w:t>END Theory</w:t>
            </w:r>
          </w:p>
        </w:tc>
        <w:tc>
          <w:tcPr>
            <w:tcW w:type="dxa" w:w="2200"/>
            <w:tcMar>
              <w:top w:w="80" w:type="dxa"/>
              <w:bottom w:w="80" w:type="dxa"/>
              <w:start w:w="120" w:type="dxa"/>
              <w:end w:w="120" w:type="dxa"/>
            </w:tcMar>
            <w:vAlign w:val="center"/>
          </w:tcPr>
          <w:p>
            <w:pPr>
              <w:spacing w:after="0" w:line="252" w:lineRule="auto"/>
            </w:pPr>
            <w:r/>
            <w:r>
              <w:rPr>
                <w:rFonts w:ascii="Calibri" w:hAnsi="Calibri"/>
                <w:b w:val="0"/>
                <w:color w:val="152238"/>
                <w:sz w:val="16"/>
              </w:rPr>
              <w:t>Experiment-specific new-physics claim</w:t>
            </w:r>
          </w:p>
        </w:tc>
        <w:tc>
          <w:tcPr>
            <w:tcW w:type="dxa" w:w="3860"/>
            <w:tcMar>
              <w:top w:w="80" w:type="dxa"/>
              <w:bottom w:w="80" w:type="dxa"/>
              <w:start w:w="120" w:type="dxa"/>
              <w:end w:w="120" w:type="dxa"/>
            </w:tcMar>
            <w:vAlign w:val="center"/>
          </w:tcPr>
          <w:p>
            <w:pPr>
              <w:spacing w:after="0" w:line="252" w:lineRule="auto"/>
            </w:pPr>
            <w:r/>
            <w:r>
              <w:rPr>
                <w:rFonts w:ascii="Calibri" w:hAnsi="Calibri"/>
                <w:b w:val="0"/>
                <w:color w:val="152238"/>
                <w:sz w:val="16"/>
              </w:rPr>
              <w:t>Required coefficients are not numerically supplied</w:t>
            </w:r>
          </w:p>
        </w:tc>
        <w:tc>
          <w:tcPr>
            <w:tcW w:type="dxa" w:w="1900"/>
            <w:tcMar>
              <w:top w:w="80" w:type="dxa"/>
              <w:bottom w:w="80" w:type="dxa"/>
              <w:start w:w="120" w:type="dxa"/>
              <w:end w:w="120" w:type="dxa"/>
            </w:tcMar>
            <w:vAlign w:val="center"/>
            <w:shd w:fill="FFF5D9"/>
          </w:tcPr>
          <w:p>
            <w:pPr>
              <w:spacing w:after="0" w:line="252" w:lineRule="auto"/>
            </w:pPr>
            <w:r>
              <w:rPr>
                <w:b/>
                <w:color w:val="9A6700"/>
              </w:rPr>
            </w:r>
            <w:r>
              <w:rPr>
                <w:rFonts w:ascii="Calibri" w:hAnsi="Calibri"/>
                <w:b/>
                <w:color w:val="9A6700"/>
                <w:sz w:val="16"/>
              </w:rPr>
              <w:t>NOT ESTABLISHED</w:t>
            </w:r>
          </w:p>
        </w:tc>
      </w:tr>
    </w:tbl>
    <w:p>
      <w:pPr>
        <w:spacing w:after="0"/>
      </w:pPr>
    </w:p>
    <w:p>
      <w:r>
        <w:br w:type="page"/>
      </w:r>
    </w:p>
    <w:p>
      <w:pPr>
        <w:pStyle w:val="Heading2"/>
      </w:pPr>
      <w:r>
        <w:t>Contents at a glance</w:t>
      </w:r>
    </w:p>
    <w:tbl>
      <w:tblPr>
        <w:tblStyle w:val="TableGrid"/>
        <w:tblW w:type="dxa" w:w="9360"/>
        <w:jc w:val="center"/>
        <w:tblLayout w:type="fixed"/>
        <w:tblLook w:firstColumn="1" w:firstRow="1" w:lastColumn="0" w:lastRow="0" w:noHBand="0" w:noVBand="1" w:val="04A0"/>
        <w:tblInd w:w="120" w:type="dxa"/>
      </w:tblPr>
      <w:tblGrid>
        <w:gridCol w:w="1000"/>
        <w:gridCol w:w="8360"/>
      </w:tblGrid>
      <w:tr>
        <w:trPr>
          <w:tblHeader w:val="true"/>
          <w:cantSplit/>
        </w:trPr>
        <w:tc>
          <w:tcPr>
            <w:tcW w:type="dxa" w:w="1000"/>
            <w:shd w:fill="E8EEF5"/>
            <w:tcMar>
              <w:top w:w="80" w:type="dxa"/>
              <w:bottom w:w="80" w:type="dxa"/>
              <w:start w:w="120" w:type="dxa"/>
              <w:end w:w="120" w:type="dxa"/>
            </w:tcMar>
            <w:vAlign w:val="center"/>
          </w:tcPr>
          <w:p>
            <w:pPr>
              <w:spacing w:after="0" w:line="252" w:lineRule="auto"/>
            </w:pPr>
            <w:r/>
            <w:r>
              <w:rPr>
                <w:rFonts w:ascii="Calibri" w:hAnsi="Calibri"/>
                <w:b/>
                <w:color w:val="1F4E79"/>
                <w:sz w:val="17"/>
              </w:rPr>
              <w:t>Part</w:t>
            </w:r>
          </w:p>
        </w:tc>
        <w:tc>
          <w:tcPr>
            <w:tcW w:type="dxa" w:w="8360"/>
            <w:shd w:fill="E8EEF5"/>
            <w:tcMar>
              <w:top w:w="80" w:type="dxa"/>
              <w:bottom w:w="80" w:type="dxa"/>
              <w:start w:w="120" w:type="dxa"/>
              <w:end w:w="120" w:type="dxa"/>
            </w:tcMar>
            <w:vAlign w:val="center"/>
          </w:tcPr>
          <w:p>
            <w:pPr>
              <w:spacing w:after="0" w:line="252" w:lineRule="auto"/>
            </w:pPr>
            <w:r/>
            <w:r>
              <w:rPr>
                <w:rFonts w:ascii="Calibri" w:hAnsi="Calibri"/>
                <w:b/>
                <w:color w:val="1F4E79"/>
                <w:sz w:val="17"/>
              </w:rPr>
              <w:t>Purpose</w:t>
            </w:r>
          </w:p>
        </w:tc>
      </w:tr>
      <w:tr>
        <w:trPr>
          <w:cantSplit/>
        </w:trPr>
        <w:tc>
          <w:tcPr>
            <w:tcW w:type="dxa" w:w="1000"/>
            <w:tcMar>
              <w:top w:w="80" w:type="dxa"/>
              <w:bottom w:w="80" w:type="dxa"/>
              <w:start w:w="120" w:type="dxa"/>
              <w:end w:w="120" w:type="dxa"/>
            </w:tcMar>
            <w:vAlign w:val="center"/>
          </w:tcPr>
          <w:p>
            <w:pPr>
              <w:spacing w:after="0" w:line="252" w:lineRule="auto"/>
            </w:pPr>
            <w:r/>
            <w:r>
              <w:rPr>
                <w:rFonts w:ascii="Calibri" w:hAnsi="Calibri"/>
                <w:b w:val="0"/>
                <w:color w:val="152238"/>
                <w:sz w:val="17"/>
              </w:rPr>
              <w:t>1</w:t>
            </w:r>
          </w:p>
        </w:tc>
        <w:tc>
          <w:tcPr>
            <w:tcW w:type="dxa" w:w="8360"/>
            <w:tcMar>
              <w:top w:w="80" w:type="dxa"/>
              <w:bottom w:w="80" w:type="dxa"/>
              <w:start w:w="120" w:type="dxa"/>
              <w:end w:w="120" w:type="dxa"/>
            </w:tcMar>
            <w:vAlign w:val="center"/>
          </w:tcPr>
          <w:p>
            <w:pPr>
              <w:spacing w:after="0" w:line="252" w:lineRule="auto"/>
            </w:pPr>
            <w:r/>
            <w:r>
              <w:rPr>
                <w:rFonts w:ascii="Calibri" w:hAnsi="Calibri"/>
                <w:b w:val="0"/>
                <w:color w:val="152238"/>
                <w:sz w:val="17"/>
              </w:rPr>
              <w:t>Scope, validation hierarchy, and source equations</w:t>
            </w:r>
          </w:p>
        </w:tc>
      </w:tr>
      <w:tr>
        <w:trPr>
          <w:cantSplit/>
        </w:trPr>
        <w:tc>
          <w:tcPr>
            <w:tcW w:type="dxa" w:w="10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2</w:t>
            </w:r>
          </w:p>
        </w:tc>
        <w:tc>
          <w:tcPr>
            <w:tcW w:type="dxa" w:w="83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Reproducibility design and common statistical logic</w:t>
            </w:r>
          </w:p>
        </w:tc>
      </w:tr>
      <w:tr>
        <w:trPr>
          <w:cantSplit/>
        </w:trPr>
        <w:tc>
          <w:tcPr>
            <w:tcW w:type="dxa" w:w="1000"/>
            <w:tcMar>
              <w:top w:w="80" w:type="dxa"/>
              <w:bottom w:w="80" w:type="dxa"/>
              <w:start w:w="120" w:type="dxa"/>
              <w:end w:w="120" w:type="dxa"/>
            </w:tcMar>
            <w:vAlign w:val="center"/>
          </w:tcPr>
          <w:p>
            <w:pPr>
              <w:spacing w:after="0" w:line="252" w:lineRule="auto"/>
            </w:pPr>
            <w:r/>
            <w:r>
              <w:rPr>
                <w:rFonts w:ascii="Calibri" w:hAnsi="Calibri"/>
                <w:b w:val="0"/>
                <w:color w:val="152238"/>
                <w:sz w:val="17"/>
              </w:rPr>
              <w:t>3</w:t>
            </w:r>
          </w:p>
        </w:tc>
        <w:tc>
          <w:tcPr>
            <w:tcW w:type="dxa" w:w="8360"/>
            <w:tcMar>
              <w:top w:w="80" w:type="dxa"/>
              <w:bottom w:w="80" w:type="dxa"/>
              <w:start w:w="120" w:type="dxa"/>
              <w:end w:w="120" w:type="dxa"/>
            </w:tcMar>
            <w:vAlign w:val="center"/>
          </w:tcPr>
          <w:p>
            <w:pPr>
              <w:spacing w:after="0" w:line="252" w:lineRule="auto"/>
            </w:pPr>
            <w:r/>
            <w:r>
              <w:rPr>
                <w:rFonts w:ascii="Calibri" w:hAnsi="Calibri"/>
                <w:b w:val="0"/>
                <w:color w:val="152238"/>
                <w:sz w:val="17"/>
              </w:rPr>
              <w:t>GWOSC / GW150914 timing validation</w:t>
            </w:r>
          </w:p>
        </w:tc>
      </w:tr>
      <w:tr>
        <w:trPr>
          <w:cantSplit/>
        </w:trPr>
        <w:tc>
          <w:tcPr>
            <w:tcW w:type="dxa" w:w="10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4</w:t>
            </w:r>
          </w:p>
        </w:tc>
        <w:tc>
          <w:tcPr>
            <w:tcW w:type="dxa" w:w="83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CERN / ATLAS four-lepton validation</w:t>
            </w:r>
          </w:p>
        </w:tc>
      </w:tr>
      <w:tr>
        <w:trPr>
          <w:cantSplit/>
        </w:trPr>
        <w:tc>
          <w:tcPr>
            <w:tcW w:type="dxa" w:w="1000"/>
            <w:tcMar>
              <w:top w:w="80" w:type="dxa"/>
              <w:bottom w:w="80" w:type="dxa"/>
              <w:start w:w="120" w:type="dxa"/>
              <w:end w:w="120" w:type="dxa"/>
            </w:tcMar>
            <w:vAlign w:val="center"/>
          </w:tcPr>
          <w:p>
            <w:pPr>
              <w:spacing w:after="0" w:line="252" w:lineRule="auto"/>
            </w:pPr>
            <w:r/>
            <w:r>
              <w:rPr>
                <w:rFonts w:ascii="Calibri" w:hAnsi="Calibri"/>
                <w:b w:val="0"/>
                <w:color w:val="152238"/>
                <w:sz w:val="17"/>
              </w:rPr>
              <w:t>5</w:t>
            </w:r>
          </w:p>
        </w:tc>
        <w:tc>
          <w:tcPr>
            <w:tcW w:type="dxa" w:w="8360"/>
            <w:tcMar>
              <w:top w:w="80" w:type="dxa"/>
              <w:bottom w:w="80" w:type="dxa"/>
              <w:start w:w="120" w:type="dxa"/>
              <w:end w:w="120" w:type="dxa"/>
            </w:tcMar>
            <w:vAlign w:val="center"/>
          </w:tcPr>
          <w:p>
            <w:pPr>
              <w:spacing w:after="0" w:line="252" w:lineRule="auto"/>
            </w:pPr>
            <w:r/>
            <w:r>
              <w:rPr>
                <w:rFonts w:ascii="Calibri" w:hAnsi="Calibri"/>
                <w:b w:val="0"/>
                <w:color w:val="152238"/>
                <w:sz w:val="17"/>
              </w:rPr>
              <w:t>XENONnT released-limit reproduction</w:t>
            </w:r>
          </w:p>
        </w:tc>
      </w:tr>
      <w:tr>
        <w:trPr>
          <w:cantSplit/>
        </w:trPr>
        <w:tc>
          <w:tcPr>
            <w:tcW w:type="dxa" w:w="10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6</w:t>
            </w:r>
          </w:p>
        </w:tc>
        <w:tc>
          <w:tcPr>
            <w:tcW w:type="dxa" w:w="83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DUNE Hamiltonian and release forecast</w:t>
            </w:r>
          </w:p>
        </w:tc>
      </w:tr>
      <w:tr>
        <w:trPr>
          <w:cantSplit/>
        </w:trPr>
        <w:tc>
          <w:tcPr>
            <w:tcW w:type="dxa" w:w="1000"/>
            <w:tcMar>
              <w:top w:w="80" w:type="dxa"/>
              <w:bottom w:w="80" w:type="dxa"/>
              <w:start w:w="120" w:type="dxa"/>
              <w:end w:w="120" w:type="dxa"/>
            </w:tcMar>
            <w:vAlign w:val="center"/>
          </w:tcPr>
          <w:p>
            <w:pPr>
              <w:spacing w:after="0" w:line="252" w:lineRule="auto"/>
            </w:pPr>
            <w:r/>
            <w:r>
              <w:rPr>
                <w:rFonts w:ascii="Calibri" w:hAnsi="Calibri"/>
                <w:b w:val="0"/>
                <w:color w:val="152238"/>
                <w:sz w:val="17"/>
              </w:rPr>
              <w:t>7</w:t>
            </w:r>
          </w:p>
        </w:tc>
        <w:tc>
          <w:tcPr>
            <w:tcW w:type="dxa" w:w="8360"/>
            <w:tcMar>
              <w:top w:w="80" w:type="dxa"/>
              <w:bottom w:w="80" w:type="dxa"/>
              <w:start w:w="120" w:type="dxa"/>
              <w:end w:w="120" w:type="dxa"/>
            </w:tcMar>
            <w:vAlign w:val="center"/>
          </w:tcPr>
          <w:p>
            <w:pPr>
              <w:spacing w:after="0" w:line="252" w:lineRule="auto"/>
            </w:pPr>
            <w:r/>
            <w:r>
              <w:rPr>
                <w:rFonts w:ascii="Calibri" w:hAnsi="Calibri"/>
                <w:b w:val="0"/>
                <w:color w:val="152238"/>
                <w:sz w:val="17"/>
              </w:rPr>
              <w:t>Cross-experiment decision and limitations</w:t>
            </w:r>
          </w:p>
        </w:tc>
      </w:tr>
      <w:tr>
        <w:trPr>
          <w:cantSplit/>
        </w:trPr>
        <w:tc>
          <w:tcPr>
            <w:tcW w:type="dxa" w:w="10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A-D</w:t>
            </w:r>
          </w:p>
        </w:tc>
        <w:tc>
          <w:tcPr>
            <w:tcW w:type="dxa" w:w="83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Exact parameters, cutflows, numerical tables, and manifests</w:t>
            </w:r>
          </w:p>
        </w:tc>
      </w:tr>
    </w:tbl>
    <w:p>
      <w:pPr>
        <w:spacing w:after="0"/>
      </w:pPr>
    </w:p>
    <w:p>
      <w:pPr>
        <w:pStyle w:val="Heading2"/>
      </w:pPr>
      <w:r>
        <w:t>How to read this companion</w:t>
      </w:r>
    </w:p>
    <w:p>
      <w:r>
        <w:t>Each experiment section follows the same audit order: public input, frozen equation or statistic, executable steps, numerical result, prespecified decision, and inference ceiling. Green decisions mean that the implementation-level criterion passed. Gold labels mark a forecast, approximation boundary, or an empirical claim that cannot yet be evaluated. Every plotted value has a CSV counterpart, and every primary conclusion is repeated in the JSON result ledger.</w:t>
      </w:r>
    </w:p>
    <w:tbl>
      <w:tblPr>
        <w:tblStyle w:val="TableGrid"/>
        <w:tblW w:type="dxa" w:w="9360"/>
        <w:jc w:val="center"/>
        <w:tblLayout w:type="fixed"/>
        <w:tblLook w:firstColumn="1" w:firstRow="1" w:lastColumn="0" w:lastRow="0" w:noHBand="0" w:noVBand="1" w:val="04A0"/>
        <w:tblInd w:w="120" w:type="dxa"/>
      </w:tblPr>
      <w:tblGrid>
        <w:gridCol w:w="3400"/>
        <w:gridCol w:w="5960"/>
      </w:tblGrid>
      <w:tr>
        <w:trPr>
          <w:tblHeader w:val="true"/>
          <w:cantSplit/>
        </w:trPr>
        <w:tc>
          <w:tcPr>
            <w:tcW w:type="dxa" w:w="34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Label</w:t>
            </w:r>
          </w:p>
        </w:tc>
        <w:tc>
          <w:tcPr>
            <w:tcW w:type="dxa" w:w="596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Meaning</w:t>
            </w:r>
          </w:p>
        </w:tc>
      </w:tr>
      <w:tr>
        <w:trPr>
          <w:cantSplit/>
        </w:trPr>
        <w:tc>
          <w:tcPr>
            <w:tcW w:type="dxa" w:w="3400"/>
            <w:tcMar>
              <w:top w:w="80" w:type="dxa"/>
              <w:bottom w:w="80" w:type="dxa"/>
              <w:start w:w="120" w:type="dxa"/>
              <w:end w:w="120" w:type="dxa"/>
            </w:tcMar>
            <w:vAlign w:val="center"/>
          </w:tcPr>
          <w:p>
            <w:pPr>
              <w:spacing w:after="0" w:line="252" w:lineRule="auto"/>
            </w:pPr>
            <w:r/>
            <w:r>
              <w:rPr>
                <w:rFonts w:ascii="Calibri" w:hAnsi="Calibri"/>
                <w:b w:val="0"/>
                <w:color w:val="152238"/>
                <w:sz w:val="16"/>
              </w:rPr>
              <w:t>PASS - pipeline / standard candle / reproduction</w:t>
            </w:r>
          </w:p>
        </w:tc>
        <w:tc>
          <w:tcPr>
            <w:tcW w:type="dxa" w:w="5960"/>
            <w:tcMar>
              <w:top w:w="80" w:type="dxa"/>
              <w:bottom w:w="80" w:type="dxa"/>
              <w:start w:w="120" w:type="dxa"/>
              <w:end w:w="120" w:type="dxa"/>
            </w:tcMar>
            <w:vAlign w:val="center"/>
          </w:tcPr>
          <w:p>
            <w:pPr>
              <w:spacing w:after="0" w:line="252" w:lineRule="auto"/>
            </w:pPr>
            <w:r/>
            <w:r>
              <w:rPr>
                <w:rFonts w:ascii="Calibri" w:hAnsi="Calibri"/>
                <w:b w:val="0"/>
                <w:color w:val="152238"/>
                <w:sz w:val="16"/>
              </w:rPr>
              <w:t>The declared code or public-benchmark check passed; this is not automatically evidence for END.</w:t>
            </w:r>
          </w:p>
        </w:tc>
      </w:tr>
      <w:tr>
        <w:trPr>
          <w:cantSplit/>
        </w:trPr>
        <w:tc>
          <w:tcPr>
            <w:tcW w:type="dxa" w:w="34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PASS - forecast only</w:t>
            </w:r>
          </w:p>
        </w:tc>
        <w:tc>
          <w:tcPr>
            <w:tcW w:type="dxa" w:w="59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Numerical integrity passed on official simulation/configuration material; no empirical data fit is claimed.</w:t>
            </w:r>
          </w:p>
        </w:tc>
      </w:tr>
      <w:tr>
        <w:trPr>
          <w:cantSplit/>
        </w:trPr>
        <w:tc>
          <w:tcPr>
            <w:tcW w:type="dxa" w:w="3400"/>
            <w:tcMar>
              <w:top w:w="80" w:type="dxa"/>
              <w:bottom w:w="80" w:type="dxa"/>
              <w:start w:w="120" w:type="dxa"/>
              <w:end w:w="120" w:type="dxa"/>
            </w:tcMar>
            <w:vAlign w:val="center"/>
          </w:tcPr>
          <w:p>
            <w:pPr>
              <w:spacing w:after="0" w:line="252" w:lineRule="auto"/>
            </w:pPr>
            <w:r/>
            <w:r>
              <w:rPr>
                <w:rFonts w:ascii="Calibri" w:hAnsi="Calibri"/>
                <w:b w:val="0"/>
                <w:color w:val="152238"/>
                <w:sz w:val="16"/>
              </w:rPr>
              <w:t>NOT ESTABLISHED</w:t>
            </w:r>
          </w:p>
        </w:tc>
        <w:tc>
          <w:tcPr>
            <w:tcW w:type="dxa" w:w="5960"/>
            <w:tcMar>
              <w:top w:w="80" w:type="dxa"/>
              <w:bottom w:w="80" w:type="dxa"/>
              <w:start w:w="120" w:type="dxa"/>
              <w:end w:w="120" w:type="dxa"/>
            </w:tcMar>
            <w:vAlign w:val="center"/>
          </w:tcPr>
          <w:p>
            <w:pPr>
              <w:spacing w:after="0" w:line="252" w:lineRule="auto"/>
            </w:pPr>
            <w:r/>
            <w:r>
              <w:rPr>
                <w:rFonts w:ascii="Calibri" w:hAnsi="Calibri"/>
                <w:b w:val="0"/>
                <w:color w:val="152238"/>
                <w:sz w:val="16"/>
              </w:rPr>
              <w:t>The necessary END parameter point is absent, so the relevant likelihood comparison cannot be executed.</w:t>
            </w:r>
          </w:p>
        </w:tc>
      </w:tr>
      <w:tr>
        <w:trPr>
          <w:cantSplit/>
        </w:trPr>
        <w:tc>
          <w:tcPr>
            <w:tcW w:type="dxa" w:w="34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Out of scope</w:t>
            </w:r>
          </w:p>
        </w:tc>
        <w:tc>
          <w:tcPr>
            <w:tcW w:type="dxa" w:w="59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The value is reported transparently but excluded by a rule fixed before interpretation.</w:t>
            </w:r>
          </w:p>
        </w:tc>
      </w:tr>
    </w:tbl>
    <w:p>
      <w:pPr>
        <w:spacing w:after="0"/>
      </w:pP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shd w:fill="FFF5D9"/>
            <w:tcMar>
              <w:top w:w="80" w:type="dxa"/>
              <w:bottom w:w="80" w:type="dxa"/>
              <w:start w:w="120" w:type="dxa"/>
              <w:end w:w="120" w:type="dxa"/>
            </w:tcMar>
            <w:vAlign w:val="center"/>
          </w:tcPr>
          <w:p>
            <w:pPr>
              <w:spacing w:after="80"/>
            </w:pPr>
            <w:r>
              <w:rPr>
                <w:b/>
                <w:color w:val="9A6700"/>
                <w:sz w:val="21"/>
              </w:rPr>
              <w:t>READER SAFETY RULE</w:t>
            </w:r>
          </w:p>
          <w:p>
            <w:pPr>
              <w:spacing w:after="0" w:line="269" w:lineRule="auto"/>
            </w:pPr>
            <w:r>
              <w:rPr>
                <w:color w:val="152238"/>
                <w:sz w:val="19"/>
              </w:rPr>
              <w:t>A number may be quoted as an END constraint only if the corresponding END coefficient was fixed before evaluating the public data. No result in this version meets that Level 2 condition.</w:t>
            </w:r>
          </w:p>
        </w:tc>
      </w:tr>
    </w:tbl>
    <w:p>
      <w:pPr>
        <w:spacing w:after="0"/>
      </w:pPr>
    </w:p>
    <w:p>
      <w:r>
        <w:br w:type="page"/>
      </w:r>
    </w:p>
    <w:p>
      <w:pPr>
        <w:spacing w:after="20"/>
      </w:pPr>
      <w:r>
        <w:rPr>
          <w:b/>
          <w:color w:val="2E74B5"/>
          <w:sz w:val="17"/>
        </w:rPr>
        <w:t>SCOPE AND CLAIMS</w:t>
      </w:r>
    </w:p>
    <w:p>
      <w:pPr>
        <w:pStyle w:val="Heading1"/>
        <w:pBdr>
          <w:bottom w:val="single" w:sz="10" w:space="1" w:color="2E74B5"/>
        </w:pBdr>
      </w:pPr>
      <w:r>
        <w:t>1. What was tested</w:t>
      </w:r>
    </w:p>
    <w:p>
      <w:r>
        <w:t>The source manuscript is unusually explicit about the structure of an experimental test: a theoretical object must be mapped through detector response into a likelihood, and a validation claim requires the parameter point to be fixed before looking at the outcome. The companion therefore treats the manuscript's D02-D06 dossiers as analysis contracts. It does not fill missing END coefficients from the data.</w:t>
      </w:r>
    </w:p>
    <w:p>
      <w:pPr>
        <w:spacing w:after="20"/>
        <w:jc w:val="center"/>
      </w:pPr>
      <w:r>
        <w:drawing>
          <wp:inline xmlns:a="http://schemas.openxmlformats.org/drawingml/2006/main" xmlns:pic="http://schemas.openxmlformats.org/drawingml/2006/picture">
            <wp:extent cx="5577840" cy="446405"/>
            <wp:docPr id="1" name="Picture 1" title="eq_response" descr="Detector response y equals R convolved with h plus n, followed by a Gaussian likelihood with covariance Sigma."/>
            <wp:cNvGraphicFramePr>
              <a:graphicFrameLocks noChangeAspect="1"/>
            </wp:cNvGraphicFramePr>
            <a:graphic>
              <a:graphicData uri="http://schemas.openxmlformats.org/drawingml/2006/picture">
                <pic:pic>
                  <pic:nvPicPr>
                    <pic:cNvPr id="0" name="eq_response.png"/>
                    <pic:cNvPicPr/>
                  </pic:nvPicPr>
                  <pic:blipFill>
                    <a:blip r:embed="rId11"/>
                    <a:stretch>
                      <a:fillRect/>
                    </a:stretch>
                  </pic:blipFill>
                  <pic:spPr>
                    <a:xfrm>
                      <a:off x="0" y="0"/>
                      <a:ext cx="5577840" cy="446405"/>
                    </a:xfrm>
                    <a:prstGeom prst="rect"/>
                  </pic:spPr>
                </pic:pic>
              </a:graphicData>
            </a:graphic>
          </wp:inline>
        </w:drawing>
      </w:r>
    </w:p>
    <w:p>
      <w:pPr>
        <w:spacing w:after="160"/>
        <w:jc w:val="center"/>
      </w:pPr>
      <w:r>
        <w:rPr>
          <w:i/>
          <w:color w:val="5B6573"/>
          <w:sz w:val="17"/>
        </w:rPr>
        <w:t>Equation 1. Detector response and Gaussian observation model, corresponding to the manuscript's Chapter 19 analysis chain.</w:t>
      </w:r>
    </w:p>
    <w:p>
      <w:pPr>
        <w:pStyle w:val="Heading2"/>
      </w:pPr>
      <w:r>
        <w:t>1.1 Three levels of validation</w:t>
      </w:r>
    </w:p>
    <w:tbl>
      <w:tblPr>
        <w:tblStyle w:val="TableGrid"/>
        <w:tblW w:type="dxa" w:w="9360"/>
        <w:jc w:val="center"/>
        <w:tblLayout w:type="fixed"/>
        <w:tblLook w:firstColumn="1" w:firstRow="1" w:lastColumn="0" w:lastRow="0" w:noHBand="0" w:noVBand="1" w:val="04A0"/>
        <w:tblInd w:w="120" w:type="dxa"/>
      </w:tblPr>
      <w:tblGrid>
        <w:gridCol w:w="1800"/>
        <w:gridCol w:w="4200"/>
        <w:gridCol w:w="3360"/>
      </w:tblGrid>
      <w:tr>
        <w:trPr>
          <w:tblHeader w:val="true"/>
          <w:cantSplit/>
        </w:trPr>
        <w:tc>
          <w:tcPr>
            <w:tcW w:type="dxa" w:w="18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Level</w:t>
            </w:r>
          </w:p>
        </w:tc>
        <w:tc>
          <w:tcPr>
            <w:tcW w:type="dxa" w:w="42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Question</w:t>
            </w:r>
          </w:p>
        </w:tc>
        <w:tc>
          <w:tcPr>
            <w:tcW w:type="dxa" w:w="336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This study</w:t>
            </w:r>
          </w:p>
        </w:tc>
      </w:tr>
      <w:tr>
        <w:trPr>
          <w:cantSplit/>
        </w:trPr>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6"/>
              </w:rPr>
              <w:t>Level 0 - integrity</w:t>
            </w:r>
          </w:p>
        </w:tc>
        <w:tc>
          <w:tcPr>
            <w:tcW w:type="dxa" w:w="4200"/>
            <w:tcMar>
              <w:top w:w="80" w:type="dxa"/>
              <w:bottom w:w="80" w:type="dxa"/>
              <w:start w:w="120" w:type="dxa"/>
              <w:end w:w="120" w:type="dxa"/>
            </w:tcMar>
            <w:vAlign w:val="center"/>
          </w:tcPr>
          <w:p>
            <w:pPr>
              <w:spacing w:after="0" w:line="252" w:lineRule="auto"/>
            </w:pPr>
            <w:r/>
            <w:r>
              <w:rPr>
                <w:rFonts w:ascii="Calibri" w:hAnsi="Calibri"/>
                <w:b w:val="0"/>
                <w:color w:val="152238"/>
                <w:sz w:val="16"/>
              </w:rPr>
              <w:t>Does the code preserve normalization, units, unitarity, bounds, and deterministic execution?</w:t>
            </w:r>
          </w:p>
        </w:tc>
        <w:tc>
          <w:tcPr>
            <w:tcW w:type="dxa" w:w="3360"/>
            <w:tcMar>
              <w:top w:w="80" w:type="dxa"/>
              <w:bottom w:w="80" w:type="dxa"/>
              <w:start w:w="120" w:type="dxa"/>
              <w:end w:w="120" w:type="dxa"/>
            </w:tcMar>
            <w:vAlign w:val="center"/>
          </w:tcPr>
          <w:p>
            <w:pPr>
              <w:spacing w:after="0" w:line="252" w:lineRule="auto"/>
            </w:pPr>
            <w:r/>
            <w:r>
              <w:rPr>
                <w:rFonts w:ascii="Calibri" w:hAnsi="Calibri"/>
                <w:b w:val="0"/>
                <w:color w:val="152238"/>
                <w:sz w:val="16"/>
              </w:rPr>
              <w:t>DUNE unitarity; file hashes; physical probabilities</w:t>
            </w:r>
          </w:p>
        </w:tc>
      </w:tr>
      <w:tr>
        <w:trPr>
          <w:cantSplit/>
        </w:trPr>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Level 1 - standard candle</w:t>
            </w:r>
          </w:p>
        </w:tc>
        <w:tc>
          <w:tcPr>
            <w:tcW w:type="dxa" w:w="42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Can the pipeline recover an already known public feature or a frozen injected signal?</w:t>
            </w:r>
          </w:p>
        </w:tc>
        <w:tc>
          <w:tcPr>
            <w:tcW w:type="dxa" w:w="33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GW150914 delay; ATLAS 125 GeV template; XENON released curve</w:t>
            </w:r>
          </w:p>
        </w:tc>
      </w:tr>
      <w:tr>
        <w:trPr>
          <w:cantSplit/>
        </w:trPr>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6"/>
              </w:rPr>
              <w:t>Level 2 - theory specific</w:t>
            </w:r>
          </w:p>
        </w:tc>
        <w:tc>
          <w:tcPr>
            <w:tcW w:type="dxa" w:w="4200"/>
            <w:tcMar>
              <w:top w:w="80" w:type="dxa"/>
              <w:bottom w:w="80" w:type="dxa"/>
              <w:start w:w="120" w:type="dxa"/>
              <w:end w:w="120" w:type="dxa"/>
            </w:tcMar>
            <w:vAlign w:val="center"/>
          </w:tcPr>
          <w:p>
            <w:pPr>
              <w:spacing w:after="0" w:line="252" w:lineRule="auto"/>
            </w:pPr>
            <w:r/>
            <w:r>
              <w:rPr>
                <w:rFonts w:ascii="Calibri" w:hAnsi="Calibri"/>
                <w:b w:val="0"/>
                <w:color w:val="152238"/>
                <w:sz w:val="16"/>
              </w:rPr>
              <w:t>Does a predeclared END parameter point improve or survive the data likelihood?</w:t>
            </w:r>
          </w:p>
        </w:tc>
        <w:tc>
          <w:tcPr>
            <w:tcW w:type="dxa" w:w="3360"/>
            <w:tcMar>
              <w:top w:w="80" w:type="dxa"/>
              <w:bottom w:w="80" w:type="dxa"/>
              <w:start w:w="120" w:type="dxa"/>
              <w:end w:w="120" w:type="dxa"/>
            </w:tcMar>
            <w:vAlign w:val="center"/>
          </w:tcPr>
          <w:p>
            <w:pPr>
              <w:spacing w:after="0" w:line="252" w:lineRule="auto"/>
            </w:pPr>
            <w:r/>
            <w:r>
              <w:rPr>
                <w:rFonts w:ascii="Calibri" w:hAnsi="Calibri"/>
                <w:b w:val="0"/>
                <w:color w:val="152238"/>
                <w:sz w:val="16"/>
              </w:rPr>
              <w:t>Not executable: coefficients absent</w:t>
            </w:r>
          </w:p>
        </w:tc>
      </w:tr>
    </w:tbl>
    <w:p>
      <w:pPr>
        <w:spacing w:after="0"/>
      </w:pP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shd w:fill="FFF5D9"/>
            <w:tcMar>
              <w:top w:w="80" w:type="dxa"/>
              <w:bottom w:w="80" w:type="dxa"/>
              <w:start w:w="120" w:type="dxa"/>
              <w:end w:w="120" w:type="dxa"/>
            </w:tcMar>
            <w:vAlign w:val="center"/>
          </w:tcPr>
          <w:p>
            <w:pPr>
              <w:spacing w:after="80"/>
            </w:pPr>
            <w:r>
              <w:rPr>
                <w:b/>
                <w:color w:val="9A6700"/>
                <w:sz w:val="21"/>
              </w:rPr>
              <w:t>CLAIM BOUNDARY</w:t>
            </w:r>
          </w:p>
          <w:p>
            <w:pPr>
              <w:spacing w:after="0" w:line="269" w:lineRule="auto"/>
            </w:pPr>
            <w:r>
              <w:rPr>
                <w:color w:val="152238"/>
                <w:sz w:val="19"/>
              </w:rPr>
              <w:t>Passing Levels 0 and 1 is necessary for a credible END test, but it is not evidence for a unique END signal. Level 2 requires a frozen numerical map from END's internal quantities to each experiment's observables.</w:t>
            </w:r>
          </w:p>
        </w:tc>
      </w:tr>
    </w:tbl>
    <w:p>
      <w:pPr>
        <w:spacing w:after="0"/>
      </w:pPr>
    </w:p>
    <w:p>
      <w:pPr>
        <w:pStyle w:val="Heading2"/>
      </w:pPr>
      <w:r>
        <w:t>1.2 Manuscript equations mapped to executable tests</w:t>
      </w:r>
    </w:p>
    <w:tbl>
      <w:tblPr>
        <w:tblStyle w:val="TableGrid"/>
        <w:tblW w:type="dxa" w:w="9360"/>
        <w:jc w:val="center"/>
        <w:tblLayout w:type="fixed"/>
        <w:tblLook w:firstColumn="1" w:firstRow="1" w:lastColumn="0" w:lastRow="0" w:noHBand="0" w:noVBand="1" w:val="04A0"/>
        <w:tblInd w:w="120" w:type="dxa"/>
      </w:tblPr>
      <w:tblGrid>
        <w:gridCol w:w="1050"/>
        <w:gridCol w:w="2650"/>
        <w:gridCol w:w="3060"/>
        <w:gridCol w:w="2600"/>
      </w:tblGrid>
      <w:tr>
        <w:trPr>
          <w:tblHeader w:val="true"/>
          <w:cantSplit/>
        </w:trPr>
        <w:tc>
          <w:tcPr>
            <w:tcW w:type="dxa" w:w="105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Dossier</w:t>
            </w:r>
          </w:p>
        </w:tc>
        <w:tc>
          <w:tcPr>
            <w:tcW w:type="dxa" w:w="265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Source object</w:t>
            </w:r>
          </w:p>
        </w:tc>
        <w:tc>
          <w:tcPr>
            <w:tcW w:type="dxa" w:w="306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Executable validation</w:t>
            </w:r>
          </w:p>
        </w:tc>
        <w:tc>
          <w:tcPr>
            <w:tcW w:type="dxa" w:w="26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Missing END input</w:t>
            </w:r>
          </w:p>
        </w:tc>
      </w:tr>
      <w:tr>
        <w:trPr>
          <w:cantSplit/>
        </w:trPr>
        <w:tc>
          <w:tcPr>
            <w:tcW w:type="dxa" w:w="1050"/>
            <w:tcMar>
              <w:top w:w="80" w:type="dxa"/>
              <w:bottom w:w="80" w:type="dxa"/>
              <w:start w:w="120" w:type="dxa"/>
              <w:end w:w="120" w:type="dxa"/>
            </w:tcMar>
            <w:vAlign w:val="center"/>
          </w:tcPr>
          <w:p>
            <w:pPr>
              <w:spacing w:after="0" w:line="252" w:lineRule="auto"/>
            </w:pPr>
            <w:r/>
            <w:r>
              <w:rPr>
                <w:rFonts w:ascii="Calibri" w:hAnsi="Calibri"/>
                <w:b w:val="0"/>
                <w:color w:val="152238"/>
                <w:sz w:val="15"/>
              </w:rPr>
              <w:t>D02</w:t>
            </w:r>
          </w:p>
        </w:tc>
        <w:tc>
          <w:tcPr>
            <w:tcW w:type="dxa" w:w="2650"/>
            <w:tcMar>
              <w:top w:w="80" w:type="dxa"/>
              <w:bottom w:w="80" w:type="dxa"/>
              <w:start w:w="120" w:type="dxa"/>
              <w:end w:w="120" w:type="dxa"/>
            </w:tcMar>
            <w:vAlign w:val="center"/>
          </w:tcPr>
          <w:p>
            <w:pPr>
              <w:spacing w:after="0" w:line="252" w:lineRule="auto"/>
            </w:pPr>
            <w:r/>
            <w:r>
              <w:rPr>
                <w:rFonts w:ascii="Calibri" w:hAnsi="Calibri"/>
                <w:b w:val="0"/>
                <w:color w:val="152238"/>
                <w:sz w:val="15"/>
              </w:rPr>
              <w:t>E^2 = p^2 c^2 + A_alpha p^alpha c^alpha</w:t>
            </w:r>
          </w:p>
        </w:tc>
        <w:tc>
          <w:tcPr>
            <w:tcW w:type="dxa" w:w="3060"/>
            <w:tcMar>
              <w:top w:w="80" w:type="dxa"/>
              <w:bottom w:w="80" w:type="dxa"/>
              <w:start w:w="120" w:type="dxa"/>
              <w:end w:w="120" w:type="dxa"/>
            </w:tcMar>
            <w:vAlign w:val="center"/>
          </w:tcPr>
          <w:p>
            <w:pPr>
              <w:spacing w:after="0" w:line="252" w:lineRule="auto"/>
            </w:pPr>
            <w:r/>
            <w:r>
              <w:rPr>
                <w:rFonts w:ascii="Calibri" w:hAnsi="Calibri"/>
                <w:b w:val="0"/>
                <w:color w:val="152238"/>
                <w:sz w:val="15"/>
              </w:rPr>
              <w:t>Recover detector delay; test a phenomenological subband slope</w:t>
            </w:r>
          </w:p>
        </w:tc>
        <w:tc>
          <w:tcPr>
            <w:tcW w:type="dxa" w:w="2600"/>
            <w:tcMar>
              <w:top w:w="80" w:type="dxa"/>
              <w:bottom w:w="80" w:type="dxa"/>
              <w:start w:w="120" w:type="dxa"/>
              <w:end w:w="120" w:type="dxa"/>
            </w:tcMar>
            <w:vAlign w:val="center"/>
          </w:tcPr>
          <w:p>
            <w:pPr>
              <w:spacing w:after="0" w:line="252" w:lineRule="auto"/>
            </w:pPr>
            <w:r/>
            <w:r>
              <w:rPr>
                <w:rFonts w:ascii="Calibri" w:hAnsi="Calibri"/>
                <w:b w:val="0"/>
                <w:color w:val="152238"/>
                <w:sz w:val="15"/>
              </w:rPr>
              <w:t>A_alpha and cosmological kernel not fixed</w:t>
            </w:r>
          </w:p>
        </w:tc>
      </w:tr>
      <w:tr>
        <w:trPr>
          <w:cantSplit/>
        </w:trPr>
        <w:tc>
          <w:tcPr>
            <w:tcW w:type="dxa" w:w="105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D03 / Ch. 21</w:t>
            </w:r>
          </w:p>
        </w:tc>
        <w:tc>
          <w:tcPr>
            <w:tcW w:type="dxa" w:w="265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L_contact = sum_i (C_i/Lambda^2) O_i; binned event likelihood</w:t>
            </w:r>
          </w:p>
        </w:tc>
        <w:tc>
          <w:tcPr>
            <w:tcW w:type="dxa" w:w="3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Reconstruct m4l; fixed 125 GeV template; injection/recovery</w:t>
            </w:r>
          </w:p>
        </w:tc>
        <w:tc>
          <w:tcPr>
            <w:tcW w:type="dxa" w:w="26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Scalar mass, width, couplings, and C/Lambda^2 not fixed</w:t>
            </w:r>
          </w:p>
        </w:tc>
      </w:tr>
      <w:tr>
        <w:trPr>
          <w:cantSplit/>
        </w:trPr>
        <w:tc>
          <w:tcPr>
            <w:tcW w:type="dxa" w:w="1050"/>
            <w:tcMar>
              <w:top w:w="80" w:type="dxa"/>
              <w:bottom w:w="80" w:type="dxa"/>
              <w:start w:w="120" w:type="dxa"/>
              <w:end w:w="120" w:type="dxa"/>
            </w:tcMar>
            <w:vAlign w:val="center"/>
          </w:tcPr>
          <w:p>
            <w:pPr>
              <w:spacing w:after="0" w:line="252" w:lineRule="auto"/>
            </w:pPr>
            <w:r/>
            <w:r>
              <w:rPr>
                <w:rFonts w:ascii="Calibri" w:hAnsi="Calibri"/>
                <w:b w:val="0"/>
                <w:color w:val="152238"/>
                <w:sz w:val="15"/>
              </w:rPr>
              <w:t>D05</w:t>
            </w:r>
          </w:p>
        </w:tc>
        <w:tc>
          <w:tcPr>
            <w:tcW w:type="dxa" w:w="2650"/>
            <w:tcMar>
              <w:top w:w="80" w:type="dxa"/>
              <w:bottom w:w="80" w:type="dxa"/>
              <w:start w:w="120" w:type="dxa"/>
              <w:end w:w="120" w:type="dxa"/>
            </w:tcMar>
            <w:vAlign w:val="center"/>
          </w:tcPr>
          <w:p>
            <w:pPr>
              <w:spacing w:after="0" w:line="252" w:lineRule="auto"/>
            </w:pPr>
            <w:r/>
            <w:r>
              <w:rPr>
                <w:rFonts w:ascii="Calibri" w:hAnsi="Calibri"/>
                <w:b w:val="0"/>
                <w:color w:val="152238"/>
                <w:sz w:val="15"/>
              </w:rPr>
              <w:t>dR/dER recoil integral</w:t>
            </w:r>
          </w:p>
        </w:tc>
        <w:tc>
          <w:tcPr>
            <w:tcW w:type="dxa" w:w="3060"/>
            <w:tcMar>
              <w:top w:w="80" w:type="dxa"/>
              <w:bottom w:w="80" w:type="dxa"/>
              <w:start w:w="120" w:type="dxa"/>
              <w:end w:w="120" w:type="dxa"/>
            </w:tcMar>
            <w:vAlign w:val="center"/>
          </w:tcPr>
          <w:p>
            <w:pPr>
              <w:spacing w:after="0" w:line="252" w:lineRule="auto"/>
            </w:pPr>
            <w:r/>
            <w:r>
              <w:rPr>
                <w:rFonts w:ascii="Calibri" w:hAnsi="Calibri"/>
                <w:b w:val="0"/>
                <w:color w:val="152238"/>
                <w:sz w:val="15"/>
              </w:rPr>
              <w:t>Released 4D WIMP templates and profiled binned likelihood</w:t>
            </w:r>
          </w:p>
        </w:tc>
        <w:tc>
          <w:tcPr>
            <w:tcW w:type="dxa" w:w="2600"/>
            <w:tcMar>
              <w:top w:w="80" w:type="dxa"/>
              <w:bottom w:w="80" w:type="dxa"/>
              <w:start w:w="120" w:type="dxa"/>
              <w:end w:w="120" w:type="dxa"/>
            </w:tcMar>
            <w:vAlign w:val="center"/>
          </w:tcPr>
          <w:p>
            <w:pPr>
              <w:spacing w:after="0" w:line="252" w:lineRule="auto"/>
            </w:pPr>
            <w:r/>
            <w:r>
              <w:rPr>
                <w:rFonts w:ascii="Calibri" w:hAnsi="Calibri"/>
                <w:b w:val="0"/>
                <w:color w:val="152238"/>
                <w:sz w:val="15"/>
              </w:rPr>
              <w:t>END particle mass and cross section not fixed</w:t>
            </w:r>
          </w:p>
        </w:tc>
      </w:tr>
      <w:tr>
        <w:trPr>
          <w:cantSplit/>
        </w:trPr>
        <w:tc>
          <w:tcPr>
            <w:tcW w:type="dxa" w:w="105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D06</w:t>
            </w:r>
          </w:p>
        </w:tc>
        <w:tc>
          <w:tcPr>
            <w:tcW w:type="dxa" w:w="265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Three-flavour Hamiltonian + H_ENDnu</w:t>
            </w:r>
          </w:p>
        </w:tc>
        <w:tc>
          <w:tcPr>
            <w:tcW w:type="dxa" w:w="3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Unitary standard Hamiltonian and DUNE release forecast</w:t>
            </w:r>
          </w:p>
        </w:tc>
        <w:tc>
          <w:tcPr>
            <w:tcW w:type="dxa" w:w="26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H_ENDnu fixed to zero because no value supplied</w:t>
            </w:r>
          </w:p>
        </w:tc>
      </w:tr>
    </w:tbl>
    <w:p>
      <w:pPr>
        <w:spacing w:after="0"/>
      </w:pPr>
    </w:p>
    <w:p>
      <w:pPr>
        <w:pStyle w:val="Heading2"/>
      </w:pPr>
      <w:r>
        <w:t>1.3 What was deliberately not claimed</w:t>
      </w:r>
    </w:p>
    <w:p>
      <w:pPr>
        <w:pStyle w:val="ListBullet"/>
        <w:spacing w:after="60"/>
      </w:pPr>
      <w:r>
        <w:t>No bound on A_alpha from a single nearby binary merger. That requires a cosmological propagation model, a source-frame waveform treatment, and a frozen alpha.</w:t>
      </w:r>
    </w:p>
    <w:p>
      <w:pPr>
        <w:pStyle w:val="ListBullet"/>
        <w:spacing w:after="60"/>
      </w:pPr>
      <w:r>
        <w:t>No new CERN resonance or contact-interaction discovery. The four-lepton dataset is educational, the mass/template are standard-candle choices, and the fit omits a publication-grade nuisance model and look-elsewhere correction.</w:t>
      </w:r>
    </w:p>
    <w:p>
      <w:pPr>
        <w:pStyle w:val="ListBullet"/>
        <w:spacing w:after="60"/>
      </w:pPr>
      <w:r>
        <w:t>No END dark-matter exclusion. XENONnT is used to validate the public template-likelihood machinery against its own WIMP benchmark.</w:t>
      </w:r>
    </w:p>
    <w:p>
      <w:pPr>
        <w:pStyle w:val="ListBullet"/>
        <w:spacing w:after="60"/>
      </w:pPr>
      <w:r>
        <w:t>No DUNE data validation. The available material is a TDR-approximation forecast release, and H_ENDnu is set to zero.</w:t>
      </w:r>
    </w:p>
    <w:p>
      <w:pPr>
        <w:spacing w:after="20"/>
      </w:pPr>
      <w:r>
        <w:rPr>
          <w:b/>
          <w:color w:val="2E74B5"/>
          <w:sz w:val="17"/>
        </w:rPr>
        <w:t>FROZEN PROTOCOL</w:t>
      </w:r>
    </w:p>
    <w:p>
      <w:pPr>
        <w:pStyle w:val="Heading1"/>
        <w:pBdr>
          <w:bottom w:val="single" w:sz="10" w:space="1" w:color="2E74B5"/>
        </w:pBdr>
      </w:pPr>
      <w:r>
        <w:t>2. Common methods and reproducibility</w:t>
      </w:r>
    </w:p>
    <w:p>
      <w:pPr>
        <w:pStyle w:val="Heading2"/>
      </w:pPr>
      <w:r>
        <w:t>2.1 Deterministic execution</w:t>
      </w:r>
    </w:p>
    <w:p>
      <w:r>
        <w:t>A single Python program executes all four analyses. Every input used in the final run is checksum locked. Randomized injection/recovery experiments use NumPy's default generator with seed 20260808. The machine-readable JSON records the interpreter, operating system, package versions, source hashes, decision boundary, and numerical results. CSV files contain the plotted values.</w:t>
      </w:r>
    </w:p>
    <w:tbl>
      <w:tblPr>
        <w:tblStyle w:val="TableGrid"/>
        <w:tblW w:type="dxa" w:w="9360"/>
        <w:jc w:val="center"/>
        <w:tblLayout w:type="fixed"/>
        <w:tblLook w:firstColumn="1" w:firstRow="1" w:lastColumn="0" w:lastRow="0" w:noHBand="0" w:noVBand="1" w:val="04A0"/>
        <w:tblInd w:w="120" w:type="dxa"/>
      </w:tblPr>
      <w:tblGrid>
        <w:gridCol w:w="3200"/>
        <w:gridCol w:w="6160"/>
      </w:tblGrid>
      <w:tr>
        <w:trPr>
          <w:tblHeader w:val="true"/>
          <w:cantSplit/>
        </w:trPr>
        <w:tc>
          <w:tcPr>
            <w:tcW w:type="dxa" w:w="3200"/>
            <w:shd w:fill="E8EEF5"/>
            <w:tcMar>
              <w:top w:w="80" w:type="dxa"/>
              <w:bottom w:w="80" w:type="dxa"/>
              <w:start w:w="120" w:type="dxa"/>
              <w:end w:w="120" w:type="dxa"/>
            </w:tcMar>
            <w:vAlign w:val="center"/>
          </w:tcPr>
          <w:p>
            <w:pPr>
              <w:spacing w:after="0" w:line="252" w:lineRule="auto"/>
            </w:pPr>
            <w:r/>
            <w:r>
              <w:rPr>
                <w:rFonts w:ascii="Calibri" w:hAnsi="Calibri"/>
                <w:b/>
                <w:color w:val="1F4E79"/>
                <w:sz w:val="17"/>
              </w:rPr>
              <w:t>Component</w:t>
            </w:r>
          </w:p>
        </w:tc>
        <w:tc>
          <w:tcPr>
            <w:tcW w:type="dxa" w:w="6160"/>
            <w:shd w:fill="E8EEF5"/>
            <w:tcMar>
              <w:top w:w="80" w:type="dxa"/>
              <w:bottom w:w="80" w:type="dxa"/>
              <w:start w:w="120" w:type="dxa"/>
              <w:end w:w="120" w:type="dxa"/>
            </w:tcMar>
            <w:vAlign w:val="center"/>
          </w:tcPr>
          <w:p>
            <w:pPr>
              <w:spacing w:after="0" w:line="252" w:lineRule="auto"/>
            </w:pPr>
            <w:r/>
            <w:r>
              <w:rPr>
                <w:rFonts w:ascii="Calibri" w:hAnsi="Calibri"/>
                <w:b/>
                <w:color w:val="1F4E79"/>
                <w:sz w:val="17"/>
              </w:rPr>
              <w:t>Frozen version</w:t>
            </w:r>
          </w:p>
        </w:tc>
      </w:tr>
      <w:tr>
        <w:trPr>
          <w:cantSplit/>
        </w:trPr>
        <w:tc>
          <w:tcPr>
            <w:tcW w:type="dxa" w:w="3200"/>
            <w:tcMar>
              <w:top w:w="80" w:type="dxa"/>
              <w:bottom w:w="80" w:type="dxa"/>
              <w:start w:w="120" w:type="dxa"/>
              <w:end w:w="120" w:type="dxa"/>
            </w:tcMar>
            <w:vAlign w:val="center"/>
          </w:tcPr>
          <w:p>
            <w:pPr>
              <w:spacing w:after="0" w:line="252" w:lineRule="auto"/>
            </w:pPr>
            <w:r/>
            <w:r>
              <w:rPr>
                <w:rFonts w:ascii="Calibri" w:hAnsi="Calibri"/>
                <w:b w:val="0"/>
                <w:color w:val="152238"/>
                <w:sz w:val="17"/>
              </w:rPr>
              <w:t>Python</w:t>
            </w:r>
          </w:p>
        </w:tc>
        <w:tc>
          <w:tcPr>
            <w:tcW w:type="dxa" w:w="6160"/>
            <w:tcMar>
              <w:top w:w="80" w:type="dxa"/>
              <w:bottom w:w="80" w:type="dxa"/>
              <w:start w:w="120" w:type="dxa"/>
              <w:end w:w="120" w:type="dxa"/>
            </w:tcMar>
            <w:vAlign w:val="center"/>
          </w:tcPr>
          <w:p>
            <w:pPr>
              <w:spacing w:after="0" w:line="252" w:lineRule="auto"/>
            </w:pPr>
            <w:r/>
            <w:r>
              <w:rPr>
                <w:rFonts w:ascii="Calibri" w:hAnsi="Calibri"/>
                <w:b w:val="0"/>
                <w:color w:val="152238"/>
                <w:sz w:val="17"/>
              </w:rPr>
              <w:t>3.12.13</w:t>
            </w:r>
          </w:p>
        </w:tc>
      </w:tr>
      <w:tr>
        <w:trPr>
          <w:cantSplit/>
        </w:trPr>
        <w:tc>
          <w:tcPr>
            <w:tcW w:type="dxa" w:w="32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h5py</w:t>
            </w:r>
          </w:p>
        </w:tc>
        <w:tc>
          <w:tcPr>
            <w:tcW w:type="dxa" w:w="61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3.16.0</w:t>
            </w:r>
          </w:p>
        </w:tc>
      </w:tr>
      <w:tr>
        <w:trPr>
          <w:cantSplit/>
        </w:trPr>
        <w:tc>
          <w:tcPr>
            <w:tcW w:type="dxa" w:w="3200"/>
            <w:tcMar>
              <w:top w:w="80" w:type="dxa"/>
              <w:bottom w:w="80" w:type="dxa"/>
              <w:start w:w="120" w:type="dxa"/>
              <w:end w:w="120" w:type="dxa"/>
            </w:tcMar>
            <w:vAlign w:val="center"/>
          </w:tcPr>
          <w:p>
            <w:pPr>
              <w:spacing w:after="0" w:line="252" w:lineRule="auto"/>
            </w:pPr>
            <w:r/>
            <w:r>
              <w:rPr>
                <w:rFonts w:ascii="Calibri" w:hAnsi="Calibri"/>
                <w:b w:val="0"/>
                <w:color w:val="152238"/>
                <w:sz w:val="17"/>
              </w:rPr>
              <w:t>matplotlib</w:t>
            </w:r>
          </w:p>
        </w:tc>
        <w:tc>
          <w:tcPr>
            <w:tcW w:type="dxa" w:w="6160"/>
            <w:tcMar>
              <w:top w:w="80" w:type="dxa"/>
              <w:bottom w:w="80" w:type="dxa"/>
              <w:start w:w="120" w:type="dxa"/>
              <w:end w:w="120" w:type="dxa"/>
            </w:tcMar>
            <w:vAlign w:val="center"/>
          </w:tcPr>
          <w:p>
            <w:pPr>
              <w:spacing w:after="0" w:line="252" w:lineRule="auto"/>
            </w:pPr>
            <w:r/>
            <w:r>
              <w:rPr>
                <w:rFonts w:ascii="Calibri" w:hAnsi="Calibri"/>
                <w:b w:val="0"/>
                <w:color w:val="152238"/>
                <w:sz w:val="17"/>
              </w:rPr>
              <w:t>3.10.8</w:t>
            </w:r>
          </w:p>
        </w:tc>
      </w:tr>
      <w:tr>
        <w:trPr>
          <w:cantSplit/>
        </w:trPr>
        <w:tc>
          <w:tcPr>
            <w:tcW w:type="dxa" w:w="32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numpy</w:t>
            </w:r>
          </w:p>
        </w:tc>
        <w:tc>
          <w:tcPr>
            <w:tcW w:type="dxa" w:w="61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2.5.1</w:t>
            </w:r>
          </w:p>
        </w:tc>
      </w:tr>
      <w:tr>
        <w:trPr>
          <w:cantSplit/>
        </w:trPr>
        <w:tc>
          <w:tcPr>
            <w:tcW w:type="dxa" w:w="3200"/>
            <w:tcMar>
              <w:top w:w="80" w:type="dxa"/>
              <w:bottom w:w="80" w:type="dxa"/>
              <w:start w:w="120" w:type="dxa"/>
              <w:end w:w="120" w:type="dxa"/>
            </w:tcMar>
            <w:vAlign w:val="center"/>
          </w:tcPr>
          <w:p>
            <w:pPr>
              <w:spacing w:after="0" w:line="252" w:lineRule="auto"/>
            </w:pPr>
            <w:r/>
            <w:r>
              <w:rPr>
                <w:rFonts w:ascii="Calibri" w:hAnsi="Calibri"/>
                <w:b w:val="0"/>
                <w:color w:val="152238"/>
                <w:sz w:val="17"/>
              </w:rPr>
              <w:t>pandas</w:t>
            </w:r>
          </w:p>
        </w:tc>
        <w:tc>
          <w:tcPr>
            <w:tcW w:type="dxa" w:w="6160"/>
            <w:tcMar>
              <w:top w:w="80" w:type="dxa"/>
              <w:bottom w:w="80" w:type="dxa"/>
              <w:start w:w="120" w:type="dxa"/>
              <w:end w:w="120" w:type="dxa"/>
            </w:tcMar>
            <w:vAlign w:val="center"/>
          </w:tcPr>
          <w:p>
            <w:pPr>
              <w:spacing w:after="0" w:line="252" w:lineRule="auto"/>
            </w:pPr>
            <w:r/>
            <w:r>
              <w:rPr>
                <w:rFonts w:ascii="Calibri" w:hAnsi="Calibri"/>
                <w:b w:val="0"/>
                <w:color w:val="152238"/>
                <w:sz w:val="17"/>
              </w:rPr>
              <w:t>2.2.3</w:t>
            </w:r>
          </w:p>
        </w:tc>
      </w:tr>
      <w:tr>
        <w:trPr>
          <w:cantSplit/>
        </w:trPr>
        <w:tc>
          <w:tcPr>
            <w:tcW w:type="dxa" w:w="32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scipy</w:t>
            </w:r>
          </w:p>
        </w:tc>
        <w:tc>
          <w:tcPr>
            <w:tcW w:type="dxa" w:w="61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1.17.0</w:t>
            </w:r>
          </w:p>
        </w:tc>
      </w:tr>
      <w:tr>
        <w:trPr>
          <w:cantSplit/>
        </w:trPr>
        <w:tc>
          <w:tcPr>
            <w:tcW w:type="dxa" w:w="3200"/>
            <w:tcMar>
              <w:top w:w="80" w:type="dxa"/>
              <w:bottom w:w="80" w:type="dxa"/>
              <w:start w:w="120" w:type="dxa"/>
              <w:end w:w="120" w:type="dxa"/>
            </w:tcMar>
            <w:vAlign w:val="center"/>
          </w:tcPr>
          <w:p>
            <w:pPr>
              <w:spacing w:after="0" w:line="252" w:lineRule="auto"/>
            </w:pPr>
            <w:r/>
            <w:r>
              <w:rPr>
                <w:rFonts w:ascii="Calibri" w:hAnsi="Calibri"/>
                <w:b w:val="0"/>
                <w:color w:val="152238"/>
                <w:sz w:val="17"/>
              </w:rPr>
              <w:t>uproot</w:t>
            </w:r>
          </w:p>
        </w:tc>
        <w:tc>
          <w:tcPr>
            <w:tcW w:type="dxa" w:w="6160"/>
            <w:tcMar>
              <w:top w:w="80" w:type="dxa"/>
              <w:bottom w:w="80" w:type="dxa"/>
              <w:start w:w="120" w:type="dxa"/>
              <w:end w:w="120" w:type="dxa"/>
            </w:tcMar>
            <w:vAlign w:val="center"/>
          </w:tcPr>
          <w:p>
            <w:pPr>
              <w:spacing w:after="0" w:line="252" w:lineRule="auto"/>
            </w:pPr>
            <w:r/>
            <w:r>
              <w:rPr>
                <w:rFonts w:ascii="Calibri" w:hAnsi="Calibri"/>
                <w:b w:val="0"/>
                <w:color w:val="152238"/>
                <w:sz w:val="17"/>
              </w:rPr>
              <w:t>5.7.5</w:t>
            </w:r>
          </w:p>
        </w:tc>
      </w:tr>
    </w:tbl>
    <w:p>
      <w:pPr>
        <w:spacing w:after="0"/>
      </w:pPr>
    </w:p>
    <w:p>
      <w:pPr>
        <w:pStyle w:val="Heading2"/>
      </w:pPr>
      <w:r>
        <w:t>2.2 Likelihood logic</w:t>
      </w:r>
    </w:p>
    <w:p>
      <w:pPr>
        <w:spacing w:after="20"/>
        <w:jc w:val="center"/>
      </w:pPr>
      <w:r>
        <w:drawing>
          <wp:inline xmlns:a="http://schemas.openxmlformats.org/drawingml/2006/main" xmlns:pic="http://schemas.openxmlformats.org/drawingml/2006/picture">
            <wp:extent cx="5577840" cy="446405"/>
            <wp:docPr id="2" name="Picture 2" title="eq_poisson" descr="Expected bin count nu b equals signal plus background; likelihood is a product of Poisson bin terms and nuisance constraints."/>
            <wp:cNvGraphicFramePr>
              <a:graphicFrameLocks noChangeAspect="1"/>
            </wp:cNvGraphicFramePr>
            <a:graphic>
              <a:graphicData uri="http://schemas.openxmlformats.org/drawingml/2006/picture">
                <pic:pic>
                  <pic:nvPicPr>
                    <pic:cNvPr id="0" name="eq_poisson.png"/>
                    <pic:cNvPicPr/>
                  </pic:nvPicPr>
                  <pic:blipFill>
                    <a:blip r:embed="rId12"/>
                    <a:stretch>
                      <a:fillRect/>
                    </a:stretch>
                  </pic:blipFill>
                  <pic:spPr>
                    <a:xfrm>
                      <a:off x="0" y="0"/>
                      <a:ext cx="5577840" cy="446405"/>
                    </a:xfrm>
                    <a:prstGeom prst="rect"/>
                  </pic:spPr>
                </pic:pic>
              </a:graphicData>
            </a:graphic>
          </wp:inline>
        </w:drawing>
      </w:r>
    </w:p>
    <w:p>
      <w:pPr>
        <w:spacing w:after="160"/>
        <w:jc w:val="center"/>
      </w:pPr>
      <w:r>
        <w:rPr>
          <w:i/>
          <w:color w:val="5B6573"/>
          <w:sz w:val="17"/>
        </w:rPr>
        <w:t>Equation 2. Binned Poisson likelihood with nuisance constraints; the executable form used for CERN and XENONnT.</w:t>
      </w:r>
    </w:p>
    <w:p>
      <w:pPr>
        <w:spacing w:after="20"/>
        <w:jc w:val="center"/>
      </w:pPr>
      <w:r>
        <w:drawing>
          <wp:inline xmlns:a="http://schemas.openxmlformats.org/drawingml/2006/main" xmlns:pic="http://schemas.openxmlformats.org/drawingml/2006/picture">
            <wp:extent cx="5577840" cy="446405"/>
            <wp:docPr id="3" name="Picture 3" title="eq_profile" descr="Profile likelihood ratios q of mu and q zero, with conditional and unconditional nuisance maxima."/>
            <wp:cNvGraphicFramePr>
              <a:graphicFrameLocks noChangeAspect="1"/>
            </wp:cNvGraphicFramePr>
            <a:graphic>
              <a:graphicData uri="http://schemas.openxmlformats.org/drawingml/2006/picture">
                <pic:pic>
                  <pic:nvPicPr>
                    <pic:cNvPr id="0" name="eq_profile.png"/>
                    <pic:cNvPicPr/>
                  </pic:nvPicPr>
                  <pic:blipFill>
                    <a:blip r:embed="rId13"/>
                    <a:stretch>
                      <a:fillRect/>
                    </a:stretch>
                  </pic:blipFill>
                  <pic:spPr>
                    <a:xfrm>
                      <a:off x="0" y="0"/>
                      <a:ext cx="5577840" cy="446405"/>
                    </a:xfrm>
                    <a:prstGeom prst="rect"/>
                  </pic:spPr>
                </pic:pic>
              </a:graphicData>
            </a:graphic>
          </wp:inline>
        </w:drawing>
      </w:r>
    </w:p>
    <w:p>
      <w:pPr>
        <w:spacing w:after="160"/>
        <w:jc w:val="center"/>
      </w:pPr>
      <w:r>
        <w:rPr>
          <w:i/>
          <w:color w:val="5B6573"/>
          <w:sz w:val="17"/>
        </w:rPr>
        <w:t>Equation 3. Profile-likelihood ratio. Hats denote unconditional maxima; double hats denote conditional nuisance maxima.</w:t>
      </w:r>
    </w:p>
    <w:p>
      <w:r>
        <w:t>For the CERN diagnostic, q0 is converted to a one-sided local Z = sqrt(q0) only as a software diagnostic under a fixed mass and template. For XENONnT, the 90% one-parameter threshold is q = chi-square_1(0.90) = 2.7055. These asymptotic conversions are not substituted for collaboration-grade toy ensembles when those are required by a publication result.</w:t>
      </w:r>
    </w:p>
    <w:p>
      <w:pPr>
        <w:pStyle w:val="Heading2"/>
      </w:pPr>
      <w:r>
        <w:t>2.3 Prespecified success rules</w:t>
      </w:r>
    </w:p>
    <w:tbl>
      <w:tblPr>
        <w:tblStyle w:val="TableGrid"/>
        <w:tblW w:type="dxa" w:w="9360"/>
        <w:jc w:val="center"/>
        <w:tblLayout w:type="fixed"/>
        <w:tblLook w:firstColumn="1" w:firstRow="1" w:lastColumn="0" w:lastRow="0" w:noHBand="0" w:noVBand="1" w:val="04A0"/>
        <w:tblInd w:w="120" w:type="dxa"/>
      </w:tblPr>
      <w:tblGrid>
        <w:gridCol w:w="1400"/>
        <w:gridCol w:w="5200"/>
        <w:gridCol w:w="2760"/>
      </w:tblGrid>
      <w:tr>
        <w:trPr>
          <w:tblHeader w:val="true"/>
          <w:cantSplit/>
        </w:trPr>
        <w:tc>
          <w:tcPr>
            <w:tcW w:type="dxa" w:w="14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Program</w:t>
            </w:r>
          </w:p>
        </w:tc>
        <w:tc>
          <w:tcPr>
            <w:tcW w:type="dxa" w:w="52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Rule</w:t>
            </w:r>
          </w:p>
        </w:tc>
        <w:tc>
          <w:tcPr>
            <w:tcW w:type="dxa" w:w="276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Observed</w:t>
            </w:r>
          </w:p>
        </w:tc>
      </w:tr>
      <w:tr>
        <w:trPr>
          <w:cantSplit/>
        </w:trPr>
        <w:tc>
          <w:tcPr>
            <w:tcW w:type="dxa" w:w="1400"/>
            <w:tcMar>
              <w:top w:w="80" w:type="dxa"/>
              <w:bottom w:w="80" w:type="dxa"/>
              <w:start w:w="120" w:type="dxa"/>
              <w:end w:w="120" w:type="dxa"/>
            </w:tcMar>
            <w:vAlign w:val="center"/>
          </w:tcPr>
          <w:p>
            <w:pPr>
              <w:spacing w:after="0" w:line="252" w:lineRule="auto"/>
            </w:pPr>
            <w:r/>
            <w:r>
              <w:rPr>
                <w:rFonts w:ascii="Calibri" w:hAnsi="Calibri"/>
                <w:b w:val="0"/>
                <w:color w:val="152238"/>
                <w:sz w:val="16"/>
              </w:rPr>
              <w:t>GWOSC</w:t>
            </w:r>
          </w:p>
        </w:tc>
        <w:tc>
          <w:tcPr>
            <w:tcW w:type="dxa" w:w="5200"/>
            <w:tcMar>
              <w:top w:w="80" w:type="dxa"/>
              <w:bottom w:w="80" w:type="dxa"/>
              <w:start w:w="120" w:type="dxa"/>
              <w:end w:w="120" w:type="dxa"/>
            </w:tcMar>
            <w:vAlign w:val="center"/>
          </w:tcPr>
          <w:p>
            <w:pPr>
              <w:spacing w:after="0" w:line="252" w:lineRule="auto"/>
            </w:pPr>
            <w:r/>
            <w:r>
              <w:rPr>
                <w:rFonts w:ascii="Calibri" w:hAnsi="Calibri"/>
                <w:b w:val="0"/>
                <w:color w:val="152238"/>
                <w:sz w:val="16"/>
              </w:rPr>
              <w:t>7.324 ms must fall inside [6.5, 7.4] ms</w:t>
            </w:r>
          </w:p>
        </w:tc>
        <w:tc>
          <w:tcPr>
            <w:tcW w:type="dxa" w:w="2760"/>
            <w:tcMar>
              <w:top w:w="80" w:type="dxa"/>
              <w:bottom w:w="80" w:type="dxa"/>
              <w:start w:w="120" w:type="dxa"/>
              <w:end w:w="120" w:type="dxa"/>
            </w:tcMar>
            <w:vAlign w:val="center"/>
          </w:tcPr>
          <w:p>
            <w:pPr>
              <w:spacing w:after="0" w:line="252" w:lineRule="auto"/>
            </w:pPr>
            <w:r/>
            <w:r>
              <w:rPr>
                <w:rFonts w:ascii="Calibri" w:hAnsi="Calibri"/>
                <w:b w:val="0"/>
                <w:color w:val="152238"/>
                <w:sz w:val="16"/>
              </w:rPr>
              <w:t>Yes</w:t>
            </w:r>
          </w:p>
        </w:tc>
      </w:tr>
      <w:tr>
        <w:trPr>
          <w:cantSplit/>
        </w:trPr>
        <w:tc>
          <w:tcPr>
            <w:tcW w:type="dxa" w:w="14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GWOSC</w:t>
            </w:r>
          </w:p>
        </w:tc>
        <w:tc>
          <w:tcPr>
            <w:tcW w:type="dxa" w:w="52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Report beta/sigma_beta; do not convert to A_alpha</w:t>
            </w:r>
          </w:p>
        </w:tc>
        <w:tc>
          <w:tcPr>
            <w:tcW w:type="dxa" w:w="27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Yes</w:t>
            </w:r>
          </w:p>
        </w:tc>
      </w:tr>
      <w:tr>
        <w:trPr>
          <w:cantSplit/>
        </w:trPr>
        <w:tc>
          <w:tcPr>
            <w:tcW w:type="dxa" w:w="1400"/>
            <w:tcMar>
              <w:top w:w="80" w:type="dxa"/>
              <w:bottom w:w="80" w:type="dxa"/>
              <w:start w:w="120" w:type="dxa"/>
              <w:end w:w="120" w:type="dxa"/>
            </w:tcMar>
            <w:vAlign w:val="center"/>
          </w:tcPr>
          <w:p>
            <w:pPr>
              <w:spacing w:after="0" w:line="252" w:lineRule="auto"/>
            </w:pPr>
            <w:r/>
            <w:r>
              <w:rPr>
                <w:rFonts w:ascii="Calibri" w:hAnsi="Calibri"/>
                <w:b w:val="0"/>
                <w:color w:val="152238"/>
                <w:sz w:val="16"/>
              </w:rPr>
              <w:t>CERN</w:t>
            </w:r>
          </w:p>
        </w:tc>
        <w:tc>
          <w:tcPr>
            <w:tcW w:type="dxa" w:w="5200"/>
            <w:tcMar>
              <w:top w:w="80" w:type="dxa"/>
              <w:bottom w:w="80" w:type="dxa"/>
              <w:start w:w="120" w:type="dxa"/>
              <w:end w:w="120" w:type="dxa"/>
            </w:tcMar>
            <w:vAlign w:val="center"/>
          </w:tcPr>
          <w:p>
            <w:pPr>
              <w:spacing w:after="0" w:line="252" w:lineRule="auto"/>
            </w:pPr>
            <w:r/>
            <w:r>
              <w:rPr>
                <w:rFonts w:ascii="Calibri" w:hAnsi="Calibri"/>
                <w:b w:val="0"/>
                <w:color w:val="152238"/>
                <w:sz w:val="16"/>
              </w:rPr>
              <w:t>10 injected events must fall in recovered 68% ensemble interval</w:t>
            </w:r>
          </w:p>
        </w:tc>
        <w:tc>
          <w:tcPr>
            <w:tcW w:type="dxa" w:w="2760"/>
            <w:tcMar>
              <w:top w:w="80" w:type="dxa"/>
              <w:bottom w:w="80" w:type="dxa"/>
              <w:start w:w="120" w:type="dxa"/>
              <w:end w:w="120" w:type="dxa"/>
            </w:tcMar>
            <w:vAlign w:val="center"/>
          </w:tcPr>
          <w:p>
            <w:pPr>
              <w:spacing w:after="0" w:line="252" w:lineRule="auto"/>
            </w:pPr>
            <w:r/>
            <w:r>
              <w:rPr>
                <w:rFonts w:ascii="Calibri" w:hAnsi="Calibri"/>
                <w:b w:val="0"/>
                <w:color w:val="152238"/>
                <w:sz w:val="16"/>
              </w:rPr>
              <w:t>Yes: [6.85, 14.28]</w:t>
            </w:r>
          </w:p>
        </w:tc>
      </w:tr>
      <w:tr>
        <w:trPr>
          <w:cantSplit/>
        </w:trPr>
        <w:tc>
          <w:tcPr>
            <w:tcW w:type="dxa" w:w="14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XENONnT</w:t>
            </w:r>
          </w:p>
        </w:tc>
        <w:tc>
          <w:tcPr>
            <w:tcW w:type="dxa" w:w="52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Absolute residual &lt;=30% for 5, 6, 8, 10, 12 GeV</w:t>
            </w:r>
          </w:p>
        </w:tc>
        <w:tc>
          <w:tcPr>
            <w:tcW w:type="dxa" w:w="27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Yes: maximum 22.85%</w:t>
            </w:r>
          </w:p>
        </w:tc>
      </w:tr>
      <w:tr>
        <w:trPr>
          <w:cantSplit/>
        </w:trPr>
        <w:tc>
          <w:tcPr>
            <w:tcW w:type="dxa" w:w="1400"/>
            <w:tcMar>
              <w:top w:w="80" w:type="dxa"/>
              <w:bottom w:w="80" w:type="dxa"/>
              <w:start w:w="120" w:type="dxa"/>
              <w:end w:w="120" w:type="dxa"/>
            </w:tcMar>
            <w:vAlign w:val="center"/>
          </w:tcPr>
          <w:p>
            <w:pPr>
              <w:spacing w:after="0" w:line="252" w:lineRule="auto"/>
            </w:pPr>
            <w:r/>
            <w:r>
              <w:rPr>
                <w:rFonts w:ascii="Calibri" w:hAnsi="Calibri"/>
                <w:b w:val="0"/>
                <w:color w:val="152238"/>
                <w:sz w:val="16"/>
              </w:rPr>
              <w:t>DUNE</w:t>
            </w:r>
          </w:p>
        </w:tc>
        <w:tc>
          <w:tcPr>
            <w:tcW w:type="dxa" w:w="5200"/>
            <w:tcMar>
              <w:top w:w="80" w:type="dxa"/>
              <w:bottom w:w="80" w:type="dxa"/>
              <w:start w:w="120" w:type="dxa"/>
              <w:end w:w="120" w:type="dxa"/>
            </w:tcMar>
            <w:vAlign w:val="center"/>
          </w:tcPr>
          <w:p>
            <w:pPr>
              <w:spacing w:after="0" w:line="252" w:lineRule="auto"/>
            </w:pPr>
            <w:r/>
            <w:r>
              <w:rPr>
                <w:rFonts w:ascii="Calibri" w:hAnsi="Calibri"/>
                <w:b w:val="0"/>
                <w:color w:val="152238"/>
                <w:sz w:val="16"/>
              </w:rPr>
              <w:t>max ||S^dagger S-I||_infinity &lt; 1e-12</w:t>
            </w:r>
          </w:p>
        </w:tc>
        <w:tc>
          <w:tcPr>
            <w:tcW w:type="dxa" w:w="2760"/>
            <w:tcMar>
              <w:top w:w="80" w:type="dxa"/>
              <w:bottom w:w="80" w:type="dxa"/>
              <w:start w:w="120" w:type="dxa"/>
              <w:end w:w="120" w:type="dxa"/>
            </w:tcMar>
            <w:vAlign w:val="center"/>
          </w:tcPr>
          <w:p>
            <w:pPr>
              <w:spacing w:after="0" w:line="252" w:lineRule="auto"/>
            </w:pPr>
            <w:r/>
            <w:r>
              <w:rPr>
                <w:rFonts w:ascii="Calibri" w:hAnsi="Calibri"/>
                <w:b w:val="0"/>
                <w:color w:val="152238"/>
                <w:sz w:val="16"/>
              </w:rPr>
              <w:t>Yes: 2.44e-15</w:t>
            </w:r>
          </w:p>
        </w:tc>
      </w:tr>
    </w:tbl>
    <w:p>
      <w:pPr>
        <w:spacing w:after="0"/>
      </w:pPr>
    </w:p>
    <w:p>
      <w:pPr>
        <w:pStyle w:val="Heading2"/>
      </w:pPr>
      <w:r>
        <w:t>2.4 Reproduction command</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shd w:fill="F5F7FA"/>
            <w:tcMar>
              <w:top w:w="80" w:type="dxa"/>
              <w:bottom w:w="80" w:type="dxa"/>
              <w:start w:w="120" w:type="dxa"/>
              <w:end w:w="120" w:type="dxa"/>
            </w:tcMar>
            <w:vAlign w:val="center"/>
          </w:tcPr>
          <w:p>
            <w:pPr>
              <w:spacing w:after="0"/>
            </w:pPr>
            <w:r>
              <w:rPr>
                <w:rFonts w:ascii="DejaVu Sans Mono" w:hAnsi="DejaVu Sans Mono"/>
                <w:color w:val="152238"/>
                <w:sz w:val="16"/>
              </w:rPr>
              <w:t>python3 -m venv .venv</w:t>
            </w:r>
            <w:r>
              <w:br/>
            </w:r>
            <w:r>
              <w:rPr>
                <w:rFonts w:ascii="DejaVu Sans Mono" w:hAnsi="DejaVu Sans Mono"/>
                <w:color w:val="152238"/>
                <w:sz w:val="16"/>
              </w:rPr>
              <w:t>. .venv/bin/activate</w:t>
            </w:r>
            <w:r>
              <w:br/>
            </w:r>
            <w:r>
              <w:rPr>
                <w:rFonts w:ascii="DejaVu Sans Mono" w:hAnsi="DejaVu Sans Mono"/>
                <w:color w:val="152238"/>
                <w:sz w:val="16"/>
              </w:rPr>
              <w:t>python -m pip install -r requirements.txt</w:t>
            </w:r>
            <w:r>
              <w:br/>
            </w:r>
            <w:r>
              <w:rPr>
                <w:rFonts w:ascii="DejaVu Sans Mono" w:hAnsi="DejaVu Sans Mono"/>
                <w:color w:val="152238"/>
                <w:sz w:val="16"/>
              </w:rPr>
              <w:t>sha256sum -c SHA256SUMS.txt</w:t>
            </w:r>
            <w:r>
              <w:br/>
            </w:r>
            <w:r>
              <w:rPr>
                <w:rFonts w:ascii="DejaVu Sans Mono" w:hAnsi="DejaVu Sans Mono"/>
                <w:color w:val="152238"/>
                <w:sz w:val="16"/>
              </w:rPr>
              <w:t>python run_validation.py --data-root data --output-dir results_reproduced</w:t>
            </w:r>
          </w:p>
        </w:tc>
      </w:tr>
    </w:tbl>
    <w:p>
      <w:pPr>
        <w:spacing w:after="0"/>
      </w:pPr>
    </w:p>
    <w:p>
      <w:r>
        <w:t>The companion archive includes the exact public input subset, analysis code, environment pins, source manifest, checksums, reference JSON/CSV values, and figures. A reproduction is numerically successful when the JSON/CSV values match within ordinary floating-point tolerance. PNG binary identity is not required because renderer metadata can vary.</w:t>
      </w:r>
    </w:p>
    <w:p>
      <w:r>
        <w:br w:type="page"/>
      </w:r>
    </w:p>
    <w:p>
      <w:pPr>
        <w:spacing w:after="20"/>
      </w:pPr>
      <w:r>
        <w:rPr>
          <w:b/>
          <w:color w:val="2E74B5"/>
          <w:sz w:val="17"/>
        </w:rPr>
        <w:t>DOSSIER D02</w:t>
      </w:r>
    </w:p>
    <w:p>
      <w:pPr>
        <w:pStyle w:val="Heading1"/>
        <w:pBdr>
          <w:bottom w:val="single" w:sz="10" w:space="1" w:color="2E74B5"/>
        </w:pBdr>
      </w:pPr>
      <w:r>
        <w:t>3. GWOSC validation: GW150914 timing</w:t>
      </w:r>
    </w:p>
    <w:p>
      <w:pPr>
        <w:pStyle w:val="Heading2"/>
      </w:pPr>
      <w:r>
        <w:t>3.1 Public input and scientific question</w:t>
      </w:r>
    </w:p>
    <w:p>
      <w:r>
        <w:t>The test uses the 32 s, 4096 Hz Hanford (H1) and Livingston (L1) strain files for GW150914-v3. Each detector contributes 131,072 samples. GWOSC reports that the signal reached H1 6.9 ms after L1, with a -0.4/+0.5 ms interval. The executable question is whether a transparent whitening, band-pass, and cross-correlation pipeline recovers that detector-baseline delay and whether the recovered lag changes across broad frequency subbands.</w:t>
      </w:r>
    </w:p>
    <w:p>
      <w:pPr>
        <w:spacing w:after="20"/>
        <w:jc w:val="center"/>
      </w:pPr>
      <w:r>
        <w:drawing>
          <wp:inline xmlns:a="http://schemas.openxmlformats.org/drawingml/2006/main" xmlns:pic="http://schemas.openxmlformats.org/drawingml/2006/picture">
            <wp:extent cx="5577840" cy="446405"/>
            <wp:docPr id="4" name="Picture 4" title="eq_dispersion" descr="END dispersion E squared equals p squared c squared plus A alpha p to alpha c to alpha; timing fit tau of f equals tau zero plus beta times log of f over 100 hertz."/>
            <wp:cNvGraphicFramePr>
              <a:graphicFrameLocks noChangeAspect="1"/>
            </wp:cNvGraphicFramePr>
            <a:graphic>
              <a:graphicData uri="http://schemas.openxmlformats.org/drawingml/2006/picture">
                <pic:pic>
                  <pic:nvPicPr>
                    <pic:cNvPr id="0" name="eq_dispersion.png"/>
                    <pic:cNvPicPr/>
                  </pic:nvPicPr>
                  <pic:blipFill>
                    <a:blip r:embed="rId14"/>
                    <a:stretch>
                      <a:fillRect/>
                    </a:stretch>
                  </pic:blipFill>
                  <pic:spPr>
                    <a:xfrm>
                      <a:off x="0" y="0"/>
                      <a:ext cx="5577840" cy="446405"/>
                    </a:xfrm>
                    <a:prstGeom prst="rect"/>
                  </pic:spPr>
                </pic:pic>
              </a:graphicData>
            </a:graphic>
          </wp:inline>
        </w:drawing>
      </w:r>
    </w:p>
    <w:p>
      <w:pPr>
        <w:spacing w:after="160"/>
        <w:jc w:val="center"/>
      </w:pPr>
      <w:r>
        <w:rPr>
          <w:i/>
          <w:color w:val="5B6573"/>
          <w:sz w:val="17"/>
        </w:rPr>
        <w:t>Equation 4. END's D02 dispersion ansatz and this study's detector-level phenomenological timing fit.</w:t>
      </w:r>
    </w:p>
    <w:p>
      <w:pPr>
        <w:pStyle w:val="Heading2"/>
      </w:pPr>
      <w:r>
        <w:t>3.2 Signal processing</w:t>
      </w:r>
    </w:p>
    <w:p>
      <w:pPr>
        <w:spacing w:after="60"/>
        <w:ind w:left="403" w:hanging="317"/>
      </w:pPr>
      <w:r>
        <w:rPr>
          <w:b/>
        </w:rPr>
        <w:t xml:space="preserve">1.  </w:t>
      </w:r>
      <w:r>
        <w:t>Estimate a median Welch power spectral density from off-source strain, excluding +/-0.5 s around the event.</w:t>
      </w:r>
    </w:p>
    <w:p>
      <w:pPr>
        <w:spacing w:after="60"/>
        <w:ind w:left="403" w:hanging="317"/>
      </w:pPr>
      <w:r>
        <w:rPr>
          <w:b/>
        </w:rPr>
        <w:t xml:space="preserve">2.  </w:t>
      </w:r>
      <w:r>
        <w:t>Whiten the complete strain records in the frequency domain.</w:t>
      </w:r>
    </w:p>
    <w:p>
      <w:pPr>
        <w:spacing w:after="60"/>
        <w:ind w:left="403" w:hanging="317"/>
      </w:pPr>
      <w:r>
        <w:rPr>
          <w:b/>
        </w:rPr>
        <w:t xml:space="preserve">3.  </w:t>
      </w:r>
      <w:r>
        <w:t>Apply fourth-order zero-phase Butterworth band passes: 35-350, 35-70, 70-120, 120-200, and 200-350 Hz.</w:t>
      </w:r>
    </w:p>
    <w:p>
      <w:pPr>
        <w:spacing w:after="60"/>
        <w:ind w:left="403" w:hanging="317"/>
      </w:pPr>
      <w:r>
        <w:rPr>
          <w:b/>
        </w:rPr>
        <w:t xml:space="preserve">4.  </w:t>
      </w:r>
      <w:r>
        <w:t>Extract a 0.12 s event window and maximize the normalized H1 versus sign-reversed L1 cross-correlation over +/-15 ms.</w:t>
      </w:r>
    </w:p>
    <w:p>
      <w:pPr>
        <w:spacing w:after="60"/>
        <w:ind w:left="403" w:hanging="317"/>
      </w:pPr>
      <w:r>
        <w:rPr>
          <w:b/>
        </w:rPr>
        <w:t xml:space="preserve">5.  </w:t>
      </w:r>
      <w:r>
        <w:t>For each band, inject an average aligned signal proxy into independent off-source windows 500 times; use the recovered timing spread, with a one-sample floor, in a weighted log-frequency fit.</w:t>
      </w:r>
    </w:p>
    <w:p>
      <w:pPr>
        <w:pStyle w:val="Heading2"/>
      </w:pPr>
      <w:r>
        <w:t>3.3 Results</w:t>
      </w:r>
    </w:p>
    <w:tbl>
      <w:tblPr>
        <w:tblStyle w:val="TableGrid"/>
        <w:tblW w:type="dxa" w:w="9360"/>
        <w:jc w:val="center"/>
        <w:tblLayout w:type="fixed"/>
        <w:tblLook w:firstColumn="1" w:firstRow="1" w:lastColumn="0" w:lastRow="0" w:noHBand="0" w:noVBand="1" w:val="04A0"/>
        <w:tblInd w:w="120" w:type="dxa"/>
      </w:tblPr>
      <w:tblGrid>
        <w:gridCol w:w="4200"/>
        <w:gridCol w:w="5160"/>
      </w:tblGrid>
      <w:tr>
        <w:trPr>
          <w:tblHeader w:val="true"/>
          <w:cantSplit/>
        </w:trPr>
        <w:tc>
          <w:tcPr>
            <w:tcW w:type="dxa" w:w="4200"/>
            <w:shd w:fill="E8EEF5"/>
            <w:tcMar>
              <w:top w:w="80" w:type="dxa"/>
              <w:bottom w:w="80" w:type="dxa"/>
              <w:start w:w="120" w:type="dxa"/>
              <w:end w:w="120" w:type="dxa"/>
            </w:tcMar>
            <w:vAlign w:val="center"/>
          </w:tcPr>
          <w:p>
            <w:pPr>
              <w:spacing w:after="0" w:line="252" w:lineRule="auto"/>
            </w:pPr>
            <w:r/>
            <w:r>
              <w:rPr>
                <w:rFonts w:ascii="Calibri" w:hAnsi="Calibri"/>
                <w:b/>
                <w:color w:val="1F4E79"/>
                <w:sz w:val="17"/>
              </w:rPr>
              <w:t>Quantity</w:t>
            </w:r>
          </w:p>
        </w:tc>
        <w:tc>
          <w:tcPr>
            <w:tcW w:type="dxa" w:w="5160"/>
            <w:shd w:fill="E8EEF5"/>
            <w:tcMar>
              <w:top w:w="80" w:type="dxa"/>
              <w:bottom w:w="80" w:type="dxa"/>
              <w:start w:w="120" w:type="dxa"/>
              <w:end w:w="120" w:type="dxa"/>
            </w:tcMar>
            <w:vAlign w:val="center"/>
          </w:tcPr>
          <w:p>
            <w:pPr>
              <w:spacing w:after="0" w:line="252" w:lineRule="auto"/>
            </w:pPr>
            <w:r/>
            <w:r>
              <w:rPr>
                <w:rFonts w:ascii="Calibri" w:hAnsi="Calibri"/>
                <w:b/>
                <w:color w:val="1F4E79"/>
                <w:sz w:val="17"/>
              </w:rPr>
              <w:t>Result</w:t>
            </w:r>
          </w:p>
        </w:tc>
      </w:tr>
      <w:tr>
        <w:trPr>
          <w:cantSplit/>
        </w:trPr>
        <w:tc>
          <w:tcPr>
            <w:tcW w:type="dxa" w:w="4200"/>
            <w:tcMar>
              <w:top w:w="80" w:type="dxa"/>
              <w:bottom w:w="80" w:type="dxa"/>
              <w:start w:w="120" w:type="dxa"/>
              <w:end w:w="120" w:type="dxa"/>
            </w:tcMar>
            <w:vAlign w:val="center"/>
          </w:tcPr>
          <w:p>
            <w:pPr>
              <w:spacing w:after="0" w:line="252" w:lineRule="auto"/>
            </w:pPr>
            <w:r/>
            <w:r>
              <w:rPr>
                <w:rFonts w:ascii="Calibri" w:hAnsi="Calibri"/>
                <w:b w:val="0"/>
                <w:color w:val="152238"/>
                <w:sz w:val="17"/>
              </w:rPr>
              <w:t>Broad-band lag</w:t>
            </w:r>
          </w:p>
        </w:tc>
        <w:tc>
          <w:tcPr>
            <w:tcW w:type="dxa" w:w="5160"/>
            <w:tcMar>
              <w:top w:w="80" w:type="dxa"/>
              <w:bottom w:w="80" w:type="dxa"/>
              <w:start w:w="120" w:type="dxa"/>
              <w:end w:w="120" w:type="dxa"/>
            </w:tcMar>
            <w:vAlign w:val="center"/>
          </w:tcPr>
          <w:p>
            <w:pPr>
              <w:spacing w:after="0" w:line="252" w:lineRule="auto"/>
            </w:pPr>
            <w:r/>
            <w:r>
              <w:rPr>
                <w:rFonts w:ascii="Calibri" w:hAnsi="Calibri"/>
                <w:b w:val="0"/>
                <w:color w:val="152238"/>
                <w:sz w:val="17"/>
              </w:rPr>
              <w:t>7.324219 ms</w:t>
            </w:r>
          </w:p>
        </w:tc>
      </w:tr>
      <w:tr>
        <w:trPr>
          <w:cantSplit/>
        </w:trPr>
        <w:tc>
          <w:tcPr>
            <w:tcW w:type="dxa" w:w="42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Published interval</w:t>
            </w:r>
          </w:p>
        </w:tc>
        <w:tc>
          <w:tcPr>
            <w:tcW w:type="dxa" w:w="51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6.5-7.4 ms</w:t>
            </w:r>
          </w:p>
        </w:tc>
      </w:tr>
      <w:tr>
        <w:trPr>
          <w:cantSplit/>
        </w:trPr>
        <w:tc>
          <w:tcPr>
            <w:tcW w:type="dxa" w:w="4200"/>
            <w:tcMar>
              <w:top w:w="80" w:type="dxa"/>
              <w:bottom w:w="80" w:type="dxa"/>
              <w:start w:w="120" w:type="dxa"/>
              <w:end w:w="120" w:type="dxa"/>
            </w:tcMar>
            <w:vAlign w:val="center"/>
          </w:tcPr>
          <w:p>
            <w:pPr>
              <w:spacing w:after="0" w:line="252" w:lineRule="auto"/>
            </w:pPr>
            <w:r/>
            <w:r>
              <w:rPr>
                <w:rFonts w:ascii="Calibri" w:hAnsi="Calibri"/>
                <w:b w:val="0"/>
                <w:color w:val="152238"/>
                <w:sz w:val="17"/>
              </w:rPr>
              <w:t>Interval decision</w:t>
            </w:r>
          </w:p>
        </w:tc>
        <w:tc>
          <w:tcPr>
            <w:tcW w:type="dxa" w:w="5160"/>
            <w:tcMar>
              <w:top w:w="80" w:type="dxa"/>
              <w:bottom w:w="80" w:type="dxa"/>
              <w:start w:w="120" w:type="dxa"/>
              <w:end w:w="120" w:type="dxa"/>
            </w:tcMar>
            <w:vAlign w:val="center"/>
          </w:tcPr>
          <w:p>
            <w:pPr>
              <w:spacing w:after="0" w:line="252" w:lineRule="auto"/>
            </w:pPr>
            <w:r/>
            <w:r>
              <w:rPr>
                <w:rFonts w:ascii="Calibri" w:hAnsi="Calibri"/>
                <w:b w:val="0"/>
                <w:color w:val="152238"/>
                <w:sz w:val="17"/>
              </w:rPr>
              <w:t>Inside published interval</w:t>
            </w:r>
          </w:p>
        </w:tc>
      </w:tr>
      <w:tr>
        <w:trPr>
          <w:cantSplit/>
        </w:trPr>
        <w:tc>
          <w:tcPr>
            <w:tcW w:type="dxa" w:w="42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Log-frequency slope beta</w:t>
            </w:r>
          </w:p>
        </w:tc>
        <w:tc>
          <w:tcPr>
            <w:tcW w:type="dxa" w:w="51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-0.226 +/- 0.263 ms</w:t>
            </w:r>
          </w:p>
        </w:tc>
      </w:tr>
      <w:tr>
        <w:trPr>
          <w:cantSplit/>
        </w:trPr>
        <w:tc>
          <w:tcPr>
            <w:tcW w:type="dxa" w:w="4200"/>
            <w:tcMar>
              <w:top w:w="80" w:type="dxa"/>
              <w:bottom w:w="80" w:type="dxa"/>
              <w:start w:w="120" w:type="dxa"/>
              <w:end w:w="120" w:type="dxa"/>
            </w:tcMar>
            <w:vAlign w:val="center"/>
          </w:tcPr>
          <w:p>
            <w:pPr>
              <w:spacing w:after="0" w:line="252" w:lineRule="auto"/>
            </w:pPr>
            <w:r/>
            <w:r>
              <w:rPr>
                <w:rFonts w:ascii="Calibri" w:hAnsi="Calibri"/>
                <w:b w:val="0"/>
                <w:color w:val="152238"/>
                <w:sz w:val="17"/>
              </w:rPr>
              <w:t>Slope z score</w:t>
            </w:r>
          </w:p>
        </w:tc>
        <w:tc>
          <w:tcPr>
            <w:tcW w:type="dxa" w:w="5160"/>
            <w:tcMar>
              <w:top w:w="80" w:type="dxa"/>
              <w:bottom w:w="80" w:type="dxa"/>
              <w:start w:w="120" w:type="dxa"/>
              <w:end w:w="120" w:type="dxa"/>
            </w:tcMar>
            <w:vAlign w:val="center"/>
          </w:tcPr>
          <w:p>
            <w:pPr>
              <w:spacing w:after="0" w:line="252" w:lineRule="auto"/>
            </w:pPr>
            <w:r/>
            <w:r>
              <w:rPr>
                <w:rFonts w:ascii="Calibri" w:hAnsi="Calibri"/>
                <w:b w:val="0"/>
                <w:color w:val="152238"/>
                <w:sz w:val="17"/>
              </w:rPr>
              <w:t>-0.860</w:t>
            </w:r>
          </w:p>
        </w:tc>
      </w:tr>
      <w:tr>
        <w:trPr>
          <w:cantSplit/>
        </w:trPr>
        <w:tc>
          <w:tcPr>
            <w:tcW w:type="dxa" w:w="42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Weighted fit</w:t>
            </w:r>
          </w:p>
        </w:tc>
        <w:tc>
          <w:tcPr>
            <w:tcW w:type="dxa" w:w="51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chi-square = 1.491 for 2 dof</w:t>
            </w:r>
          </w:p>
        </w:tc>
      </w:tr>
      <w:tr>
        <w:trPr>
          <w:cantSplit/>
        </w:trPr>
        <w:tc>
          <w:tcPr>
            <w:tcW w:type="dxa" w:w="4200"/>
            <w:tcMar>
              <w:top w:w="80" w:type="dxa"/>
              <w:bottom w:w="80" w:type="dxa"/>
              <w:start w:w="120" w:type="dxa"/>
              <w:end w:w="120" w:type="dxa"/>
            </w:tcMar>
            <w:vAlign w:val="center"/>
          </w:tcPr>
          <w:p>
            <w:pPr>
              <w:spacing w:after="0" w:line="252" w:lineRule="auto"/>
            </w:pPr>
            <w:r/>
            <w:r>
              <w:rPr>
                <w:rFonts w:ascii="Calibri" w:hAnsi="Calibri"/>
                <w:b w:val="0"/>
                <w:color w:val="152238"/>
                <w:sz w:val="17"/>
              </w:rPr>
              <w:t>Native timing grid</w:t>
            </w:r>
          </w:p>
        </w:tc>
        <w:tc>
          <w:tcPr>
            <w:tcW w:type="dxa" w:w="5160"/>
            <w:tcMar>
              <w:top w:w="80" w:type="dxa"/>
              <w:bottom w:w="80" w:type="dxa"/>
              <w:start w:w="120" w:type="dxa"/>
              <w:end w:w="120" w:type="dxa"/>
            </w:tcMar>
            <w:vAlign w:val="center"/>
          </w:tcPr>
          <w:p>
            <w:pPr>
              <w:spacing w:after="0" w:line="252" w:lineRule="auto"/>
            </w:pPr>
            <w:r/>
            <w:r>
              <w:rPr>
                <w:rFonts w:ascii="Calibri" w:hAnsi="Calibri"/>
                <w:b w:val="0"/>
                <w:color w:val="152238"/>
                <w:sz w:val="17"/>
              </w:rPr>
              <w:t>0.244141 ms/sample</w:t>
            </w:r>
          </w:p>
        </w:tc>
      </w:tr>
    </w:tbl>
    <w:p>
      <w:pPr>
        <w:spacing w:after="0"/>
      </w:pPr>
    </w:p>
    <w:p>
      <w:pPr>
        <w:spacing w:after="40"/>
        <w:jc w:val="center"/>
      </w:pPr>
      <w:r>
        <w:drawing>
          <wp:inline xmlns:a="http://schemas.openxmlformats.org/drawingml/2006/main" xmlns:pic="http://schemas.openxmlformats.org/drawingml/2006/picture">
            <wp:extent cx="5806440" cy="2315043"/>
            <wp:docPr id="5" name="Picture 5" title="figure_gwosc_timing" descr="Figure 1. GW150914 cross-correlation and subband timing. The shaded interval is the published H1-relative delay range."/>
            <wp:cNvGraphicFramePr>
              <a:graphicFrameLocks noChangeAspect="1"/>
            </wp:cNvGraphicFramePr>
            <a:graphic>
              <a:graphicData uri="http://schemas.openxmlformats.org/drawingml/2006/picture">
                <pic:pic>
                  <pic:nvPicPr>
                    <pic:cNvPr id="0" name="figure_gwosc_timing.png"/>
                    <pic:cNvPicPr/>
                  </pic:nvPicPr>
                  <pic:blipFill>
                    <a:blip r:embed="rId15"/>
                    <a:stretch>
                      <a:fillRect/>
                    </a:stretch>
                  </pic:blipFill>
                  <pic:spPr>
                    <a:xfrm>
                      <a:off x="0" y="0"/>
                      <a:ext cx="5806440" cy="2315043"/>
                    </a:xfrm>
                    <a:prstGeom prst="rect"/>
                  </pic:spPr>
                </pic:pic>
              </a:graphicData>
            </a:graphic>
          </wp:inline>
        </w:drawing>
      </w:r>
    </w:p>
    <w:p>
      <w:pPr>
        <w:pStyle w:val="Caption"/>
        <w:spacing w:after="140"/>
        <w:jc w:val="center"/>
      </w:pPr>
      <w:r>
        <w:t>Figure 1. GW150914 cross-correlation and subband timing. The shaded interval is the published H1-relative delay range.</w:t>
      </w:r>
    </w:p>
    <w:p>
      <w:pPr>
        <w:pStyle w:val="Heading2"/>
      </w:pPr>
      <w:r>
        <w:t>3.4 Subband audit</w:t>
      </w:r>
    </w:p>
    <w:tbl>
      <w:tblPr>
        <w:tblStyle w:val="TableGrid"/>
        <w:tblW w:type="dxa" w:w="9360"/>
        <w:jc w:val="center"/>
        <w:tblLayout w:type="fixed"/>
        <w:tblLook w:firstColumn="1" w:firstRow="1" w:lastColumn="0" w:lastRow="0" w:noHBand="0" w:noVBand="1" w:val="04A0"/>
        <w:tblInd w:w="120" w:type="dxa"/>
      </w:tblPr>
      <w:tblGrid>
        <w:gridCol w:w="1700"/>
        <w:gridCol w:w="2100"/>
        <w:gridCol w:w="2000"/>
        <w:gridCol w:w="3560"/>
      </w:tblGrid>
      <w:tr>
        <w:trPr>
          <w:tblHeader w:val="true"/>
          <w:cantSplit/>
        </w:trPr>
        <w:tc>
          <w:tcPr>
            <w:tcW w:type="dxa" w:w="17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Band [Hz]</w:t>
            </w:r>
          </w:p>
        </w:tc>
        <w:tc>
          <w:tcPr>
            <w:tcW w:type="dxa" w:w="21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Geometric f [Hz]</w:t>
            </w:r>
          </w:p>
        </w:tc>
        <w:tc>
          <w:tcPr>
            <w:tcW w:type="dxa" w:w="20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Lag [ms]</w:t>
            </w:r>
          </w:p>
        </w:tc>
        <w:tc>
          <w:tcPr>
            <w:tcW w:type="dxa" w:w="356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Injection 68% [ms]</w:t>
            </w:r>
          </w:p>
        </w:tc>
      </w:tr>
      <w:tr>
        <w:trPr>
          <w:cantSplit/>
        </w:trPr>
        <w:tc>
          <w:tcPr>
            <w:tcW w:type="dxa" w:w="1700"/>
            <w:tcMar>
              <w:top w:w="80" w:type="dxa"/>
              <w:bottom w:w="80" w:type="dxa"/>
              <w:start w:w="120" w:type="dxa"/>
              <w:end w:w="120" w:type="dxa"/>
            </w:tcMar>
            <w:vAlign w:val="center"/>
          </w:tcPr>
          <w:p>
            <w:pPr>
              <w:spacing w:after="0" w:line="252" w:lineRule="auto"/>
            </w:pPr>
            <w:r/>
            <w:r>
              <w:rPr>
                <w:rFonts w:ascii="Calibri" w:hAnsi="Calibri"/>
                <w:b w:val="0"/>
                <w:color w:val="152238"/>
                <w:sz w:val="16"/>
              </w:rPr>
              <w:t>35-350</w:t>
            </w:r>
          </w:p>
        </w:tc>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6"/>
              </w:rPr>
              <w:t>110.7</w:t>
            </w:r>
          </w:p>
        </w:tc>
        <w:tc>
          <w:tcPr>
            <w:tcW w:type="dxa" w:w="2000"/>
            <w:tcMar>
              <w:top w:w="80" w:type="dxa"/>
              <w:bottom w:w="80" w:type="dxa"/>
              <w:start w:w="120" w:type="dxa"/>
              <w:end w:w="120" w:type="dxa"/>
            </w:tcMar>
            <w:vAlign w:val="center"/>
          </w:tcPr>
          <w:p>
            <w:pPr>
              <w:spacing w:after="0" w:line="252" w:lineRule="auto"/>
            </w:pPr>
            <w:r/>
            <w:r>
              <w:rPr>
                <w:rFonts w:ascii="Calibri" w:hAnsi="Calibri"/>
                <w:b w:val="0"/>
                <w:color w:val="152238"/>
                <w:sz w:val="16"/>
              </w:rPr>
              <w:t>7.3242</w:t>
            </w:r>
          </w:p>
        </w:tc>
        <w:tc>
          <w:tcPr>
            <w:tcW w:type="dxa" w:w="3560"/>
            <w:tcMar>
              <w:top w:w="80" w:type="dxa"/>
              <w:bottom w:w="80" w:type="dxa"/>
              <w:start w:w="120" w:type="dxa"/>
              <w:end w:w="120" w:type="dxa"/>
            </w:tcMar>
            <w:vAlign w:val="center"/>
          </w:tcPr>
          <w:p>
            <w:pPr>
              <w:spacing w:after="0" w:line="252" w:lineRule="auto"/>
            </w:pPr>
            <w:r/>
            <w:r>
              <w:rPr>
                <w:rFonts w:ascii="Calibri" w:hAnsi="Calibri"/>
                <w:b w:val="0"/>
                <w:color w:val="152238"/>
                <w:sz w:val="16"/>
              </w:rPr>
              <w:t>[7.3242, 7.3242]</w:t>
            </w:r>
          </w:p>
        </w:tc>
      </w:tr>
      <w:tr>
        <w:trPr>
          <w:cantSplit/>
        </w:trPr>
        <w:tc>
          <w:tcPr>
            <w:tcW w:type="dxa" w:w="17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35-70</w:t>
            </w:r>
          </w:p>
        </w:tc>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49.5</w:t>
            </w:r>
          </w:p>
        </w:tc>
        <w:tc>
          <w:tcPr>
            <w:tcW w:type="dxa" w:w="20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7.5684</w:t>
            </w:r>
          </w:p>
        </w:tc>
        <w:tc>
          <w:tcPr>
            <w:tcW w:type="dxa" w:w="35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[7.0801, 8.0566]</w:t>
            </w:r>
          </w:p>
        </w:tc>
      </w:tr>
      <w:tr>
        <w:trPr>
          <w:cantSplit/>
        </w:trPr>
        <w:tc>
          <w:tcPr>
            <w:tcW w:type="dxa" w:w="1700"/>
            <w:tcMar>
              <w:top w:w="80" w:type="dxa"/>
              <w:bottom w:w="80" w:type="dxa"/>
              <w:start w:w="120" w:type="dxa"/>
              <w:end w:w="120" w:type="dxa"/>
            </w:tcMar>
            <w:vAlign w:val="center"/>
          </w:tcPr>
          <w:p>
            <w:pPr>
              <w:spacing w:after="0" w:line="252" w:lineRule="auto"/>
            </w:pPr>
            <w:r/>
            <w:r>
              <w:rPr>
                <w:rFonts w:ascii="Calibri" w:hAnsi="Calibri"/>
                <w:b w:val="0"/>
                <w:color w:val="152238"/>
                <w:sz w:val="16"/>
              </w:rPr>
              <w:t>70-120</w:t>
            </w:r>
          </w:p>
        </w:tc>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6"/>
              </w:rPr>
              <w:t>91.7</w:t>
            </w:r>
          </w:p>
        </w:tc>
        <w:tc>
          <w:tcPr>
            <w:tcW w:type="dxa" w:w="2000"/>
            <w:tcMar>
              <w:top w:w="80" w:type="dxa"/>
              <w:bottom w:w="80" w:type="dxa"/>
              <w:start w:w="120" w:type="dxa"/>
              <w:end w:w="120" w:type="dxa"/>
            </w:tcMar>
            <w:vAlign w:val="center"/>
          </w:tcPr>
          <w:p>
            <w:pPr>
              <w:spacing w:after="0" w:line="252" w:lineRule="auto"/>
            </w:pPr>
            <w:r/>
            <w:r>
              <w:rPr>
                <w:rFonts w:ascii="Calibri" w:hAnsi="Calibri"/>
                <w:b w:val="0"/>
                <w:color w:val="152238"/>
                <w:sz w:val="16"/>
              </w:rPr>
              <w:t>7.3242</w:t>
            </w:r>
          </w:p>
        </w:tc>
        <w:tc>
          <w:tcPr>
            <w:tcW w:type="dxa" w:w="3560"/>
            <w:tcMar>
              <w:top w:w="80" w:type="dxa"/>
              <w:bottom w:w="80" w:type="dxa"/>
              <w:start w:w="120" w:type="dxa"/>
              <w:end w:w="120" w:type="dxa"/>
            </w:tcMar>
            <w:vAlign w:val="center"/>
          </w:tcPr>
          <w:p>
            <w:pPr>
              <w:spacing w:after="0" w:line="252" w:lineRule="auto"/>
            </w:pPr>
            <w:r/>
            <w:r>
              <w:rPr>
                <w:rFonts w:ascii="Calibri" w:hAnsi="Calibri"/>
                <w:b w:val="0"/>
                <w:color w:val="152238"/>
                <w:sz w:val="16"/>
              </w:rPr>
              <w:t>[7.0801, 7.5684]</w:t>
            </w:r>
          </w:p>
        </w:tc>
      </w:tr>
      <w:tr>
        <w:trPr>
          <w:cantSplit/>
        </w:trPr>
        <w:tc>
          <w:tcPr>
            <w:tcW w:type="dxa" w:w="17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120-200</w:t>
            </w:r>
          </w:p>
        </w:tc>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154.9</w:t>
            </w:r>
          </w:p>
        </w:tc>
        <w:tc>
          <w:tcPr>
            <w:tcW w:type="dxa" w:w="20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7.5684</w:t>
            </w:r>
          </w:p>
        </w:tc>
        <w:tc>
          <w:tcPr>
            <w:tcW w:type="dxa" w:w="35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[7.3242, 7.8125]</w:t>
            </w:r>
          </w:p>
        </w:tc>
      </w:tr>
      <w:tr>
        <w:trPr>
          <w:cantSplit/>
        </w:trPr>
        <w:tc>
          <w:tcPr>
            <w:tcW w:type="dxa" w:w="1700"/>
            <w:tcMar>
              <w:top w:w="80" w:type="dxa"/>
              <w:bottom w:w="80" w:type="dxa"/>
              <w:start w:w="120" w:type="dxa"/>
              <w:end w:w="120" w:type="dxa"/>
            </w:tcMar>
            <w:vAlign w:val="center"/>
          </w:tcPr>
          <w:p>
            <w:pPr>
              <w:spacing w:after="0" w:line="252" w:lineRule="auto"/>
            </w:pPr>
            <w:r/>
            <w:r>
              <w:rPr>
                <w:rFonts w:ascii="Calibri" w:hAnsi="Calibri"/>
                <w:b w:val="0"/>
                <w:color w:val="152238"/>
                <w:sz w:val="16"/>
              </w:rPr>
              <w:t>200-350</w:t>
            </w:r>
          </w:p>
        </w:tc>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6"/>
              </w:rPr>
              <w:t>264.6</w:t>
            </w:r>
          </w:p>
        </w:tc>
        <w:tc>
          <w:tcPr>
            <w:tcW w:type="dxa" w:w="2000"/>
            <w:tcMar>
              <w:top w:w="80" w:type="dxa"/>
              <w:bottom w:w="80" w:type="dxa"/>
              <w:start w:w="120" w:type="dxa"/>
              <w:end w:w="120" w:type="dxa"/>
            </w:tcMar>
            <w:vAlign w:val="center"/>
          </w:tcPr>
          <w:p>
            <w:pPr>
              <w:spacing w:after="0" w:line="252" w:lineRule="auto"/>
            </w:pPr>
            <w:r/>
            <w:r>
              <w:rPr>
                <w:rFonts w:ascii="Calibri" w:hAnsi="Calibri"/>
                <w:b w:val="0"/>
                <w:color w:val="152238"/>
                <w:sz w:val="16"/>
              </w:rPr>
              <w:t>7.0801</w:t>
            </w:r>
          </w:p>
        </w:tc>
        <w:tc>
          <w:tcPr>
            <w:tcW w:type="dxa" w:w="3560"/>
            <w:tcMar>
              <w:top w:w="80" w:type="dxa"/>
              <w:bottom w:w="80" w:type="dxa"/>
              <w:start w:w="120" w:type="dxa"/>
              <w:end w:w="120" w:type="dxa"/>
            </w:tcMar>
            <w:vAlign w:val="center"/>
          </w:tcPr>
          <w:p>
            <w:pPr>
              <w:spacing w:after="0" w:line="252" w:lineRule="auto"/>
            </w:pPr>
            <w:r/>
            <w:r>
              <w:rPr>
                <w:rFonts w:ascii="Calibri" w:hAnsi="Calibri"/>
                <w:b w:val="0"/>
                <w:color w:val="152238"/>
                <w:sz w:val="16"/>
              </w:rPr>
              <w:t>[6.8359, 7.3242]</w:t>
            </w:r>
          </w:p>
        </w:tc>
      </w:tr>
    </w:tbl>
    <w:p>
      <w:pPr>
        <w:spacing w:after="0"/>
      </w:pP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shd w:fill="EAF4EE"/>
            <w:tcMar>
              <w:top w:w="80" w:type="dxa"/>
              <w:bottom w:w="80" w:type="dxa"/>
              <w:start w:w="120" w:type="dxa"/>
              <w:end w:w="120" w:type="dxa"/>
            </w:tcMar>
            <w:vAlign w:val="center"/>
          </w:tcPr>
          <w:p>
            <w:pPr>
              <w:spacing w:after="80"/>
            </w:pPr>
            <w:r>
              <w:rPr>
                <w:b/>
                <w:color w:val="26734D"/>
                <w:sz w:val="21"/>
              </w:rPr>
              <w:t>INTERPRETATION</w:t>
            </w:r>
          </w:p>
          <w:p>
            <w:pPr>
              <w:spacing w:after="0" w:line="269" w:lineRule="auto"/>
            </w:pPr>
            <w:r>
              <w:rPr>
                <w:color w:val="152238"/>
                <w:sz w:val="19"/>
              </w:rPr>
              <w:t>The known detector delay is recovered and beta is only 0.86 standard deviations from zero. This validates the timing diagnostic. It is not a constraint on A_alpha: the source distance, waveform phase model, alpha, cosmological integral, and END coefficient were not frozen for such an inference.</w:t>
            </w:r>
          </w:p>
        </w:tc>
      </w:tr>
    </w:tbl>
    <w:p>
      <w:pPr>
        <w:spacing w:after="0"/>
      </w:pPr>
    </w:p>
    <w:p>
      <w:r>
        <w:t>The broad-band injection interval collapses to one sample in this high signal-to-noise, discrete-lag estimator. This reflects sample-grid quantization, not zero physical timing uncertainty. The appropriate reported numerical resolution is 0.244 ms per sample; subband variation and the published interval provide the relevant diagnostic context.</w:t>
      </w:r>
    </w:p>
    <w:p>
      <w:r>
        <w:br w:type="page"/>
      </w:r>
    </w:p>
    <w:p>
      <w:pPr>
        <w:spacing w:after="20"/>
      </w:pPr>
      <w:r>
        <w:rPr>
          <w:b/>
          <w:color w:val="2E74B5"/>
          <w:sz w:val="17"/>
        </w:rPr>
        <w:t>DOSSIERS D03-D04</w:t>
      </w:r>
    </w:p>
    <w:p>
      <w:pPr>
        <w:pStyle w:val="Heading1"/>
        <w:pBdr>
          <w:bottom w:val="single" w:sz="10" w:space="1" w:color="2E74B5"/>
        </w:pBdr>
      </w:pPr>
      <w:r>
        <w:t>4. CERN validation: ATLAS four-lepton data</w:t>
      </w:r>
    </w:p>
    <w:p>
      <w:pPr>
        <w:pStyle w:val="Heading2"/>
      </w:pPr>
      <w:r>
        <w:t>4.1 Public input and allowed use</w:t>
      </w:r>
    </w:p>
    <w:p>
      <w:r>
        <w:t>The analysis uses the four collision-data ROOT files in CERN Open Data record 15005: ATLAS Run-2, 13 TeV, 2016, approximately 10 fb^-1, with at least four electron or muon candidates after loose preselection. The record states that this release is for educational purposes and is not suited for scientific publications. Accordingly, this section is a software, reconstruction, and likelihood standard-candle validation, not an ATLAS physics measurement and not an END discovery search.</w:t>
      </w:r>
    </w:p>
    <w:p>
      <w:pPr>
        <w:pStyle w:val="Heading2"/>
      </w:pPr>
      <w:r>
        <w:t>4.2 Frozen event selection</w:t>
      </w:r>
    </w:p>
    <w:tbl>
      <w:tblPr>
        <w:tblStyle w:val="TableGrid"/>
        <w:tblW w:type="dxa" w:w="9360"/>
        <w:jc w:val="center"/>
        <w:tblLayout w:type="fixed"/>
        <w:tblLook w:firstColumn="1" w:firstRow="1" w:lastColumn="0" w:lastRow="0" w:noHBand="0" w:noVBand="1" w:val="04A0"/>
        <w:tblInd w:w="120" w:type="dxa"/>
      </w:tblPr>
      <w:tblGrid>
        <w:gridCol w:w="2600"/>
        <w:gridCol w:w="6760"/>
      </w:tblGrid>
      <w:tr>
        <w:trPr>
          <w:tblHeader w:val="true"/>
          <w:cantSplit/>
        </w:trPr>
        <w:tc>
          <w:tcPr>
            <w:tcW w:type="dxa" w:w="26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Stage</w:t>
            </w:r>
          </w:p>
        </w:tc>
        <w:tc>
          <w:tcPr>
            <w:tcW w:type="dxa" w:w="676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Requirement</w:t>
            </w:r>
          </w:p>
        </w:tc>
      </w:tr>
      <w:tr>
        <w:trPr>
          <w:cantSplit/>
        </w:trPr>
        <w:tc>
          <w:tcPr>
            <w:tcW w:type="dxa" w:w="2600"/>
            <w:tcMar>
              <w:top w:w="80" w:type="dxa"/>
              <w:bottom w:w="80" w:type="dxa"/>
              <w:start w:w="120" w:type="dxa"/>
              <w:end w:w="120" w:type="dxa"/>
            </w:tcMar>
            <w:vAlign w:val="center"/>
          </w:tcPr>
          <w:p>
            <w:pPr>
              <w:spacing w:after="0" w:line="252" w:lineRule="auto"/>
            </w:pPr>
            <w:r/>
            <w:r>
              <w:rPr>
                <w:rFonts w:ascii="Calibri" w:hAnsi="Calibri"/>
                <w:b w:val="0"/>
                <w:color w:val="152238"/>
                <w:sz w:val="16"/>
              </w:rPr>
              <w:t>Trigger</w:t>
            </w:r>
          </w:p>
        </w:tc>
        <w:tc>
          <w:tcPr>
            <w:tcW w:type="dxa" w:w="6760"/>
            <w:tcMar>
              <w:top w:w="80" w:type="dxa"/>
              <w:bottom w:w="80" w:type="dxa"/>
              <w:start w:w="120" w:type="dxa"/>
              <w:end w:w="120" w:type="dxa"/>
            </w:tcMar>
            <w:vAlign w:val="center"/>
          </w:tcPr>
          <w:p>
            <w:pPr>
              <w:spacing w:after="0" w:line="252" w:lineRule="auto"/>
            </w:pPr>
            <w:r/>
            <w:r>
              <w:rPr>
                <w:rFonts w:ascii="Calibri" w:hAnsi="Calibri"/>
                <w:b w:val="0"/>
                <w:color w:val="152238"/>
                <w:sz w:val="16"/>
              </w:rPr>
              <w:t>trigE or trigM</w:t>
            </w:r>
          </w:p>
        </w:tc>
      </w:tr>
      <w:tr>
        <w:trPr>
          <w:cantSplit/>
        </w:trPr>
        <w:tc>
          <w:tcPr>
            <w:tcW w:type="dxa" w:w="26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Multiplicity</w:t>
            </w:r>
          </w:p>
        </w:tc>
        <w:tc>
          <w:tcPr>
            <w:tcW w:type="dxa" w:w="67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At least four stored leptons; first four used</w:t>
            </w:r>
          </w:p>
        </w:tc>
      </w:tr>
      <w:tr>
        <w:trPr>
          <w:cantSplit/>
        </w:trPr>
        <w:tc>
          <w:tcPr>
            <w:tcW w:type="dxa" w:w="2600"/>
            <w:tcMar>
              <w:top w:w="80" w:type="dxa"/>
              <w:bottom w:w="80" w:type="dxa"/>
              <w:start w:w="120" w:type="dxa"/>
              <w:end w:w="120" w:type="dxa"/>
            </w:tcMar>
            <w:vAlign w:val="center"/>
          </w:tcPr>
          <w:p>
            <w:pPr>
              <w:spacing w:after="0" w:line="252" w:lineRule="auto"/>
            </w:pPr>
            <w:r/>
            <w:r>
              <w:rPr>
                <w:rFonts w:ascii="Calibri" w:hAnsi="Calibri"/>
                <w:b w:val="0"/>
                <w:color w:val="152238"/>
                <w:sz w:val="16"/>
              </w:rPr>
              <w:t>Leading transverse momenta</w:t>
            </w:r>
          </w:p>
        </w:tc>
        <w:tc>
          <w:tcPr>
            <w:tcW w:type="dxa" w:w="6760"/>
            <w:tcMar>
              <w:top w:w="80" w:type="dxa"/>
              <w:bottom w:w="80" w:type="dxa"/>
              <w:start w:w="120" w:type="dxa"/>
              <w:end w:w="120" w:type="dxa"/>
            </w:tcMar>
            <w:vAlign w:val="center"/>
          </w:tcPr>
          <w:p>
            <w:pPr>
              <w:spacing w:after="0" w:line="252" w:lineRule="auto"/>
            </w:pPr>
            <w:r/>
            <w:r>
              <w:rPr>
                <w:rFonts w:ascii="Calibri" w:hAnsi="Calibri"/>
                <w:b w:val="0"/>
                <w:color w:val="152238"/>
                <w:sz w:val="16"/>
              </w:rPr>
              <w:t>pT1 &gt;20 GeV, pT2 &gt;15 GeV, pT3 &gt;10 GeV</w:t>
            </w:r>
          </w:p>
        </w:tc>
      </w:tr>
      <w:tr>
        <w:trPr>
          <w:cantSplit/>
        </w:trPr>
        <w:tc>
          <w:tcPr>
            <w:tcW w:type="dxa" w:w="26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Identification</w:t>
            </w:r>
          </w:p>
        </w:tc>
        <w:tc>
          <w:tcPr>
            <w:tcW w:type="dxa" w:w="67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All four pass lep_isTightID</w:t>
            </w:r>
          </w:p>
        </w:tc>
      </w:tr>
      <w:tr>
        <w:trPr>
          <w:cantSplit/>
        </w:trPr>
        <w:tc>
          <w:tcPr>
            <w:tcW w:type="dxa" w:w="2600"/>
            <w:tcMar>
              <w:top w:w="80" w:type="dxa"/>
              <w:bottom w:w="80" w:type="dxa"/>
              <w:start w:w="120" w:type="dxa"/>
              <w:end w:w="120" w:type="dxa"/>
            </w:tcMar>
            <w:vAlign w:val="center"/>
          </w:tcPr>
          <w:p>
            <w:pPr>
              <w:spacing w:after="0" w:line="252" w:lineRule="auto"/>
            </w:pPr>
            <w:r/>
            <w:r>
              <w:rPr>
                <w:rFonts w:ascii="Calibri" w:hAnsi="Calibri"/>
                <w:b w:val="0"/>
                <w:color w:val="152238"/>
                <w:sz w:val="16"/>
              </w:rPr>
              <w:t>Flavour class</w:t>
            </w:r>
          </w:p>
        </w:tc>
        <w:tc>
          <w:tcPr>
            <w:tcW w:type="dxa" w:w="6760"/>
            <w:tcMar>
              <w:top w:w="80" w:type="dxa"/>
              <w:bottom w:w="80" w:type="dxa"/>
              <w:start w:w="120" w:type="dxa"/>
              <w:end w:w="120" w:type="dxa"/>
            </w:tcMar>
            <w:vAlign w:val="center"/>
          </w:tcPr>
          <w:p>
            <w:pPr>
              <w:spacing w:after="0" w:line="252" w:lineRule="auto"/>
            </w:pPr>
            <w:r/>
            <w:r>
              <w:rPr>
                <w:rFonts w:ascii="Calibri" w:hAnsi="Calibri"/>
                <w:b w:val="0"/>
                <w:color w:val="152238"/>
                <w:sz w:val="16"/>
              </w:rPr>
              <w:t>Sum of absolute type codes is 44, 48, or 52</w:t>
            </w:r>
          </w:p>
        </w:tc>
      </w:tr>
      <w:tr>
        <w:trPr>
          <w:cantSplit/>
        </w:trPr>
        <w:tc>
          <w:tcPr>
            <w:tcW w:type="dxa" w:w="26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Charge</w:t>
            </w:r>
          </w:p>
        </w:tc>
        <w:tc>
          <w:tcPr>
            <w:tcW w:type="dxa" w:w="67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Sum of four charges equals zero</w:t>
            </w:r>
          </w:p>
        </w:tc>
      </w:tr>
      <w:tr>
        <w:trPr>
          <w:cantSplit/>
        </w:trPr>
        <w:tc>
          <w:tcPr>
            <w:tcW w:type="dxa" w:w="2600"/>
            <w:tcMar>
              <w:top w:w="80" w:type="dxa"/>
              <w:bottom w:w="80" w:type="dxa"/>
              <w:start w:w="120" w:type="dxa"/>
              <w:end w:w="120" w:type="dxa"/>
            </w:tcMar>
            <w:vAlign w:val="center"/>
          </w:tcPr>
          <w:p>
            <w:pPr>
              <w:spacing w:after="0" w:line="252" w:lineRule="auto"/>
            </w:pPr>
            <w:r/>
            <w:r>
              <w:rPr>
                <w:rFonts w:ascii="Calibri" w:hAnsi="Calibri"/>
                <w:b w:val="0"/>
                <w:color w:val="152238"/>
                <w:sz w:val="16"/>
              </w:rPr>
              <w:t>Isolation</w:t>
            </w:r>
          </w:p>
        </w:tc>
        <w:tc>
          <w:tcPr>
            <w:tcW w:type="dxa" w:w="6760"/>
            <w:tcMar>
              <w:top w:w="80" w:type="dxa"/>
              <w:bottom w:w="80" w:type="dxa"/>
              <w:start w:w="120" w:type="dxa"/>
              <w:end w:w="120" w:type="dxa"/>
            </w:tcMar>
            <w:vAlign w:val="center"/>
          </w:tcPr>
          <w:p>
            <w:pPr>
              <w:spacing w:after="0" w:line="252" w:lineRule="auto"/>
            </w:pPr>
            <w:r/>
            <w:r>
              <w:rPr>
                <w:rFonts w:ascii="Calibri" w:hAnsi="Calibri"/>
                <w:b w:val="0"/>
                <w:color w:val="152238"/>
                <w:sz w:val="16"/>
              </w:rPr>
              <w:t>ptcone30/pT &lt;0.30 and etcone20/pT &lt;0.30 for every lepton</w:t>
            </w:r>
          </w:p>
        </w:tc>
      </w:tr>
      <w:tr>
        <w:trPr>
          <w:cantSplit/>
        </w:trPr>
        <w:tc>
          <w:tcPr>
            <w:tcW w:type="dxa" w:w="26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Fit window</w:t>
            </w:r>
          </w:p>
        </w:tc>
        <w:tc>
          <w:tcPr>
            <w:tcW w:type="dxa" w:w="67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105 &lt;= m4l &lt;160 GeV in 2.5 GeV bins</w:t>
            </w:r>
          </w:p>
        </w:tc>
      </w:tr>
    </w:tbl>
    <w:p>
      <w:pPr>
        <w:spacing w:after="0"/>
      </w:pPr>
    </w:p>
    <w:p>
      <w:r>
        <w:t>The invariant mass follows m4l^2 = (sum E_i)^2 - |sum p_i|^2, with px = pT cos(phi), py = pT sin(phi), and pz = pT sinh(eta). The fit uses a unit-normalized Gaussian signal at 125 GeV with sigma = 2.5 GeV and a unit-normalized exponential background. Only the signal yield, background yield, and exponential slope are profiled.</w:t>
      </w:r>
    </w:p>
    <w:p>
      <w:pPr>
        <w:spacing w:after="20"/>
        <w:jc w:val="center"/>
      </w:pPr>
      <w:r>
        <w:drawing>
          <wp:inline xmlns:a="http://schemas.openxmlformats.org/drawingml/2006/main" xmlns:pic="http://schemas.openxmlformats.org/drawingml/2006/picture">
            <wp:extent cx="5577840" cy="446405"/>
            <wp:docPr id="6" name="Picture 6" title="eq_poisson" descr="Expected bin count nu b equals signal plus background; likelihood is a product of Poisson bin terms and nuisance constraints."/>
            <wp:cNvGraphicFramePr>
              <a:graphicFrameLocks noChangeAspect="1"/>
            </wp:cNvGraphicFramePr>
            <a:graphic>
              <a:graphicData uri="http://schemas.openxmlformats.org/drawingml/2006/picture">
                <pic:pic>
                  <pic:nvPicPr>
                    <pic:cNvPr id="0" name="eq_poisson.png"/>
                    <pic:cNvPicPr/>
                  </pic:nvPicPr>
                  <pic:blipFill>
                    <a:blip r:embed="rId12"/>
                    <a:stretch>
                      <a:fillRect/>
                    </a:stretch>
                  </pic:blipFill>
                  <pic:spPr>
                    <a:xfrm>
                      <a:off x="0" y="0"/>
                      <a:ext cx="5577840" cy="446405"/>
                    </a:xfrm>
                    <a:prstGeom prst="rect"/>
                  </pic:spPr>
                </pic:pic>
              </a:graphicData>
            </a:graphic>
          </wp:inline>
        </w:drawing>
      </w:r>
    </w:p>
    <w:p>
      <w:pPr>
        <w:spacing w:after="160"/>
        <w:jc w:val="center"/>
      </w:pPr>
      <w:r>
        <w:rPr>
          <w:i/>
          <w:color w:val="5B6573"/>
          <w:sz w:val="17"/>
        </w:rPr>
        <w:t>Equation 5. The CERN binned likelihood; in this study the signal mass and resolution are fixed before fitting.</w:t>
      </w:r>
    </w:p>
    <w:p>
      <w:pPr>
        <w:pStyle w:val="Heading2"/>
      </w:pPr>
      <w:r>
        <w:t>4.3 Cutflow and fit</w:t>
      </w:r>
    </w:p>
    <w:tbl>
      <w:tblPr>
        <w:tblStyle w:val="TableGrid"/>
        <w:tblW w:type="dxa" w:w="9360"/>
        <w:jc w:val="center"/>
        <w:tblLayout w:type="fixed"/>
        <w:tblLook w:firstColumn="1" w:firstRow="1" w:lastColumn="0" w:lastRow="0" w:noHBand="0" w:noVBand="1" w:val="04A0"/>
        <w:tblInd w:w="120" w:type="dxa"/>
      </w:tblPr>
      <w:tblGrid>
        <w:gridCol w:w="3200"/>
        <w:gridCol w:w="1600"/>
        <w:gridCol w:w="2300"/>
        <w:gridCol w:w="2260"/>
      </w:tblGrid>
      <w:tr>
        <w:trPr>
          <w:tblHeader w:val="true"/>
          <w:cantSplit/>
        </w:trPr>
        <w:tc>
          <w:tcPr>
            <w:tcW w:type="dxa" w:w="32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Stage</w:t>
            </w:r>
          </w:p>
        </w:tc>
        <w:tc>
          <w:tcPr>
            <w:tcW w:type="dxa" w:w="16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Events</w:t>
            </w:r>
          </w:p>
        </w:tc>
        <w:tc>
          <w:tcPr>
            <w:tcW w:type="dxa" w:w="23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Step efficiency</w:t>
            </w:r>
          </w:p>
        </w:tc>
        <w:tc>
          <w:tcPr>
            <w:tcW w:type="dxa" w:w="226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Cumulative</w:t>
            </w:r>
          </w:p>
        </w:tc>
      </w:tr>
      <w:tr>
        <w:trPr>
          <w:cantSplit/>
        </w:trPr>
        <w:tc>
          <w:tcPr>
            <w:tcW w:type="dxa" w:w="3200"/>
            <w:tcMar>
              <w:top w:w="80" w:type="dxa"/>
              <w:bottom w:w="80" w:type="dxa"/>
              <w:start w:w="120" w:type="dxa"/>
              <w:end w:w="120" w:type="dxa"/>
            </w:tcMar>
            <w:vAlign w:val="center"/>
          </w:tcPr>
          <w:p>
            <w:pPr>
              <w:spacing w:after="0" w:line="252" w:lineRule="auto"/>
            </w:pPr>
            <w:r/>
            <w:r>
              <w:rPr>
                <w:rFonts w:ascii="Calibri" w:hAnsi="Calibri"/>
                <w:b w:val="0"/>
                <w:color w:val="152238"/>
                <w:sz w:val="16"/>
              </w:rPr>
              <w:t>Input preselected</w:t>
            </w:r>
          </w:p>
        </w:tc>
        <w:tc>
          <w:tcPr>
            <w:tcW w:type="dxa" w:w="1600"/>
            <w:tcMar>
              <w:top w:w="80" w:type="dxa"/>
              <w:bottom w:w="80" w:type="dxa"/>
              <w:start w:w="120" w:type="dxa"/>
              <w:end w:w="120" w:type="dxa"/>
            </w:tcMar>
            <w:vAlign w:val="center"/>
          </w:tcPr>
          <w:p>
            <w:pPr>
              <w:spacing w:after="0" w:line="252" w:lineRule="auto"/>
            </w:pPr>
            <w:r/>
            <w:r>
              <w:rPr>
                <w:rFonts w:ascii="Calibri" w:hAnsi="Calibri"/>
                <w:b w:val="0"/>
                <w:color w:val="152238"/>
                <w:sz w:val="16"/>
              </w:rPr>
              <w:t>832</w:t>
            </w:r>
          </w:p>
        </w:tc>
        <w:tc>
          <w:tcPr>
            <w:tcW w:type="dxa" w:w="2300"/>
            <w:tcMar>
              <w:top w:w="80" w:type="dxa"/>
              <w:bottom w:w="80" w:type="dxa"/>
              <w:start w:w="120" w:type="dxa"/>
              <w:end w:w="120" w:type="dxa"/>
            </w:tcMar>
            <w:vAlign w:val="center"/>
          </w:tcPr>
          <w:p>
            <w:pPr>
              <w:spacing w:after="0" w:line="252" w:lineRule="auto"/>
            </w:pPr>
            <w:r/>
            <w:r>
              <w:rPr>
                <w:rFonts w:ascii="Calibri" w:hAnsi="Calibri"/>
                <w:b w:val="0"/>
                <w:color w:val="152238"/>
                <w:sz w:val="16"/>
              </w:rPr>
              <w:t>-</w:t>
            </w:r>
          </w:p>
        </w:tc>
        <w:tc>
          <w:tcPr>
            <w:tcW w:type="dxa" w:w="2260"/>
            <w:tcMar>
              <w:top w:w="80" w:type="dxa"/>
              <w:bottom w:w="80" w:type="dxa"/>
              <w:start w:w="120" w:type="dxa"/>
              <w:end w:w="120" w:type="dxa"/>
            </w:tcMar>
            <w:vAlign w:val="center"/>
          </w:tcPr>
          <w:p>
            <w:pPr>
              <w:spacing w:after="0" w:line="252" w:lineRule="auto"/>
            </w:pPr>
            <w:r/>
            <w:r>
              <w:rPr>
                <w:rFonts w:ascii="Calibri" w:hAnsi="Calibri"/>
                <w:b w:val="0"/>
                <w:color w:val="152238"/>
                <w:sz w:val="16"/>
              </w:rPr>
              <w:t>100.0%</w:t>
            </w:r>
          </w:p>
        </w:tc>
      </w:tr>
      <w:tr>
        <w:trPr>
          <w:cantSplit/>
        </w:trPr>
        <w:tc>
          <w:tcPr>
            <w:tcW w:type="dxa" w:w="32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Trigger</w:t>
            </w:r>
          </w:p>
        </w:tc>
        <w:tc>
          <w:tcPr>
            <w:tcW w:type="dxa" w:w="16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832</w:t>
            </w:r>
          </w:p>
        </w:tc>
        <w:tc>
          <w:tcPr>
            <w:tcW w:type="dxa" w:w="23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100.0%</w:t>
            </w:r>
          </w:p>
        </w:tc>
        <w:tc>
          <w:tcPr>
            <w:tcW w:type="dxa" w:w="22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100.0%</w:t>
            </w:r>
          </w:p>
        </w:tc>
      </w:tr>
      <w:tr>
        <w:trPr>
          <w:cantSplit/>
        </w:trPr>
        <w:tc>
          <w:tcPr>
            <w:tcW w:type="dxa" w:w="3200"/>
            <w:tcMar>
              <w:top w:w="80" w:type="dxa"/>
              <w:bottom w:w="80" w:type="dxa"/>
              <w:start w:w="120" w:type="dxa"/>
              <w:end w:w="120" w:type="dxa"/>
            </w:tcMar>
            <w:vAlign w:val="center"/>
          </w:tcPr>
          <w:p>
            <w:pPr>
              <w:spacing w:after="0" w:line="252" w:lineRule="auto"/>
            </w:pPr>
            <w:r/>
            <w:r>
              <w:rPr>
                <w:rFonts w:ascii="Calibri" w:hAnsi="Calibri"/>
                <w:b w:val="0"/>
                <w:color w:val="152238"/>
                <w:sz w:val="16"/>
              </w:rPr>
              <w:t>pT thresholds</w:t>
            </w:r>
          </w:p>
        </w:tc>
        <w:tc>
          <w:tcPr>
            <w:tcW w:type="dxa" w:w="1600"/>
            <w:tcMar>
              <w:top w:w="80" w:type="dxa"/>
              <w:bottom w:w="80" w:type="dxa"/>
              <w:start w:w="120" w:type="dxa"/>
              <w:end w:w="120" w:type="dxa"/>
            </w:tcMar>
            <w:vAlign w:val="center"/>
          </w:tcPr>
          <w:p>
            <w:pPr>
              <w:spacing w:after="0" w:line="252" w:lineRule="auto"/>
            </w:pPr>
            <w:r/>
            <w:r>
              <w:rPr>
                <w:rFonts w:ascii="Calibri" w:hAnsi="Calibri"/>
                <w:b w:val="0"/>
                <w:color w:val="152238"/>
                <w:sz w:val="16"/>
              </w:rPr>
              <w:t>684</w:t>
            </w:r>
          </w:p>
        </w:tc>
        <w:tc>
          <w:tcPr>
            <w:tcW w:type="dxa" w:w="2300"/>
            <w:tcMar>
              <w:top w:w="80" w:type="dxa"/>
              <w:bottom w:w="80" w:type="dxa"/>
              <w:start w:w="120" w:type="dxa"/>
              <w:end w:w="120" w:type="dxa"/>
            </w:tcMar>
            <w:vAlign w:val="center"/>
          </w:tcPr>
          <w:p>
            <w:pPr>
              <w:spacing w:after="0" w:line="252" w:lineRule="auto"/>
            </w:pPr>
            <w:r/>
            <w:r>
              <w:rPr>
                <w:rFonts w:ascii="Calibri" w:hAnsi="Calibri"/>
                <w:b w:val="0"/>
                <w:color w:val="152238"/>
                <w:sz w:val="16"/>
              </w:rPr>
              <w:t>82.2%</w:t>
            </w:r>
          </w:p>
        </w:tc>
        <w:tc>
          <w:tcPr>
            <w:tcW w:type="dxa" w:w="2260"/>
            <w:tcMar>
              <w:top w:w="80" w:type="dxa"/>
              <w:bottom w:w="80" w:type="dxa"/>
              <w:start w:w="120" w:type="dxa"/>
              <w:end w:w="120" w:type="dxa"/>
            </w:tcMar>
            <w:vAlign w:val="center"/>
          </w:tcPr>
          <w:p>
            <w:pPr>
              <w:spacing w:after="0" w:line="252" w:lineRule="auto"/>
            </w:pPr>
            <w:r/>
            <w:r>
              <w:rPr>
                <w:rFonts w:ascii="Calibri" w:hAnsi="Calibri"/>
                <w:b w:val="0"/>
                <w:color w:val="152238"/>
                <w:sz w:val="16"/>
              </w:rPr>
              <w:t>82.2%</w:t>
            </w:r>
          </w:p>
        </w:tc>
      </w:tr>
      <w:tr>
        <w:trPr>
          <w:cantSplit/>
        </w:trPr>
        <w:tc>
          <w:tcPr>
            <w:tcW w:type="dxa" w:w="32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Tight ID</w:t>
            </w:r>
          </w:p>
        </w:tc>
        <w:tc>
          <w:tcPr>
            <w:tcW w:type="dxa" w:w="16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320</w:t>
            </w:r>
          </w:p>
        </w:tc>
        <w:tc>
          <w:tcPr>
            <w:tcW w:type="dxa" w:w="23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46.8%</w:t>
            </w:r>
          </w:p>
        </w:tc>
        <w:tc>
          <w:tcPr>
            <w:tcW w:type="dxa" w:w="22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38.5%</w:t>
            </w:r>
          </w:p>
        </w:tc>
      </w:tr>
      <w:tr>
        <w:trPr>
          <w:cantSplit/>
        </w:trPr>
        <w:tc>
          <w:tcPr>
            <w:tcW w:type="dxa" w:w="3200"/>
            <w:tcMar>
              <w:top w:w="80" w:type="dxa"/>
              <w:bottom w:w="80" w:type="dxa"/>
              <w:start w:w="120" w:type="dxa"/>
              <w:end w:w="120" w:type="dxa"/>
            </w:tcMar>
            <w:vAlign w:val="center"/>
          </w:tcPr>
          <w:p>
            <w:pPr>
              <w:spacing w:after="0" w:line="252" w:lineRule="auto"/>
            </w:pPr>
            <w:r/>
            <w:r>
              <w:rPr>
                <w:rFonts w:ascii="Calibri" w:hAnsi="Calibri"/>
                <w:b w:val="0"/>
                <w:color w:val="152238"/>
                <w:sz w:val="16"/>
              </w:rPr>
              <w:t>Flavour class</w:t>
            </w:r>
          </w:p>
        </w:tc>
        <w:tc>
          <w:tcPr>
            <w:tcW w:type="dxa" w:w="1600"/>
            <w:tcMar>
              <w:top w:w="80" w:type="dxa"/>
              <w:bottom w:w="80" w:type="dxa"/>
              <w:start w:w="120" w:type="dxa"/>
              <w:end w:w="120" w:type="dxa"/>
            </w:tcMar>
            <w:vAlign w:val="center"/>
          </w:tcPr>
          <w:p>
            <w:pPr>
              <w:spacing w:after="0" w:line="252" w:lineRule="auto"/>
            </w:pPr>
            <w:r/>
            <w:r>
              <w:rPr>
                <w:rFonts w:ascii="Calibri" w:hAnsi="Calibri"/>
                <w:b w:val="0"/>
                <w:color w:val="152238"/>
                <w:sz w:val="16"/>
              </w:rPr>
              <w:t>272</w:t>
            </w:r>
          </w:p>
        </w:tc>
        <w:tc>
          <w:tcPr>
            <w:tcW w:type="dxa" w:w="2300"/>
            <w:tcMar>
              <w:top w:w="80" w:type="dxa"/>
              <w:bottom w:w="80" w:type="dxa"/>
              <w:start w:w="120" w:type="dxa"/>
              <w:end w:w="120" w:type="dxa"/>
            </w:tcMar>
            <w:vAlign w:val="center"/>
          </w:tcPr>
          <w:p>
            <w:pPr>
              <w:spacing w:after="0" w:line="252" w:lineRule="auto"/>
            </w:pPr>
            <w:r/>
            <w:r>
              <w:rPr>
                <w:rFonts w:ascii="Calibri" w:hAnsi="Calibri"/>
                <w:b w:val="0"/>
                <w:color w:val="152238"/>
                <w:sz w:val="16"/>
              </w:rPr>
              <w:t>85.0%</w:t>
            </w:r>
          </w:p>
        </w:tc>
        <w:tc>
          <w:tcPr>
            <w:tcW w:type="dxa" w:w="2260"/>
            <w:tcMar>
              <w:top w:w="80" w:type="dxa"/>
              <w:bottom w:w="80" w:type="dxa"/>
              <w:start w:w="120" w:type="dxa"/>
              <w:end w:w="120" w:type="dxa"/>
            </w:tcMar>
            <w:vAlign w:val="center"/>
          </w:tcPr>
          <w:p>
            <w:pPr>
              <w:spacing w:after="0" w:line="252" w:lineRule="auto"/>
            </w:pPr>
            <w:r/>
            <w:r>
              <w:rPr>
                <w:rFonts w:ascii="Calibri" w:hAnsi="Calibri"/>
                <w:b w:val="0"/>
                <w:color w:val="152238"/>
                <w:sz w:val="16"/>
              </w:rPr>
              <w:t>32.7%</w:t>
            </w:r>
          </w:p>
        </w:tc>
      </w:tr>
      <w:tr>
        <w:trPr>
          <w:cantSplit/>
        </w:trPr>
        <w:tc>
          <w:tcPr>
            <w:tcW w:type="dxa" w:w="32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Charge zero</w:t>
            </w:r>
          </w:p>
        </w:tc>
        <w:tc>
          <w:tcPr>
            <w:tcW w:type="dxa" w:w="16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260</w:t>
            </w:r>
          </w:p>
        </w:tc>
        <w:tc>
          <w:tcPr>
            <w:tcW w:type="dxa" w:w="23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95.6%</w:t>
            </w:r>
          </w:p>
        </w:tc>
        <w:tc>
          <w:tcPr>
            <w:tcW w:type="dxa" w:w="22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31.2%</w:t>
            </w:r>
          </w:p>
        </w:tc>
      </w:tr>
      <w:tr>
        <w:trPr>
          <w:cantSplit/>
        </w:trPr>
        <w:tc>
          <w:tcPr>
            <w:tcW w:type="dxa" w:w="3200"/>
            <w:tcMar>
              <w:top w:w="80" w:type="dxa"/>
              <w:bottom w:w="80" w:type="dxa"/>
              <w:start w:w="120" w:type="dxa"/>
              <w:end w:w="120" w:type="dxa"/>
            </w:tcMar>
            <w:vAlign w:val="center"/>
          </w:tcPr>
          <w:p>
            <w:pPr>
              <w:spacing w:after="0" w:line="252" w:lineRule="auto"/>
            </w:pPr>
            <w:r/>
            <w:r>
              <w:rPr>
                <w:rFonts w:ascii="Calibri" w:hAnsi="Calibri"/>
                <w:b w:val="0"/>
                <w:color w:val="152238"/>
                <w:sz w:val="16"/>
              </w:rPr>
              <w:t>Isolation</w:t>
            </w:r>
          </w:p>
        </w:tc>
        <w:tc>
          <w:tcPr>
            <w:tcW w:type="dxa" w:w="1600"/>
            <w:tcMar>
              <w:top w:w="80" w:type="dxa"/>
              <w:bottom w:w="80" w:type="dxa"/>
              <w:start w:w="120" w:type="dxa"/>
              <w:end w:w="120" w:type="dxa"/>
            </w:tcMar>
            <w:vAlign w:val="center"/>
          </w:tcPr>
          <w:p>
            <w:pPr>
              <w:spacing w:after="0" w:line="252" w:lineRule="auto"/>
            </w:pPr>
            <w:r/>
            <w:r>
              <w:rPr>
                <w:rFonts w:ascii="Calibri" w:hAnsi="Calibri"/>
                <w:b w:val="0"/>
                <w:color w:val="152238"/>
                <w:sz w:val="16"/>
              </w:rPr>
              <w:t>229</w:t>
            </w:r>
          </w:p>
        </w:tc>
        <w:tc>
          <w:tcPr>
            <w:tcW w:type="dxa" w:w="2300"/>
            <w:tcMar>
              <w:top w:w="80" w:type="dxa"/>
              <w:bottom w:w="80" w:type="dxa"/>
              <w:start w:w="120" w:type="dxa"/>
              <w:end w:w="120" w:type="dxa"/>
            </w:tcMar>
            <w:vAlign w:val="center"/>
          </w:tcPr>
          <w:p>
            <w:pPr>
              <w:spacing w:after="0" w:line="252" w:lineRule="auto"/>
            </w:pPr>
            <w:r/>
            <w:r>
              <w:rPr>
                <w:rFonts w:ascii="Calibri" w:hAnsi="Calibri"/>
                <w:b w:val="0"/>
                <w:color w:val="152238"/>
                <w:sz w:val="16"/>
              </w:rPr>
              <w:t>88.1%</w:t>
            </w:r>
          </w:p>
        </w:tc>
        <w:tc>
          <w:tcPr>
            <w:tcW w:type="dxa" w:w="2260"/>
            <w:tcMar>
              <w:top w:w="80" w:type="dxa"/>
              <w:bottom w:w="80" w:type="dxa"/>
              <w:start w:w="120" w:type="dxa"/>
              <w:end w:w="120" w:type="dxa"/>
            </w:tcMar>
            <w:vAlign w:val="center"/>
          </w:tcPr>
          <w:p>
            <w:pPr>
              <w:spacing w:after="0" w:line="252" w:lineRule="auto"/>
            </w:pPr>
            <w:r/>
            <w:r>
              <w:rPr>
                <w:rFonts w:ascii="Calibri" w:hAnsi="Calibri"/>
                <w:b w:val="0"/>
                <w:color w:val="152238"/>
                <w:sz w:val="16"/>
              </w:rPr>
              <w:t>27.5%</w:t>
            </w:r>
          </w:p>
        </w:tc>
      </w:tr>
    </w:tbl>
    <w:p>
      <w:pPr>
        <w:spacing w:after="0"/>
      </w:pPr>
    </w:p>
    <w:tbl>
      <w:tblPr>
        <w:tblStyle w:val="TableGrid"/>
        <w:tblW w:type="dxa" w:w="9360"/>
        <w:jc w:val="center"/>
        <w:tblLayout w:type="fixed"/>
        <w:tblLook w:firstColumn="1" w:firstRow="1" w:lastColumn="0" w:lastRow="0" w:noHBand="0" w:noVBand="1" w:val="04A0"/>
        <w:tblInd w:w="120" w:type="dxa"/>
      </w:tblPr>
      <w:tblGrid>
        <w:gridCol w:w="4800"/>
        <w:gridCol w:w="4560"/>
      </w:tblGrid>
      <w:tr>
        <w:trPr>
          <w:tblHeader w:val="true"/>
          <w:cantSplit/>
        </w:trPr>
        <w:tc>
          <w:tcPr>
            <w:tcW w:type="dxa" w:w="48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Quantity</w:t>
            </w:r>
          </w:p>
        </w:tc>
        <w:tc>
          <w:tcPr>
            <w:tcW w:type="dxa" w:w="456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Result</w:t>
            </w:r>
          </w:p>
        </w:tc>
      </w:tr>
      <w:tr>
        <w:trPr>
          <w:cantSplit/>
        </w:trPr>
        <w:tc>
          <w:tcPr>
            <w:tcW w:type="dxa" w:w="4800"/>
            <w:tcMar>
              <w:top w:w="80" w:type="dxa"/>
              <w:bottom w:w="80" w:type="dxa"/>
              <w:start w:w="120" w:type="dxa"/>
              <w:end w:w="120" w:type="dxa"/>
            </w:tcMar>
            <w:vAlign w:val="center"/>
          </w:tcPr>
          <w:p>
            <w:pPr>
              <w:spacing w:after="0" w:line="252" w:lineRule="auto"/>
            </w:pPr>
            <w:r/>
            <w:r>
              <w:rPr>
                <w:rFonts w:ascii="Calibri" w:hAnsi="Calibri"/>
                <w:b w:val="0"/>
                <w:color w:val="152238"/>
                <w:sz w:val="16"/>
              </w:rPr>
              <w:t>Events in 105-160 GeV fit window</w:t>
            </w:r>
          </w:p>
        </w:tc>
        <w:tc>
          <w:tcPr>
            <w:tcW w:type="dxa" w:w="4560"/>
            <w:tcMar>
              <w:top w:w="80" w:type="dxa"/>
              <w:bottom w:w="80" w:type="dxa"/>
              <w:start w:w="120" w:type="dxa"/>
              <w:end w:w="120" w:type="dxa"/>
            </w:tcMar>
            <w:vAlign w:val="center"/>
          </w:tcPr>
          <w:p>
            <w:pPr>
              <w:spacing w:after="0" w:line="252" w:lineRule="auto"/>
            </w:pPr>
            <w:r/>
            <w:r>
              <w:rPr>
                <w:rFonts w:ascii="Calibri" w:hAnsi="Calibri"/>
                <w:b w:val="0"/>
                <w:color w:val="152238"/>
                <w:sz w:val="16"/>
              </w:rPr>
              <w:t>34</w:t>
            </w:r>
          </w:p>
        </w:tc>
      </w:tr>
      <w:tr>
        <w:trPr>
          <w:cantSplit/>
        </w:trPr>
        <w:tc>
          <w:tcPr>
            <w:tcW w:type="dxa" w:w="48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Best-fit fixed-template yield</w:t>
            </w:r>
          </w:p>
        </w:tc>
        <w:tc>
          <w:tcPr>
            <w:tcW w:type="dxa" w:w="45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12.09</w:t>
            </w:r>
          </w:p>
        </w:tc>
      </w:tr>
      <w:tr>
        <w:trPr>
          <w:cantSplit/>
        </w:trPr>
        <w:tc>
          <w:tcPr>
            <w:tcW w:type="dxa" w:w="4800"/>
            <w:tcMar>
              <w:top w:w="80" w:type="dxa"/>
              <w:bottom w:w="80" w:type="dxa"/>
              <w:start w:w="120" w:type="dxa"/>
              <w:end w:w="120" w:type="dxa"/>
            </w:tcMar>
            <w:vAlign w:val="center"/>
          </w:tcPr>
          <w:p>
            <w:pPr>
              <w:spacing w:after="0" w:line="252" w:lineRule="auto"/>
            </w:pPr>
            <w:r/>
            <w:r>
              <w:rPr>
                <w:rFonts w:ascii="Calibri" w:hAnsi="Calibri"/>
                <w:b w:val="0"/>
                <w:color w:val="152238"/>
                <w:sz w:val="16"/>
              </w:rPr>
              <w:t>68% profile interval</w:t>
            </w:r>
          </w:p>
        </w:tc>
        <w:tc>
          <w:tcPr>
            <w:tcW w:type="dxa" w:w="4560"/>
            <w:tcMar>
              <w:top w:w="80" w:type="dxa"/>
              <w:bottom w:w="80" w:type="dxa"/>
              <w:start w:w="120" w:type="dxa"/>
              <w:end w:w="120" w:type="dxa"/>
            </w:tcMar>
            <w:vAlign w:val="center"/>
          </w:tcPr>
          <w:p>
            <w:pPr>
              <w:spacing w:after="0" w:line="252" w:lineRule="auto"/>
            </w:pPr>
            <w:r/>
            <w:r>
              <w:rPr>
                <w:rFonts w:ascii="Calibri" w:hAnsi="Calibri"/>
                <w:b w:val="0"/>
                <w:color w:val="152238"/>
                <w:sz w:val="16"/>
              </w:rPr>
              <w:t>[7.96, 16.81]</w:t>
            </w:r>
          </w:p>
        </w:tc>
      </w:tr>
      <w:tr>
        <w:trPr>
          <w:cantSplit/>
        </w:trPr>
        <w:tc>
          <w:tcPr>
            <w:tcW w:type="dxa" w:w="48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Best-fit background yield</w:t>
            </w:r>
          </w:p>
        </w:tc>
        <w:tc>
          <w:tcPr>
            <w:tcW w:type="dxa" w:w="45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21.91</w:t>
            </w:r>
          </w:p>
        </w:tc>
      </w:tr>
      <w:tr>
        <w:trPr>
          <w:cantSplit/>
        </w:trPr>
        <w:tc>
          <w:tcPr>
            <w:tcW w:type="dxa" w:w="4800"/>
            <w:tcMar>
              <w:top w:w="80" w:type="dxa"/>
              <w:bottom w:w="80" w:type="dxa"/>
              <w:start w:w="120" w:type="dxa"/>
              <w:end w:w="120" w:type="dxa"/>
            </w:tcMar>
            <w:vAlign w:val="center"/>
          </w:tcPr>
          <w:p>
            <w:pPr>
              <w:spacing w:after="0" w:line="252" w:lineRule="auto"/>
            </w:pPr>
            <w:r/>
            <w:r>
              <w:rPr>
                <w:rFonts w:ascii="Calibri" w:hAnsi="Calibri"/>
                <w:b w:val="0"/>
                <w:color w:val="152238"/>
                <w:sz w:val="16"/>
              </w:rPr>
              <w:t>Background slope</w:t>
            </w:r>
          </w:p>
        </w:tc>
        <w:tc>
          <w:tcPr>
            <w:tcW w:type="dxa" w:w="4560"/>
            <w:tcMar>
              <w:top w:w="80" w:type="dxa"/>
              <w:bottom w:w="80" w:type="dxa"/>
              <w:start w:w="120" w:type="dxa"/>
              <w:end w:w="120" w:type="dxa"/>
            </w:tcMar>
            <w:vAlign w:val="center"/>
          </w:tcPr>
          <w:p>
            <w:pPr>
              <w:spacing w:after="0" w:line="252" w:lineRule="auto"/>
            </w:pPr>
            <w:r/>
            <w:r>
              <w:rPr>
                <w:rFonts w:ascii="Calibri" w:hAnsi="Calibri"/>
                <w:b w:val="0"/>
                <w:color w:val="152238"/>
                <w:sz w:val="16"/>
              </w:rPr>
              <w:t>0.01663 / GeV</w:t>
            </w:r>
          </w:p>
        </w:tc>
      </w:tr>
      <w:tr>
        <w:trPr>
          <w:cantSplit/>
        </w:trPr>
        <w:tc>
          <w:tcPr>
            <w:tcW w:type="dxa" w:w="48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Diagnostic q0 / local Z</w:t>
            </w:r>
          </w:p>
        </w:tc>
        <w:tc>
          <w:tcPr>
            <w:tcW w:type="dxa" w:w="45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11.537 / 3.397</w:t>
            </w:r>
          </w:p>
        </w:tc>
      </w:tr>
      <w:tr>
        <w:trPr>
          <w:cantSplit/>
        </w:trPr>
        <w:tc>
          <w:tcPr>
            <w:tcW w:type="dxa" w:w="4800"/>
            <w:tcMar>
              <w:top w:w="80" w:type="dxa"/>
              <w:bottom w:w="80" w:type="dxa"/>
              <w:start w:w="120" w:type="dxa"/>
              <w:end w:w="120" w:type="dxa"/>
            </w:tcMar>
            <w:vAlign w:val="center"/>
          </w:tcPr>
          <w:p>
            <w:pPr>
              <w:spacing w:after="0" w:line="252" w:lineRule="auto"/>
            </w:pPr>
            <w:r/>
            <w:r>
              <w:rPr>
                <w:rFonts w:ascii="Calibri" w:hAnsi="Calibri"/>
                <w:b w:val="0"/>
                <w:color w:val="152238"/>
                <w:sz w:val="16"/>
              </w:rPr>
              <w:t>Injected / recovered median</w:t>
            </w:r>
          </w:p>
        </w:tc>
        <w:tc>
          <w:tcPr>
            <w:tcW w:type="dxa" w:w="4560"/>
            <w:tcMar>
              <w:top w:w="80" w:type="dxa"/>
              <w:bottom w:w="80" w:type="dxa"/>
              <w:start w:w="120" w:type="dxa"/>
              <w:end w:w="120" w:type="dxa"/>
            </w:tcMar>
            <w:vAlign w:val="center"/>
          </w:tcPr>
          <w:p>
            <w:pPr>
              <w:spacing w:after="0" w:line="252" w:lineRule="auto"/>
            </w:pPr>
            <w:r/>
            <w:r>
              <w:rPr>
                <w:rFonts w:ascii="Calibri" w:hAnsi="Calibri"/>
                <w:b w:val="0"/>
                <w:color w:val="152238"/>
                <w:sz w:val="16"/>
              </w:rPr>
              <w:t>10.00 / 10.36</w:t>
            </w:r>
          </w:p>
        </w:tc>
      </w:tr>
      <w:tr>
        <w:trPr>
          <w:cantSplit/>
        </w:trPr>
        <w:tc>
          <w:tcPr>
            <w:tcW w:type="dxa" w:w="48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Injection 68% interval</w:t>
            </w:r>
          </w:p>
        </w:tc>
        <w:tc>
          <w:tcPr>
            <w:tcW w:type="dxa" w:w="45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[6.85, 14.28]</w:t>
            </w:r>
          </w:p>
        </w:tc>
      </w:tr>
    </w:tbl>
    <w:p>
      <w:pPr>
        <w:spacing w:after="0"/>
      </w:pPr>
    </w:p>
    <w:p>
      <w:pPr>
        <w:spacing w:after="40"/>
        <w:jc w:val="center"/>
      </w:pPr>
      <w:r>
        <w:drawing>
          <wp:inline xmlns:a="http://schemas.openxmlformats.org/drawingml/2006/main" xmlns:pic="http://schemas.openxmlformats.org/drawingml/2006/picture">
            <wp:extent cx="5806440" cy="3366105"/>
            <wp:docPr id="7" name="Picture 7" title="figure_cern_four_lepton" descr="Figure 2. ATLAS educational collision data in the frozen four-lepton fit. The local-Z value is a pipeline diagnostic, not a publication significance."/>
            <wp:cNvGraphicFramePr>
              <a:graphicFrameLocks noChangeAspect="1"/>
            </wp:cNvGraphicFramePr>
            <a:graphic>
              <a:graphicData uri="http://schemas.openxmlformats.org/drawingml/2006/picture">
                <pic:pic>
                  <pic:nvPicPr>
                    <pic:cNvPr id="0" name="figure_cern_four_lepton.png"/>
                    <pic:cNvPicPr/>
                  </pic:nvPicPr>
                  <pic:blipFill>
                    <a:blip r:embed="rId16"/>
                    <a:stretch>
                      <a:fillRect/>
                    </a:stretch>
                  </pic:blipFill>
                  <pic:spPr>
                    <a:xfrm>
                      <a:off x="0" y="0"/>
                      <a:ext cx="5806440" cy="3366105"/>
                    </a:xfrm>
                    <a:prstGeom prst="rect"/>
                  </pic:spPr>
                </pic:pic>
              </a:graphicData>
            </a:graphic>
          </wp:inline>
        </w:drawing>
      </w:r>
    </w:p>
    <w:p>
      <w:pPr>
        <w:pStyle w:val="Caption"/>
        <w:spacing w:after="140"/>
        <w:jc w:val="center"/>
      </w:pPr>
      <w:r>
        <w:t>Figure 2. ATLAS educational collision data in the frozen four-lepton fit. The local-Z value is a pipeline diagnostic, not a publication significance.</w:t>
      </w:r>
    </w:p>
    <w:p>
      <w:pPr>
        <w:pStyle w:val="Heading2"/>
      </w:pPr>
      <w:r>
        <w:t>4.4 Injection/recovery logic</w:t>
      </w:r>
    </w:p>
    <w:p>
      <w:r>
        <w:t>Five hundred Poisson pseudo-experiments are generated from the fitted background plus a 10-event copy of the frozen signal template. Each pseudo-experiment is refitted with the same free parameters. The recovered median is 10.36 events; the injected value lies inside the 68% ensemble interval [6.85, 14.28] and the 95% interval [3.73, 19.24]. This passes the prespecified recovery criterion.</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shd w:fill="FFF5D9"/>
            <w:tcMar>
              <w:top w:w="80" w:type="dxa"/>
              <w:bottom w:w="80" w:type="dxa"/>
              <w:start w:w="120" w:type="dxa"/>
              <w:end w:w="120" w:type="dxa"/>
            </w:tcMar>
            <w:vAlign w:val="center"/>
          </w:tcPr>
          <w:p>
            <w:pPr>
              <w:spacing w:after="80"/>
            </w:pPr>
            <w:r>
              <w:rPr>
                <w:b/>
                <w:color w:val="9A6700"/>
                <w:sz w:val="21"/>
              </w:rPr>
              <w:t>WHY THE 3.40-SIGMA NUMBER IS NOT A DISCOVERY CLAIM</w:t>
            </w:r>
          </w:p>
          <w:p>
            <w:pPr>
              <w:spacing w:after="0" w:line="269" w:lineRule="auto"/>
            </w:pPr>
            <w:r>
              <w:rPr>
                <w:color w:val="152238"/>
                <w:sz w:val="19"/>
              </w:rPr>
              <w:t>The statistic is local to a fixed 125 GeV template and a three-parameter toy background. No detector systematics, Standard Model Monte Carlo background composition, trials factor, alternative background envelopes, or collaboration review is included. The public record also prohibits treating this educational sample as a scientific-publication dataset.</w:t>
            </w:r>
          </w:p>
        </w:tc>
      </w:tr>
    </w:tbl>
    <w:p>
      <w:pPr>
        <w:spacing w:after="0"/>
      </w:pPr>
    </w:p>
    <w:p>
      <w:pPr>
        <w:pStyle w:val="Heading2"/>
      </w:pPr>
      <w:r>
        <w:t>4.5 Observed binned audit</w:t>
      </w:r>
    </w:p>
    <w:tbl>
      <w:tblPr>
        <w:tblStyle w:val="TableGrid"/>
        <w:tblW w:type="dxa" w:w="9360"/>
        <w:jc w:val="center"/>
        <w:tblLayout w:type="fixed"/>
        <w:tblLook w:firstColumn="1" w:firstRow="1" w:lastColumn="0" w:lastRow="0" w:noHBand="0" w:noVBand="1" w:val="04A0"/>
        <w:tblInd w:w="120" w:type="dxa"/>
      </w:tblPr>
      <w:tblGrid>
        <w:gridCol w:w="2100"/>
        <w:gridCol w:w="1500"/>
        <w:gridCol w:w="1900"/>
        <w:gridCol w:w="1800"/>
        <w:gridCol w:w="2060"/>
      </w:tblGrid>
      <w:tr>
        <w:trPr>
          <w:tblHeader w:val="true"/>
          <w:cantSplit/>
        </w:trPr>
        <w:tc>
          <w:tcPr>
            <w:tcW w:type="dxa" w:w="21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m4l bin [GeV]</w:t>
            </w:r>
          </w:p>
        </w:tc>
        <w:tc>
          <w:tcPr>
            <w:tcW w:type="dxa" w:w="15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Observed</w:t>
            </w:r>
          </w:p>
        </w:tc>
        <w:tc>
          <w:tcPr>
            <w:tcW w:type="dxa" w:w="19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Background</w:t>
            </w:r>
          </w:p>
        </w:tc>
        <w:tc>
          <w:tcPr>
            <w:tcW w:type="dxa" w:w="18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Signal</w:t>
            </w:r>
          </w:p>
        </w:tc>
        <w:tc>
          <w:tcPr>
            <w:tcW w:type="dxa" w:w="206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Total</w:t>
            </w:r>
          </w:p>
        </w:tc>
      </w:tr>
      <w:tr>
        <w:trPr>
          <w:cantSplit/>
        </w:trPr>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5"/>
              </w:rPr>
              <w:t>105.0-107.5</w:t>
            </w:r>
          </w:p>
        </w:tc>
        <w:tc>
          <w:tcPr>
            <w:tcW w:type="dxa" w:w="1500"/>
            <w:tcMar>
              <w:top w:w="80" w:type="dxa"/>
              <w:bottom w:w="80" w:type="dxa"/>
              <w:start w:w="120" w:type="dxa"/>
              <w:end w:w="120" w:type="dxa"/>
            </w:tcMar>
            <w:vAlign w:val="center"/>
          </w:tcPr>
          <w:p>
            <w:pPr>
              <w:spacing w:after="0" w:line="252" w:lineRule="auto"/>
            </w:pPr>
            <w:r/>
            <w:r>
              <w:rPr>
                <w:rFonts w:ascii="Calibri" w:hAnsi="Calibri"/>
                <w:b w:val="0"/>
                <w:color w:val="152238"/>
                <w:sz w:val="15"/>
              </w:rPr>
              <w:t>1</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0.622</w:t>
            </w:r>
          </w:p>
        </w:tc>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tcMar>
              <w:top w:w="80" w:type="dxa"/>
              <w:bottom w:w="80" w:type="dxa"/>
              <w:start w:w="120" w:type="dxa"/>
              <w:end w:w="120" w:type="dxa"/>
            </w:tcMar>
            <w:vAlign w:val="center"/>
          </w:tcPr>
          <w:p>
            <w:pPr>
              <w:spacing w:after="0" w:line="252" w:lineRule="auto"/>
            </w:pPr>
            <w:r/>
            <w:r>
              <w:rPr>
                <w:rFonts w:ascii="Calibri" w:hAnsi="Calibri"/>
                <w:b w:val="0"/>
                <w:color w:val="152238"/>
                <w:sz w:val="15"/>
              </w:rPr>
              <w:t>0.622</w:t>
            </w:r>
          </w:p>
        </w:tc>
      </w:tr>
      <w:tr>
        <w:trPr>
          <w:cantSplit/>
        </w:trPr>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107.5-110.0</w:t>
            </w:r>
          </w:p>
        </w:tc>
        <w:tc>
          <w:tcPr>
            <w:tcW w:type="dxa" w:w="1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0.648</w:t>
            </w:r>
          </w:p>
        </w:tc>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0.648</w:t>
            </w:r>
          </w:p>
        </w:tc>
      </w:tr>
      <w:tr>
        <w:trPr>
          <w:cantSplit/>
        </w:trPr>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5"/>
              </w:rPr>
              <w:t>110.0-112.5</w:t>
            </w:r>
          </w:p>
        </w:tc>
        <w:tc>
          <w:tcPr>
            <w:tcW w:type="dxa" w:w="1500"/>
            <w:tcMar>
              <w:top w:w="80" w:type="dxa"/>
              <w:bottom w:w="80" w:type="dxa"/>
              <w:start w:w="120" w:type="dxa"/>
              <w:end w:w="120" w:type="dxa"/>
            </w:tcMar>
            <w:vAlign w:val="center"/>
          </w:tcPr>
          <w:p>
            <w:pPr>
              <w:spacing w:after="0" w:line="252" w:lineRule="auto"/>
            </w:pPr>
            <w:r/>
            <w:r>
              <w:rPr>
                <w:rFonts w:ascii="Calibri" w:hAnsi="Calibri"/>
                <w:b w:val="0"/>
                <w:color w:val="152238"/>
                <w:sz w:val="15"/>
              </w:rPr>
              <w:t>1</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0.676</w:t>
            </w:r>
          </w:p>
        </w:tc>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tcMar>
              <w:top w:w="80" w:type="dxa"/>
              <w:bottom w:w="80" w:type="dxa"/>
              <w:start w:w="120" w:type="dxa"/>
              <w:end w:w="120" w:type="dxa"/>
            </w:tcMar>
            <w:vAlign w:val="center"/>
          </w:tcPr>
          <w:p>
            <w:pPr>
              <w:spacing w:after="0" w:line="252" w:lineRule="auto"/>
            </w:pPr>
            <w:r/>
            <w:r>
              <w:rPr>
                <w:rFonts w:ascii="Calibri" w:hAnsi="Calibri"/>
                <w:b w:val="0"/>
                <w:color w:val="152238"/>
                <w:sz w:val="15"/>
              </w:rPr>
              <w:t>0.676</w:t>
            </w:r>
          </w:p>
        </w:tc>
      </w:tr>
      <w:tr>
        <w:trPr>
          <w:cantSplit/>
        </w:trPr>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112.5-115.0</w:t>
            </w:r>
          </w:p>
        </w:tc>
        <w:tc>
          <w:tcPr>
            <w:tcW w:type="dxa" w:w="1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0.704</w:t>
            </w:r>
          </w:p>
        </w:tc>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0.705</w:t>
            </w:r>
          </w:p>
        </w:tc>
      </w:tr>
      <w:tr>
        <w:trPr>
          <w:cantSplit/>
        </w:trPr>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5"/>
              </w:rPr>
              <w:t>115.0-117.5</w:t>
            </w:r>
          </w:p>
        </w:tc>
        <w:tc>
          <w:tcPr>
            <w:tcW w:type="dxa" w:w="1500"/>
            <w:tcMar>
              <w:top w:w="80" w:type="dxa"/>
              <w:bottom w:w="80" w:type="dxa"/>
              <w:start w:w="120" w:type="dxa"/>
              <w:end w:w="120" w:type="dxa"/>
            </w:tcMar>
            <w:vAlign w:val="center"/>
          </w:tcPr>
          <w:p>
            <w:pPr>
              <w:spacing w:after="0" w:line="252" w:lineRule="auto"/>
            </w:pPr>
            <w:r/>
            <w:r>
              <w:rPr>
                <w:rFonts w:ascii="Calibri" w:hAnsi="Calibri"/>
                <w:b w:val="0"/>
                <w:color w:val="152238"/>
                <w:sz w:val="15"/>
              </w:rPr>
              <w:t>0</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0.734</w:t>
            </w:r>
          </w:p>
        </w:tc>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5"/>
              </w:rPr>
              <w:t>0.016</w:t>
            </w:r>
          </w:p>
        </w:tc>
        <w:tc>
          <w:tcPr>
            <w:tcW w:type="dxa" w:w="2060"/>
            <w:tcMar>
              <w:top w:w="80" w:type="dxa"/>
              <w:bottom w:w="80" w:type="dxa"/>
              <w:start w:w="120" w:type="dxa"/>
              <w:end w:w="120" w:type="dxa"/>
            </w:tcMar>
            <w:vAlign w:val="center"/>
          </w:tcPr>
          <w:p>
            <w:pPr>
              <w:spacing w:after="0" w:line="252" w:lineRule="auto"/>
            </w:pPr>
            <w:r/>
            <w:r>
              <w:rPr>
                <w:rFonts w:ascii="Calibri" w:hAnsi="Calibri"/>
                <w:b w:val="0"/>
                <w:color w:val="152238"/>
                <w:sz w:val="15"/>
              </w:rPr>
              <w:t>0.750</w:t>
            </w:r>
          </w:p>
        </w:tc>
      </w:tr>
      <w:tr>
        <w:trPr>
          <w:cantSplit/>
        </w:trPr>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117.5-120.0</w:t>
            </w:r>
          </w:p>
        </w:tc>
        <w:tc>
          <w:tcPr>
            <w:tcW w:type="dxa" w:w="1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0.766</w:t>
            </w:r>
          </w:p>
        </w:tc>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0.259</w:t>
            </w:r>
          </w:p>
        </w:tc>
        <w:tc>
          <w:tcPr>
            <w:tcW w:type="dxa" w:w="2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1.024</w:t>
            </w:r>
          </w:p>
        </w:tc>
      </w:tr>
      <w:tr>
        <w:trPr>
          <w:cantSplit/>
        </w:trPr>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5"/>
              </w:rPr>
              <w:t>120.0-122.5</w:t>
            </w:r>
          </w:p>
        </w:tc>
        <w:tc>
          <w:tcPr>
            <w:tcW w:type="dxa" w:w="1500"/>
            <w:tcMar>
              <w:top w:w="80" w:type="dxa"/>
              <w:bottom w:w="80" w:type="dxa"/>
              <w:start w:w="120" w:type="dxa"/>
              <w:end w:w="120" w:type="dxa"/>
            </w:tcMar>
            <w:vAlign w:val="center"/>
          </w:tcPr>
          <w:p>
            <w:pPr>
              <w:spacing w:after="0" w:line="252" w:lineRule="auto"/>
            </w:pPr>
            <w:r/>
            <w:r>
              <w:rPr>
                <w:rFonts w:ascii="Calibri" w:hAnsi="Calibri"/>
                <w:b w:val="0"/>
                <w:color w:val="152238"/>
                <w:sz w:val="15"/>
              </w:rPr>
              <w:t>8</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0.798</w:t>
            </w:r>
          </w:p>
        </w:tc>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5"/>
              </w:rPr>
              <w:t>1.643</w:t>
            </w:r>
          </w:p>
        </w:tc>
        <w:tc>
          <w:tcPr>
            <w:tcW w:type="dxa" w:w="2060"/>
            <w:tcMar>
              <w:top w:w="80" w:type="dxa"/>
              <w:bottom w:w="80" w:type="dxa"/>
              <w:start w:w="120" w:type="dxa"/>
              <w:end w:w="120" w:type="dxa"/>
            </w:tcMar>
            <w:vAlign w:val="center"/>
          </w:tcPr>
          <w:p>
            <w:pPr>
              <w:spacing w:after="0" w:line="252" w:lineRule="auto"/>
            </w:pPr>
            <w:r/>
            <w:r>
              <w:rPr>
                <w:rFonts w:ascii="Calibri" w:hAnsi="Calibri"/>
                <w:b w:val="0"/>
                <w:color w:val="152238"/>
                <w:sz w:val="15"/>
              </w:rPr>
              <w:t>2.441</w:t>
            </w:r>
          </w:p>
        </w:tc>
      </w:tr>
      <w:tr>
        <w:trPr>
          <w:cantSplit/>
        </w:trPr>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122.5-125.0</w:t>
            </w:r>
          </w:p>
        </w:tc>
        <w:tc>
          <w:tcPr>
            <w:tcW w:type="dxa" w:w="1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4</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0.832</w:t>
            </w:r>
          </w:p>
        </w:tc>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4.126</w:t>
            </w:r>
          </w:p>
        </w:tc>
        <w:tc>
          <w:tcPr>
            <w:tcW w:type="dxa" w:w="2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4.958</w:t>
            </w:r>
          </w:p>
        </w:tc>
      </w:tr>
      <w:tr>
        <w:trPr>
          <w:cantSplit/>
        </w:trPr>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5"/>
              </w:rPr>
              <w:t>125.0-127.5</w:t>
            </w:r>
          </w:p>
        </w:tc>
        <w:tc>
          <w:tcPr>
            <w:tcW w:type="dxa" w:w="1500"/>
            <w:tcMar>
              <w:top w:w="80" w:type="dxa"/>
              <w:bottom w:w="80" w:type="dxa"/>
              <w:start w:w="120" w:type="dxa"/>
              <w:end w:w="120" w:type="dxa"/>
            </w:tcMar>
            <w:vAlign w:val="center"/>
          </w:tcPr>
          <w:p>
            <w:pPr>
              <w:spacing w:after="0" w:line="252" w:lineRule="auto"/>
            </w:pPr>
            <w:r/>
            <w:r>
              <w:rPr>
                <w:rFonts w:ascii="Calibri" w:hAnsi="Calibri"/>
                <w:b w:val="0"/>
                <w:color w:val="152238"/>
                <w:sz w:val="15"/>
              </w:rPr>
              <w:t>2</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0.867</w:t>
            </w:r>
          </w:p>
        </w:tc>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5"/>
              </w:rPr>
              <w:t>4.126</w:t>
            </w:r>
          </w:p>
        </w:tc>
        <w:tc>
          <w:tcPr>
            <w:tcW w:type="dxa" w:w="2060"/>
            <w:tcMar>
              <w:top w:w="80" w:type="dxa"/>
              <w:bottom w:w="80" w:type="dxa"/>
              <w:start w:w="120" w:type="dxa"/>
              <w:end w:w="120" w:type="dxa"/>
            </w:tcMar>
            <w:vAlign w:val="center"/>
          </w:tcPr>
          <w:p>
            <w:pPr>
              <w:spacing w:after="0" w:line="252" w:lineRule="auto"/>
            </w:pPr>
            <w:r/>
            <w:r>
              <w:rPr>
                <w:rFonts w:ascii="Calibri" w:hAnsi="Calibri"/>
                <w:b w:val="0"/>
                <w:color w:val="152238"/>
                <w:sz w:val="15"/>
              </w:rPr>
              <w:t>4.993</w:t>
            </w:r>
          </w:p>
        </w:tc>
      </w:tr>
      <w:tr>
        <w:trPr>
          <w:cantSplit/>
        </w:trPr>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127.5-130.0</w:t>
            </w:r>
          </w:p>
        </w:tc>
        <w:tc>
          <w:tcPr>
            <w:tcW w:type="dxa" w:w="1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2</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0.904</w:t>
            </w:r>
          </w:p>
        </w:tc>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1.643</w:t>
            </w:r>
          </w:p>
        </w:tc>
        <w:tc>
          <w:tcPr>
            <w:tcW w:type="dxa" w:w="2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2.547</w:t>
            </w:r>
          </w:p>
        </w:tc>
      </w:tr>
      <w:tr>
        <w:trPr>
          <w:cantSplit/>
        </w:trPr>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5"/>
              </w:rPr>
              <w:t>130.0-132.5</w:t>
            </w:r>
          </w:p>
        </w:tc>
        <w:tc>
          <w:tcPr>
            <w:tcW w:type="dxa" w:w="1500"/>
            <w:tcMar>
              <w:top w:w="80" w:type="dxa"/>
              <w:bottom w:w="80" w:type="dxa"/>
              <w:start w:w="120" w:type="dxa"/>
              <w:end w:w="120" w:type="dxa"/>
            </w:tcMar>
            <w:vAlign w:val="center"/>
          </w:tcPr>
          <w:p>
            <w:pPr>
              <w:spacing w:after="0" w:line="252" w:lineRule="auto"/>
            </w:pPr>
            <w:r/>
            <w:r>
              <w:rPr>
                <w:rFonts w:ascii="Calibri" w:hAnsi="Calibri"/>
                <w:b w:val="0"/>
                <w:color w:val="152238"/>
                <w:sz w:val="15"/>
              </w:rPr>
              <w:t>2</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0.942</w:t>
            </w:r>
          </w:p>
        </w:tc>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5"/>
              </w:rPr>
              <w:t>0.259</w:t>
            </w:r>
          </w:p>
        </w:tc>
        <w:tc>
          <w:tcPr>
            <w:tcW w:type="dxa" w:w="2060"/>
            <w:tcMar>
              <w:top w:w="80" w:type="dxa"/>
              <w:bottom w:w="80" w:type="dxa"/>
              <w:start w:w="120" w:type="dxa"/>
              <w:end w:w="120" w:type="dxa"/>
            </w:tcMar>
            <w:vAlign w:val="center"/>
          </w:tcPr>
          <w:p>
            <w:pPr>
              <w:spacing w:after="0" w:line="252" w:lineRule="auto"/>
            </w:pPr>
            <w:r/>
            <w:r>
              <w:rPr>
                <w:rFonts w:ascii="Calibri" w:hAnsi="Calibri"/>
                <w:b w:val="0"/>
                <w:color w:val="152238"/>
                <w:sz w:val="15"/>
              </w:rPr>
              <w:t>1.201</w:t>
            </w:r>
          </w:p>
        </w:tc>
      </w:tr>
      <w:tr>
        <w:trPr>
          <w:cantSplit/>
        </w:trPr>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132.5-135.0</w:t>
            </w:r>
          </w:p>
        </w:tc>
        <w:tc>
          <w:tcPr>
            <w:tcW w:type="dxa" w:w="1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0.982</w:t>
            </w:r>
          </w:p>
        </w:tc>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0.016</w:t>
            </w:r>
          </w:p>
        </w:tc>
        <w:tc>
          <w:tcPr>
            <w:tcW w:type="dxa" w:w="2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0.998</w:t>
            </w:r>
          </w:p>
        </w:tc>
      </w:tr>
      <w:tr>
        <w:trPr>
          <w:cantSplit/>
        </w:trPr>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5"/>
              </w:rPr>
              <w:t>135.0-137.5</w:t>
            </w:r>
          </w:p>
        </w:tc>
        <w:tc>
          <w:tcPr>
            <w:tcW w:type="dxa" w:w="1500"/>
            <w:tcMar>
              <w:top w:w="80" w:type="dxa"/>
              <w:bottom w:w="80" w:type="dxa"/>
              <w:start w:w="120" w:type="dxa"/>
              <w:end w:w="120" w:type="dxa"/>
            </w:tcMar>
            <w:vAlign w:val="center"/>
          </w:tcPr>
          <w:p>
            <w:pPr>
              <w:spacing w:after="0" w:line="252" w:lineRule="auto"/>
            </w:pPr>
            <w:r/>
            <w:r>
              <w:rPr>
                <w:rFonts w:ascii="Calibri" w:hAnsi="Calibri"/>
                <w:b w:val="0"/>
                <w:color w:val="152238"/>
                <w:sz w:val="15"/>
              </w:rPr>
              <w:t>1</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1.024</w:t>
            </w:r>
          </w:p>
        </w:tc>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tcMar>
              <w:top w:w="80" w:type="dxa"/>
              <w:bottom w:w="80" w:type="dxa"/>
              <w:start w:w="120" w:type="dxa"/>
              <w:end w:w="120" w:type="dxa"/>
            </w:tcMar>
            <w:vAlign w:val="center"/>
          </w:tcPr>
          <w:p>
            <w:pPr>
              <w:spacing w:after="0" w:line="252" w:lineRule="auto"/>
            </w:pPr>
            <w:r/>
            <w:r>
              <w:rPr>
                <w:rFonts w:ascii="Calibri" w:hAnsi="Calibri"/>
                <w:b w:val="0"/>
                <w:color w:val="152238"/>
                <w:sz w:val="15"/>
              </w:rPr>
              <w:t>1.024</w:t>
            </w:r>
          </w:p>
        </w:tc>
      </w:tr>
      <w:tr>
        <w:trPr>
          <w:cantSplit/>
        </w:trPr>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137.5-140.0</w:t>
            </w:r>
          </w:p>
        </w:tc>
        <w:tc>
          <w:tcPr>
            <w:tcW w:type="dxa" w:w="1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1.068</w:t>
            </w:r>
          </w:p>
        </w:tc>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1.068</w:t>
            </w:r>
          </w:p>
        </w:tc>
      </w:tr>
      <w:tr>
        <w:trPr>
          <w:cantSplit/>
        </w:trPr>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5"/>
              </w:rPr>
              <w:t>140.0-142.5</w:t>
            </w:r>
          </w:p>
        </w:tc>
        <w:tc>
          <w:tcPr>
            <w:tcW w:type="dxa" w:w="1500"/>
            <w:tcMar>
              <w:top w:w="80" w:type="dxa"/>
              <w:bottom w:w="80" w:type="dxa"/>
              <w:start w:w="120" w:type="dxa"/>
              <w:end w:w="120" w:type="dxa"/>
            </w:tcMar>
            <w:vAlign w:val="center"/>
          </w:tcPr>
          <w:p>
            <w:pPr>
              <w:spacing w:after="0" w:line="252" w:lineRule="auto"/>
            </w:pPr>
            <w:r/>
            <w:r>
              <w:rPr>
                <w:rFonts w:ascii="Calibri" w:hAnsi="Calibri"/>
                <w:b w:val="0"/>
                <w:color w:val="152238"/>
                <w:sz w:val="15"/>
              </w:rPr>
              <w:t>2</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1.113</w:t>
            </w:r>
          </w:p>
        </w:tc>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tcMar>
              <w:top w:w="80" w:type="dxa"/>
              <w:bottom w:w="80" w:type="dxa"/>
              <w:start w:w="120" w:type="dxa"/>
              <w:end w:w="120" w:type="dxa"/>
            </w:tcMar>
            <w:vAlign w:val="center"/>
          </w:tcPr>
          <w:p>
            <w:pPr>
              <w:spacing w:after="0" w:line="252" w:lineRule="auto"/>
            </w:pPr>
            <w:r/>
            <w:r>
              <w:rPr>
                <w:rFonts w:ascii="Calibri" w:hAnsi="Calibri"/>
                <w:b w:val="0"/>
                <w:color w:val="152238"/>
                <w:sz w:val="15"/>
              </w:rPr>
              <w:t>1.113</w:t>
            </w:r>
          </w:p>
        </w:tc>
      </w:tr>
      <w:tr>
        <w:trPr>
          <w:cantSplit/>
        </w:trPr>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142.5-145.0</w:t>
            </w:r>
          </w:p>
        </w:tc>
        <w:tc>
          <w:tcPr>
            <w:tcW w:type="dxa" w:w="1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1.160</w:t>
            </w:r>
          </w:p>
        </w:tc>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1.160</w:t>
            </w:r>
          </w:p>
        </w:tc>
      </w:tr>
      <w:tr>
        <w:trPr>
          <w:cantSplit/>
        </w:trPr>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5"/>
              </w:rPr>
              <w:t>145.0-147.5</w:t>
            </w:r>
          </w:p>
        </w:tc>
        <w:tc>
          <w:tcPr>
            <w:tcW w:type="dxa" w:w="1500"/>
            <w:tcMar>
              <w:top w:w="80" w:type="dxa"/>
              <w:bottom w:w="80" w:type="dxa"/>
              <w:start w:w="120" w:type="dxa"/>
              <w:end w:w="120" w:type="dxa"/>
            </w:tcMar>
            <w:vAlign w:val="center"/>
          </w:tcPr>
          <w:p>
            <w:pPr>
              <w:spacing w:after="0" w:line="252" w:lineRule="auto"/>
            </w:pPr>
            <w:r/>
            <w:r>
              <w:rPr>
                <w:rFonts w:ascii="Calibri" w:hAnsi="Calibri"/>
                <w:b w:val="0"/>
                <w:color w:val="152238"/>
                <w:sz w:val="15"/>
              </w:rPr>
              <w:t>1</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1.209</w:t>
            </w:r>
          </w:p>
        </w:tc>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tcMar>
              <w:top w:w="80" w:type="dxa"/>
              <w:bottom w:w="80" w:type="dxa"/>
              <w:start w:w="120" w:type="dxa"/>
              <w:end w:w="120" w:type="dxa"/>
            </w:tcMar>
            <w:vAlign w:val="center"/>
          </w:tcPr>
          <w:p>
            <w:pPr>
              <w:spacing w:after="0" w:line="252" w:lineRule="auto"/>
            </w:pPr>
            <w:r/>
            <w:r>
              <w:rPr>
                <w:rFonts w:ascii="Calibri" w:hAnsi="Calibri"/>
                <w:b w:val="0"/>
                <w:color w:val="152238"/>
                <w:sz w:val="15"/>
              </w:rPr>
              <w:t>1.209</w:t>
            </w:r>
          </w:p>
        </w:tc>
      </w:tr>
      <w:tr>
        <w:trPr>
          <w:cantSplit/>
        </w:trPr>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147.5-150.0</w:t>
            </w:r>
          </w:p>
        </w:tc>
        <w:tc>
          <w:tcPr>
            <w:tcW w:type="dxa" w:w="1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3</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1.261</w:t>
            </w:r>
          </w:p>
        </w:tc>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1.261</w:t>
            </w:r>
          </w:p>
        </w:tc>
      </w:tr>
      <w:tr>
        <w:trPr>
          <w:cantSplit/>
        </w:trPr>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5"/>
              </w:rPr>
              <w:t>150.0-152.5</w:t>
            </w:r>
          </w:p>
        </w:tc>
        <w:tc>
          <w:tcPr>
            <w:tcW w:type="dxa" w:w="1500"/>
            <w:tcMar>
              <w:top w:w="80" w:type="dxa"/>
              <w:bottom w:w="80" w:type="dxa"/>
              <w:start w:w="120" w:type="dxa"/>
              <w:end w:w="120" w:type="dxa"/>
            </w:tcMar>
            <w:vAlign w:val="center"/>
          </w:tcPr>
          <w:p>
            <w:pPr>
              <w:spacing w:after="0" w:line="252" w:lineRule="auto"/>
            </w:pPr>
            <w:r/>
            <w:r>
              <w:rPr>
                <w:rFonts w:ascii="Calibri" w:hAnsi="Calibri"/>
                <w:b w:val="0"/>
                <w:color w:val="152238"/>
                <w:sz w:val="15"/>
              </w:rPr>
              <w:t>0</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1.314</w:t>
            </w:r>
          </w:p>
        </w:tc>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tcMar>
              <w:top w:w="80" w:type="dxa"/>
              <w:bottom w:w="80" w:type="dxa"/>
              <w:start w:w="120" w:type="dxa"/>
              <w:end w:w="120" w:type="dxa"/>
            </w:tcMar>
            <w:vAlign w:val="center"/>
          </w:tcPr>
          <w:p>
            <w:pPr>
              <w:spacing w:after="0" w:line="252" w:lineRule="auto"/>
            </w:pPr>
            <w:r/>
            <w:r>
              <w:rPr>
                <w:rFonts w:ascii="Calibri" w:hAnsi="Calibri"/>
                <w:b w:val="0"/>
                <w:color w:val="152238"/>
                <w:sz w:val="15"/>
              </w:rPr>
              <w:t>1.314</w:t>
            </w:r>
          </w:p>
        </w:tc>
      </w:tr>
      <w:tr>
        <w:trPr>
          <w:cantSplit/>
        </w:trPr>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152.5-155.0</w:t>
            </w:r>
          </w:p>
        </w:tc>
        <w:tc>
          <w:tcPr>
            <w:tcW w:type="dxa" w:w="1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1.370</w:t>
            </w:r>
          </w:p>
        </w:tc>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1.370</w:t>
            </w:r>
          </w:p>
        </w:tc>
      </w:tr>
      <w:tr>
        <w:trPr>
          <w:cantSplit/>
        </w:trPr>
        <w:tc>
          <w:tcPr>
            <w:tcW w:type="dxa" w:w="2100"/>
            <w:tcMar>
              <w:top w:w="80" w:type="dxa"/>
              <w:bottom w:w="80" w:type="dxa"/>
              <w:start w:w="120" w:type="dxa"/>
              <w:end w:w="120" w:type="dxa"/>
            </w:tcMar>
            <w:vAlign w:val="center"/>
          </w:tcPr>
          <w:p>
            <w:pPr>
              <w:spacing w:after="0" w:line="252" w:lineRule="auto"/>
            </w:pPr>
            <w:r/>
            <w:r>
              <w:rPr>
                <w:rFonts w:ascii="Calibri" w:hAnsi="Calibri"/>
                <w:b w:val="0"/>
                <w:color w:val="152238"/>
                <w:sz w:val="15"/>
              </w:rPr>
              <w:t>155.0-157.5</w:t>
            </w:r>
          </w:p>
        </w:tc>
        <w:tc>
          <w:tcPr>
            <w:tcW w:type="dxa" w:w="1500"/>
            <w:tcMar>
              <w:top w:w="80" w:type="dxa"/>
              <w:bottom w:w="80" w:type="dxa"/>
              <w:start w:w="120" w:type="dxa"/>
              <w:end w:w="120" w:type="dxa"/>
            </w:tcMar>
            <w:vAlign w:val="center"/>
          </w:tcPr>
          <w:p>
            <w:pPr>
              <w:spacing w:after="0" w:line="252" w:lineRule="auto"/>
            </w:pPr>
            <w:r/>
            <w:r>
              <w:rPr>
                <w:rFonts w:ascii="Calibri" w:hAnsi="Calibri"/>
                <w:b w:val="0"/>
                <w:color w:val="152238"/>
                <w:sz w:val="15"/>
              </w:rPr>
              <w:t>1</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1.428</w:t>
            </w:r>
          </w:p>
        </w:tc>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tcMar>
              <w:top w:w="80" w:type="dxa"/>
              <w:bottom w:w="80" w:type="dxa"/>
              <w:start w:w="120" w:type="dxa"/>
              <w:end w:w="120" w:type="dxa"/>
            </w:tcMar>
            <w:vAlign w:val="center"/>
          </w:tcPr>
          <w:p>
            <w:pPr>
              <w:spacing w:after="0" w:line="252" w:lineRule="auto"/>
            </w:pPr>
            <w:r/>
            <w:r>
              <w:rPr>
                <w:rFonts w:ascii="Calibri" w:hAnsi="Calibri"/>
                <w:b w:val="0"/>
                <w:color w:val="152238"/>
                <w:sz w:val="15"/>
              </w:rPr>
              <w:t>1.428</w:t>
            </w:r>
          </w:p>
        </w:tc>
      </w:tr>
      <w:tr>
        <w:trPr>
          <w:cantSplit/>
        </w:trPr>
        <w:tc>
          <w:tcPr>
            <w:tcW w:type="dxa" w:w="21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157.5-160.0</w:t>
            </w:r>
          </w:p>
        </w:tc>
        <w:tc>
          <w:tcPr>
            <w:tcW w:type="dxa" w:w="1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2</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1.489</w:t>
            </w:r>
          </w:p>
        </w:tc>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0.000</w:t>
            </w:r>
          </w:p>
        </w:tc>
        <w:tc>
          <w:tcPr>
            <w:tcW w:type="dxa" w:w="20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1.489</w:t>
            </w:r>
          </w:p>
        </w:tc>
      </w:tr>
    </w:tbl>
    <w:p>
      <w:pPr>
        <w:spacing w:after="0"/>
      </w:pPr>
    </w:p>
    <w:p>
      <w:r>
        <w:br w:type="page"/>
      </w:r>
    </w:p>
    <w:p>
      <w:pPr>
        <w:spacing w:after="20"/>
      </w:pPr>
      <w:r>
        <w:rPr>
          <w:b/>
          <w:color w:val="2E74B5"/>
          <w:sz w:val="17"/>
        </w:rPr>
        <w:t>DOSSIER D05</w:t>
      </w:r>
    </w:p>
    <w:p>
      <w:pPr>
        <w:pStyle w:val="Heading1"/>
        <w:pBdr>
          <w:bottom w:val="single" w:sz="10" w:space="1" w:color="2E74B5"/>
        </w:pBdr>
      </w:pPr>
      <w:r>
        <w:t>5. XENONnT validation: released light-WIMP likelihood</w:t>
      </w:r>
    </w:p>
    <w:p>
      <w:pPr>
        <w:pStyle w:val="Heading2"/>
      </w:pPr>
      <w:r>
        <w:t>5.1 Public release and benchmark</w:t>
      </w:r>
    </w:p>
    <w:p>
      <w:r>
        <w:t>XENONnT's public light-WIMP release supplies unblinded events, four-dimensional templates, signal spectra, and official limits. The present test uses the spin-independent WIMP benchmark solely to validate the recoil-to-template and profile-likelihood pathway implied by D05. It does not identify the WIMP benchmark with an END particle.</w:t>
      </w:r>
    </w:p>
    <w:p>
      <w:pPr>
        <w:spacing w:after="20"/>
        <w:jc w:val="center"/>
      </w:pPr>
      <w:r>
        <w:drawing>
          <wp:inline xmlns:a="http://schemas.openxmlformats.org/drawingml/2006/main" xmlns:pic="http://schemas.openxmlformats.org/drawingml/2006/picture">
            <wp:extent cx="5577840" cy="446405"/>
            <wp:docPr id="8" name="Picture 8" title="eq_recoil" descr="Differential recoil rate equals local density divided by dark matter and target masses, times a velocity integral of the differential target cross section."/>
            <wp:cNvGraphicFramePr>
              <a:graphicFrameLocks noChangeAspect="1"/>
            </wp:cNvGraphicFramePr>
            <a:graphic>
              <a:graphicData uri="http://schemas.openxmlformats.org/drawingml/2006/picture">
                <pic:pic>
                  <pic:nvPicPr>
                    <pic:cNvPr id="0" name="eq_recoil.png"/>
                    <pic:cNvPicPr/>
                  </pic:nvPicPr>
                  <pic:blipFill>
                    <a:blip r:embed="rId17"/>
                    <a:stretch>
                      <a:fillRect/>
                    </a:stretch>
                  </pic:blipFill>
                  <pic:spPr>
                    <a:xfrm>
                      <a:off x="0" y="0"/>
                      <a:ext cx="5577840" cy="446405"/>
                    </a:xfrm>
                    <a:prstGeom prst="rect"/>
                  </pic:spPr>
                </pic:pic>
              </a:graphicData>
            </a:graphic>
          </wp:inline>
        </w:drawing>
      </w:r>
    </w:p>
    <w:p>
      <w:pPr>
        <w:spacing w:after="160"/>
        <w:jc w:val="center"/>
      </w:pPr>
      <w:r>
        <w:rPr>
          <w:i/>
          <w:color w:val="5B6573"/>
          <w:sz w:val="17"/>
        </w:rPr>
        <w:t>Equation 6. Recoil-rate bridge stated in D05. The public templates encode detector response downstream of this rate.</w:t>
      </w:r>
    </w:p>
    <w:p>
      <w:pPr>
        <w:pStyle w:val="Heading2"/>
      </w:pPr>
      <w:r>
        <w:t>5.2 Executable approximation</w:t>
      </w:r>
    </w:p>
    <w:p>
      <w:pPr>
        <w:spacing w:after="60"/>
        <w:ind w:left="403" w:hanging="317"/>
      </w:pPr>
      <w:r>
        <w:rPr>
          <w:b/>
        </w:rPr>
        <w:t xml:space="preserve">1.  </w:t>
      </w:r>
      <w:r>
        <w:t>Histogram 9 SR0 and 28 SR1 unblinded events in the released four-dimensional binning.</w:t>
      </w:r>
    </w:p>
    <w:p>
      <w:pPr>
        <w:spacing w:after="60"/>
        <w:ind w:left="403" w:hanging="317"/>
      </w:pPr>
      <w:r>
        <w:rPr>
          <w:b/>
        </w:rPr>
        <w:t xml:space="preserve">2.  </w:t>
      </w:r>
      <w:r>
        <w:t>Combine accidental-coincidence, solar-8B, electronic-recoil, and radiogenic-neutron templates with the released exposure factors.</w:t>
      </w:r>
    </w:p>
    <w:p>
      <w:pPr>
        <w:spacing w:after="60"/>
        <w:ind w:left="403" w:hanging="317"/>
      </w:pPr>
      <w:r>
        <w:rPr>
          <w:b/>
        </w:rPr>
        <w:t xml:space="preserve">3.  </w:t>
      </w:r>
      <w:r>
        <w:t>Use nominal light-yield and charge-yield templates (tly = tqy = 0) for 3, 4, 5, 6, 8, 10, and 12 GeV signal masses.</w:t>
      </w:r>
    </w:p>
    <w:p>
      <w:pPr>
        <w:spacing w:after="60"/>
        <w:ind w:left="403" w:hanging="317"/>
      </w:pPr>
      <w:r>
        <w:rPr>
          <w:b/>
        </w:rPr>
        <w:t xml:space="preserve">4.  </w:t>
      </w:r>
      <w:r>
        <w:t>Profile Gaussian rate and efficiency multipliers with the declared widths; constrain positive rates and efficiency to [0.5, 1.5].</w:t>
      </w:r>
    </w:p>
    <w:p>
      <w:pPr>
        <w:spacing w:after="60"/>
        <w:ind w:left="403" w:hanging="317"/>
      </w:pPr>
      <w:r>
        <w:rPr>
          <w:b/>
        </w:rPr>
        <w:t xml:space="preserve">5.  </w:t>
      </w:r>
      <w:r>
        <w:t>Find the 90% upper limit where q(mu) = 2.7055 and multiply by the released reference cross section.</w:t>
      </w:r>
    </w:p>
    <w:p>
      <w:r>
        <w:t>The upstream release documents that its fast asymptotic recast can be about 30% over-conservative compared with the rigorous construction. This study therefore freezes a +/-30% reproduction band for the nominal-yield regime. The 3-4 GeV threshold region is excluded from the pass/fail claim because yield morphing and boundary behavior dominate there.</w:t>
      </w:r>
    </w:p>
    <w:p>
      <w:pPr>
        <w:pStyle w:val="Heading2"/>
      </w:pPr>
      <w:r>
        <w:t>5.3 Results</w:t>
      </w:r>
    </w:p>
    <w:tbl>
      <w:tblPr>
        <w:tblStyle w:val="TableGrid"/>
        <w:tblW w:type="dxa" w:w="9360"/>
        <w:jc w:val="center"/>
        <w:tblLayout w:type="fixed"/>
        <w:tblLook w:firstColumn="1" w:firstRow="1" w:lastColumn="0" w:lastRow="0" w:noHBand="0" w:noVBand="1" w:val="04A0"/>
        <w:tblInd w:w="120" w:type="dxa"/>
      </w:tblPr>
      <w:tblGrid>
        <w:gridCol w:w="1300"/>
        <w:gridCol w:w="2500"/>
        <w:gridCol w:w="2200"/>
        <w:gridCol w:w="1700"/>
        <w:gridCol w:w="1660"/>
      </w:tblGrid>
      <w:tr>
        <w:trPr>
          <w:tblHeader w:val="true"/>
          <w:cantSplit/>
        </w:trPr>
        <w:tc>
          <w:tcPr>
            <w:tcW w:type="dxa" w:w="13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Mass [GeV]</w:t>
            </w:r>
          </w:p>
        </w:tc>
        <w:tc>
          <w:tcPr>
            <w:tcW w:type="dxa" w:w="25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Approx. 90% limit [cm^2]</w:t>
            </w:r>
          </w:p>
        </w:tc>
        <w:tc>
          <w:tcPr>
            <w:tcW w:type="dxa" w:w="22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Official [cm^2]</w:t>
            </w:r>
          </w:p>
        </w:tc>
        <w:tc>
          <w:tcPr>
            <w:tcW w:type="dxa" w:w="17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Difference</w:t>
            </w:r>
          </w:p>
        </w:tc>
        <w:tc>
          <w:tcPr>
            <w:tcW w:type="dxa" w:w="166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Decision</w:t>
            </w:r>
          </w:p>
        </w:tc>
      </w:tr>
      <w:tr>
        <w:trPr>
          <w:cantSplit/>
        </w:trPr>
        <w:tc>
          <w:tcPr>
            <w:tcW w:type="dxa" w:w="1300"/>
            <w:tcMar>
              <w:top w:w="80" w:type="dxa"/>
              <w:bottom w:w="80" w:type="dxa"/>
              <w:start w:w="120" w:type="dxa"/>
              <w:end w:w="120" w:type="dxa"/>
            </w:tcMar>
            <w:vAlign w:val="center"/>
          </w:tcPr>
          <w:p>
            <w:pPr>
              <w:spacing w:after="0" w:line="252" w:lineRule="auto"/>
            </w:pPr>
            <w:r/>
            <w:r>
              <w:rPr>
                <w:rFonts w:ascii="Calibri" w:hAnsi="Calibri"/>
                <w:b w:val="0"/>
                <w:color w:val="152238"/>
                <w:sz w:val="15"/>
              </w:rPr>
              <w:t>3</w:t>
            </w:r>
          </w:p>
        </w:tc>
        <w:tc>
          <w:tcPr>
            <w:tcW w:type="dxa" w:w="2500"/>
            <w:tcMar>
              <w:top w:w="80" w:type="dxa"/>
              <w:bottom w:w="80" w:type="dxa"/>
              <w:start w:w="120" w:type="dxa"/>
              <w:end w:w="120" w:type="dxa"/>
            </w:tcMar>
            <w:vAlign w:val="center"/>
          </w:tcPr>
          <w:p>
            <w:pPr>
              <w:spacing w:after="0" w:line="252" w:lineRule="auto"/>
            </w:pPr>
            <w:r/>
            <w:r>
              <w:rPr>
                <w:rFonts w:ascii="Calibri" w:hAnsi="Calibri"/>
                <w:b w:val="0"/>
                <w:color w:val="152238"/>
                <w:sz w:val="15"/>
              </w:rPr>
              <w:t>2.0963e-42</w:t>
            </w:r>
          </w:p>
        </w:tc>
        <w:tc>
          <w:tcPr>
            <w:tcW w:type="dxa" w:w="2200"/>
            <w:tcMar>
              <w:top w:w="80" w:type="dxa"/>
              <w:bottom w:w="80" w:type="dxa"/>
              <w:start w:w="120" w:type="dxa"/>
              <w:end w:w="120" w:type="dxa"/>
            </w:tcMar>
            <w:vAlign w:val="center"/>
          </w:tcPr>
          <w:p>
            <w:pPr>
              <w:spacing w:after="0" w:line="252" w:lineRule="auto"/>
            </w:pPr>
            <w:r/>
            <w:r>
              <w:rPr>
                <w:rFonts w:ascii="Calibri" w:hAnsi="Calibri"/>
                <w:b w:val="0"/>
                <w:color w:val="152238"/>
                <w:sz w:val="15"/>
              </w:rPr>
              <w:t>8.6740e-42</w:t>
            </w:r>
          </w:p>
        </w:tc>
        <w:tc>
          <w:tcPr>
            <w:tcW w:type="dxa" w:w="1700"/>
            <w:tcMar>
              <w:top w:w="80" w:type="dxa"/>
              <w:bottom w:w="80" w:type="dxa"/>
              <w:start w:w="120" w:type="dxa"/>
              <w:end w:w="120" w:type="dxa"/>
            </w:tcMar>
            <w:vAlign w:val="center"/>
          </w:tcPr>
          <w:p>
            <w:pPr>
              <w:spacing w:after="0" w:line="252" w:lineRule="auto"/>
            </w:pPr>
            <w:r/>
            <w:r>
              <w:rPr>
                <w:rFonts w:ascii="Calibri" w:hAnsi="Calibri"/>
                <w:b w:val="0"/>
                <w:color w:val="152238"/>
                <w:sz w:val="15"/>
              </w:rPr>
              <w:t>-75.83%</w:t>
            </w:r>
          </w:p>
        </w:tc>
        <w:tc>
          <w:tcPr>
            <w:tcW w:type="dxa" w:w="1660"/>
            <w:tcMar>
              <w:top w:w="80" w:type="dxa"/>
              <w:bottom w:w="80" w:type="dxa"/>
              <w:start w:w="120" w:type="dxa"/>
              <w:end w:w="120" w:type="dxa"/>
            </w:tcMar>
            <w:vAlign w:val="center"/>
            <w:shd w:fill="EEF1F4"/>
          </w:tcPr>
          <w:p>
            <w:pPr>
              <w:spacing w:after="0" w:line="252" w:lineRule="auto"/>
            </w:pPr>
            <w:r/>
            <w:r>
              <w:rPr>
                <w:rFonts w:ascii="Calibri" w:hAnsi="Calibri"/>
                <w:b w:val="0"/>
                <w:color w:val="152238"/>
                <w:sz w:val="15"/>
              </w:rPr>
              <w:t>Out of scope</w:t>
            </w:r>
          </w:p>
        </w:tc>
      </w:tr>
      <w:tr>
        <w:trPr>
          <w:cantSplit/>
        </w:trPr>
        <w:tc>
          <w:tcPr>
            <w:tcW w:type="dxa" w:w="13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4</w:t>
            </w:r>
          </w:p>
        </w:tc>
        <w:tc>
          <w:tcPr>
            <w:tcW w:type="dxa" w:w="2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7.9468e-44</w:t>
            </w:r>
          </w:p>
        </w:tc>
        <w:tc>
          <w:tcPr>
            <w:tcW w:type="dxa" w:w="22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1.2944e-43</w:t>
            </w:r>
          </w:p>
        </w:tc>
        <w:tc>
          <w:tcPr>
            <w:tcW w:type="dxa" w:w="17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-38.61%</w:t>
            </w:r>
          </w:p>
        </w:tc>
        <w:tc>
          <w:tcPr>
            <w:tcW w:type="dxa" w:w="1660"/>
            <w:shd w:fill="EEF1F4"/>
            <w:tcMar>
              <w:top w:w="80" w:type="dxa"/>
              <w:bottom w:w="80" w:type="dxa"/>
              <w:start w:w="120" w:type="dxa"/>
              <w:end w:w="120" w:type="dxa"/>
            </w:tcMar>
            <w:vAlign w:val="center"/>
          </w:tcPr>
          <w:p>
            <w:pPr>
              <w:spacing w:after="0" w:line="252" w:lineRule="auto"/>
            </w:pPr>
            <w:r/>
            <w:r>
              <w:rPr>
                <w:rFonts w:ascii="Calibri" w:hAnsi="Calibri"/>
                <w:b w:val="0"/>
                <w:color w:val="152238"/>
                <w:sz w:val="15"/>
              </w:rPr>
              <w:t>Out of scope</w:t>
            </w:r>
          </w:p>
        </w:tc>
      </w:tr>
      <w:tr>
        <w:trPr>
          <w:cantSplit/>
        </w:trPr>
        <w:tc>
          <w:tcPr>
            <w:tcW w:type="dxa" w:w="1300"/>
            <w:tcMar>
              <w:top w:w="80" w:type="dxa"/>
              <w:bottom w:w="80" w:type="dxa"/>
              <w:start w:w="120" w:type="dxa"/>
              <w:end w:w="120" w:type="dxa"/>
            </w:tcMar>
            <w:vAlign w:val="center"/>
          </w:tcPr>
          <w:p>
            <w:pPr>
              <w:spacing w:after="0" w:line="252" w:lineRule="auto"/>
            </w:pPr>
            <w:r/>
            <w:r>
              <w:rPr>
                <w:rFonts w:ascii="Calibri" w:hAnsi="Calibri"/>
                <w:b w:val="0"/>
                <w:color w:val="152238"/>
                <w:sz w:val="15"/>
              </w:rPr>
              <w:t>5</w:t>
            </w:r>
          </w:p>
        </w:tc>
        <w:tc>
          <w:tcPr>
            <w:tcW w:type="dxa" w:w="2500"/>
            <w:tcMar>
              <w:top w:w="80" w:type="dxa"/>
              <w:bottom w:w="80" w:type="dxa"/>
              <w:start w:w="120" w:type="dxa"/>
              <w:end w:w="120" w:type="dxa"/>
            </w:tcMar>
            <w:vAlign w:val="center"/>
          </w:tcPr>
          <w:p>
            <w:pPr>
              <w:spacing w:after="0" w:line="252" w:lineRule="auto"/>
            </w:pPr>
            <w:r/>
            <w:r>
              <w:rPr>
                <w:rFonts w:ascii="Calibri" w:hAnsi="Calibri"/>
                <w:b w:val="0"/>
                <w:color w:val="152238"/>
                <w:sz w:val="15"/>
              </w:rPr>
              <w:t>1.0249e-44</w:t>
            </w:r>
          </w:p>
        </w:tc>
        <w:tc>
          <w:tcPr>
            <w:tcW w:type="dxa" w:w="2200"/>
            <w:tcMar>
              <w:top w:w="80" w:type="dxa"/>
              <w:bottom w:w="80" w:type="dxa"/>
              <w:start w:w="120" w:type="dxa"/>
              <w:end w:w="120" w:type="dxa"/>
            </w:tcMar>
            <w:vAlign w:val="center"/>
          </w:tcPr>
          <w:p>
            <w:pPr>
              <w:spacing w:after="0" w:line="252" w:lineRule="auto"/>
            </w:pPr>
            <w:r/>
            <w:r>
              <w:rPr>
                <w:rFonts w:ascii="Calibri" w:hAnsi="Calibri"/>
                <w:b w:val="0"/>
                <w:color w:val="152238"/>
                <w:sz w:val="15"/>
              </w:rPr>
              <w:t>1.3283e-44</w:t>
            </w:r>
          </w:p>
        </w:tc>
        <w:tc>
          <w:tcPr>
            <w:tcW w:type="dxa" w:w="1700"/>
            <w:tcMar>
              <w:top w:w="80" w:type="dxa"/>
              <w:bottom w:w="80" w:type="dxa"/>
              <w:start w:w="120" w:type="dxa"/>
              <w:end w:w="120" w:type="dxa"/>
            </w:tcMar>
            <w:vAlign w:val="center"/>
          </w:tcPr>
          <w:p>
            <w:pPr>
              <w:spacing w:after="0" w:line="252" w:lineRule="auto"/>
            </w:pPr>
            <w:r/>
            <w:r>
              <w:rPr>
                <w:rFonts w:ascii="Calibri" w:hAnsi="Calibri"/>
                <w:b w:val="0"/>
                <w:color w:val="152238"/>
                <w:sz w:val="15"/>
              </w:rPr>
              <w:t>-22.84%</w:t>
            </w:r>
          </w:p>
        </w:tc>
        <w:tc>
          <w:tcPr>
            <w:tcW w:type="dxa" w:w="1660"/>
            <w:tcMar>
              <w:top w:w="80" w:type="dxa"/>
              <w:bottom w:w="80" w:type="dxa"/>
              <w:start w:w="120" w:type="dxa"/>
              <w:end w:w="120" w:type="dxa"/>
            </w:tcMar>
            <w:vAlign w:val="center"/>
            <w:shd w:fill="EAF4EE"/>
          </w:tcPr>
          <w:p>
            <w:pPr>
              <w:spacing w:after="0" w:line="252" w:lineRule="auto"/>
            </w:pPr>
            <w:r>
              <w:rPr>
                <w:b/>
                <w:color w:val="26734D"/>
              </w:rPr>
            </w:r>
            <w:r>
              <w:rPr>
                <w:rFonts w:ascii="Calibri" w:hAnsi="Calibri"/>
                <w:b/>
                <w:color w:val="26734D"/>
                <w:sz w:val="15"/>
              </w:rPr>
              <w:t>PASS</w:t>
            </w:r>
          </w:p>
        </w:tc>
      </w:tr>
      <w:tr>
        <w:trPr>
          <w:cantSplit/>
        </w:trPr>
        <w:tc>
          <w:tcPr>
            <w:tcW w:type="dxa" w:w="13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6</w:t>
            </w:r>
          </w:p>
        </w:tc>
        <w:tc>
          <w:tcPr>
            <w:tcW w:type="dxa" w:w="2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2.2190e-45</w:t>
            </w:r>
          </w:p>
        </w:tc>
        <w:tc>
          <w:tcPr>
            <w:tcW w:type="dxa" w:w="22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2.5324e-45</w:t>
            </w:r>
          </w:p>
        </w:tc>
        <w:tc>
          <w:tcPr>
            <w:tcW w:type="dxa" w:w="17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-12.37%</w:t>
            </w:r>
          </w:p>
        </w:tc>
        <w:tc>
          <w:tcPr>
            <w:tcW w:type="dxa" w:w="1660"/>
            <w:shd w:fill="EAF4EE"/>
            <w:tcMar>
              <w:top w:w="80" w:type="dxa"/>
              <w:bottom w:w="80" w:type="dxa"/>
              <w:start w:w="120" w:type="dxa"/>
              <w:end w:w="120" w:type="dxa"/>
            </w:tcMar>
            <w:vAlign w:val="center"/>
          </w:tcPr>
          <w:p>
            <w:pPr>
              <w:spacing w:after="0" w:line="252" w:lineRule="auto"/>
            </w:pPr>
            <w:r>
              <w:rPr>
                <w:b/>
                <w:color w:val="26734D"/>
              </w:rPr>
            </w:r>
            <w:r>
              <w:rPr>
                <w:rFonts w:ascii="Calibri" w:hAnsi="Calibri"/>
                <w:b/>
                <w:color w:val="26734D"/>
                <w:sz w:val="15"/>
              </w:rPr>
              <w:t>PASS</w:t>
            </w:r>
          </w:p>
        </w:tc>
      </w:tr>
      <w:tr>
        <w:trPr>
          <w:cantSplit/>
        </w:trPr>
        <w:tc>
          <w:tcPr>
            <w:tcW w:type="dxa" w:w="1300"/>
            <w:tcMar>
              <w:top w:w="80" w:type="dxa"/>
              <w:bottom w:w="80" w:type="dxa"/>
              <w:start w:w="120" w:type="dxa"/>
              <w:end w:w="120" w:type="dxa"/>
            </w:tcMar>
            <w:vAlign w:val="center"/>
          </w:tcPr>
          <w:p>
            <w:pPr>
              <w:spacing w:after="0" w:line="252" w:lineRule="auto"/>
            </w:pPr>
            <w:r/>
            <w:r>
              <w:rPr>
                <w:rFonts w:ascii="Calibri" w:hAnsi="Calibri"/>
                <w:b w:val="0"/>
                <w:color w:val="152238"/>
                <w:sz w:val="15"/>
              </w:rPr>
              <w:t>8</w:t>
            </w:r>
          </w:p>
        </w:tc>
        <w:tc>
          <w:tcPr>
            <w:tcW w:type="dxa" w:w="2500"/>
            <w:tcMar>
              <w:top w:w="80" w:type="dxa"/>
              <w:bottom w:w="80" w:type="dxa"/>
              <w:start w:w="120" w:type="dxa"/>
              <w:end w:w="120" w:type="dxa"/>
            </w:tcMar>
            <w:vAlign w:val="center"/>
          </w:tcPr>
          <w:p>
            <w:pPr>
              <w:spacing w:after="0" w:line="252" w:lineRule="auto"/>
            </w:pPr>
            <w:r/>
            <w:r>
              <w:rPr>
                <w:rFonts w:ascii="Calibri" w:hAnsi="Calibri"/>
                <w:b w:val="0"/>
                <w:color w:val="152238"/>
                <w:sz w:val="15"/>
              </w:rPr>
              <w:t>3.4499e-46</w:t>
            </w:r>
          </w:p>
        </w:tc>
        <w:tc>
          <w:tcPr>
            <w:tcW w:type="dxa" w:w="2200"/>
            <w:tcMar>
              <w:top w:w="80" w:type="dxa"/>
              <w:bottom w:w="80" w:type="dxa"/>
              <w:start w:w="120" w:type="dxa"/>
              <w:end w:w="120" w:type="dxa"/>
            </w:tcMar>
            <w:vAlign w:val="center"/>
          </w:tcPr>
          <w:p>
            <w:pPr>
              <w:spacing w:after="0" w:line="252" w:lineRule="auto"/>
            </w:pPr>
            <w:r/>
            <w:r>
              <w:rPr>
                <w:rFonts w:ascii="Calibri" w:hAnsi="Calibri"/>
                <w:b w:val="0"/>
                <w:color w:val="152238"/>
                <w:sz w:val="15"/>
              </w:rPr>
              <w:t>3.2888e-46</w:t>
            </w:r>
          </w:p>
        </w:tc>
        <w:tc>
          <w:tcPr>
            <w:tcW w:type="dxa" w:w="1700"/>
            <w:tcMar>
              <w:top w:w="80" w:type="dxa"/>
              <w:bottom w:w="80" w:type="dxa"/>
              <w:start w:w="120" w:type="dxa"/>
              <w:end w:w="120" w:type="dxa"/>
            </w:tcMar>
            <w:vAlign w:val="center"/>
          </w:tcPr>
          <w:p>
            <w:pPr>
              <w:spacing w:after="0" w:line="252" w:lineRule="auto"/>
            </w:pPr>
            <w:r/>
            <w:r>
              <w:rPr>
                <w:rFonts w:ascii="Calibri" w:hAnsi="Calibri"/>
                <w:b w:val="0"/>
                <w:color w:val="152238"/>
                <w:sz w:val="15"/>
              </w:rPr>
              <w:t>+4.90%</w:t>
            </w:r>
          </w:p>
        </w:tc>
        <w:tc>
          <w:tcPr>
            <w:tcW w:type="dxa" w:w="1660"/>
            <w:tcMar>
              <w:top w:w="80" w:type="dxa"/>
              <w:bottom w:w="80" w:type="dxa"/>
              <w:start w:w="120" w:type="dxa"/>
              <w:end w:w="120" w:type="dxa"/>
            </w:tcMar>
            <w:vAlign w:val="center"/>
            <w:shd w:fill="EAF4EE"/>
          </w:tcPr>
          <w:p>
            <w:pPr>
              <w:spacing w:after="0" w:line="252" w:lineRule="auto"/>
            </w:pPr>
            <w:r>
              <w:rPr>
                <w:b/>
                <w:color w:val="26734D"/>
              </w:rPr>
            </w:r>
            <w:r>
              <w:rPr>
                <w:rFonts w:ascii="Calibri" w:hAnsi="Calibri"/>
                <w:b/>
                <w:color w:val="26734D"/>
                <w:sz w:val="15"/>
              </w:rPr>
              <w:t>PASS</w:t>
            </w:r>
          </w:p>
        </w:tc>
      </w:tr>
      <w:tr>
        <w:trPr>
          <w:cantSplit/>
        </w:trPr>
        <w:tc>
          <w:tcPr>
            <w:tcW w:type="dxa" w:w="13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10</w:t>
            </w:r>
          </w:p>
        </w:tc>
        <w:tc>
          <w:tcPr>
            <w:tcW w:type="dxa" w:w="25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1.4327e-46</w:t>
            </w:r>
          </w:p>
        </w:tc>
        <w:tc>
          <w:tcPr>
            <w:tcW w:type="dxa" w:w="22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1.4554e-46</w:t>
            </w:r>
          </w:p>
        </w:tc>
        <w:tc>
          <w:tcPr>
            <w:tcW w:type="dxa" w:w="17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-1.56%</w:t>
            </w:r>
          </w:p>
        </w:tc>
        <w:tc>
          <w:tcPr>
            <w:tcW w:type="dxa" w:w="1660"/>
            <w:shd w:fill="EAF4EE"/>
            <w:tcMar>
              <w:top w:w="80" w:type="dxa"/>
              <w:bottom w:w="80" w:type="dxa"/>
              <w:start w:w="120" w:type="dxa"/>
              <w:end w:w="120" w:type="dxa"/>
            </w:tcMar>
            <w:vAlign w:val="center"/>
          </w:tcPr>
          <w:p>
            <w:pPr>
              <w:spacing w:after="0" w:line="252" w:lineRule="auto"/>
            </w:pPr>
            <w:r>
              <w:rPr>
                <w:b/>
                <w:color w:val="26734D"/>
              </w:rPr>
            </w:r>
            <w:r>
              <w:rPr>
                <w:rFonts w:ascii="Calibri" w:hAnsi="Calibri"/>
                <w:b/>
                <w:color w:val="26734D"/>
                <w:sz w:val="15"/>
              </w:rPr>
              <w:t>PASS</w:t>
            </w:r>
          </w:p>
        </w:tc>
      </w:tr>
      <w:tr>
        <w:trPr>
          <w:cantSplit/>
        </w:trPr>
        <w:tc>
          <w:tcPr>
            <w:tcW w:type="dxa" w:w="1300"/>
            <w:tcMar>
              <w:top w:w="80" w:type="dxa"/>
              <w:bottom w:w="80" w:type="dxa"/>
              <w:start w:w="120" w:type="dxa"/>
              <w:end w:w="120" w:type="dxa"/>
            </w:tcMar>
            <w:vAlign w:val="center"/>
          </w:tcPr>
          <w:p>
            <w:pPr>
              <w:spacing w:after="0" w:line="252" w:lineRule="auto"/>
            </w:pPr>
            <w:r/>
            <w:r>
              <w:rPr>
                <w:rFonts w:ascii="Calibri" w:hAnsi="Calibri"/>
                <w:b w:val="0"/>
                <w:color w:val="152238"/>
                <w:sz w:val="15"/>
              </w:rPr>
              <w:t>12</w:t>
            </w:r>
          </w:p>
        </w:tc>
        <w:tc>
          <w:tcPr>
            <w:tcW w:type="dxa" w:w="2500"/>
            <w:tcMar>
              <w:top w:w="80" w:type="dxa"/>
              <w:bottom w:w="80" w:type="dxa"/>
              <w:start w:w="120" w:type="dxa"/>
              <w:end w:w="120" w:type="dxa"/>
            </w:tcMar>
            <w:vAlign w:val="center"/>
          </w:tcPr>
          <w:p>
            <w:pPr>
              <w:spacing w:after="0" w:line="252" w:lineRule="auto"/>
            </w:pPr>
            <w:r/>
            <w:r>
              <w:rPr>
                <w:rFonts w:ascii="Calibri" w:hAnsi="Calibri"/>
                <w:b w:val="0"/>
                <w:color w:val="152238"/>
                <w:sz w:val="15"/>
              </w:rPr>
              <w:t>9.3483e-47</w:t>
            </w:r>
          </w:p>
        </w:tc>
        <w:tc>
          <w:tcPr>
            <w:tcW w:type="dxa" w:w="2200"/>
            <w:tcMar>
              <w:top w:w="80" w:type="dxa"/>
              <w:bottom w:w="80" w:type="dxa"/>
              <w:start w:w="120" w:type="dxa"/>
              <w:end w:w="120" w:type="dxa"/>
            </w:tcMar>
            <w:vAlign w:val="center"/>
          </w:tcPr>
          <w:p>
            <w:pPr>
              <w:spacing w:after="0" w:line="252" w:lineRule="auto"/>
            </w:pPr>
            <w:r/>
            <w:r>
              <w:rPr>
                <w:rFonts w:ascii="Calibri" w:hAnsi="Calibri"/>
                <w:b w:val="0"/>
                <w:color w:val="152238"/>
                <w:sz w:val="15"/>
              </w:rPr>
              <w:t>9.7876e-47</w:t>
            </w:r>
          </w:p>
        </w:tc>
        <w:tc>
          <w:tcPr>
            <w:tcW w:type="dxa" w:w="1700"/>
            <w:tcMar>
              <w:top w:w="80" w:type="dxa"/>
              <w:bottom w:w="80" w:type="dxa"/>
              <w:start w:w="120" w:type="dxa"/>
              <w:end w:w="120" w:type="dxa"/>
            </w:tcMar>
            <w:vAlign w:val="center"/>
          </w:tcPr>
          <w:p>
            <w:pPr>
              <w:spacing w:after="0" w:line="252" w:lineRule="auto"/>
            </w:pPr>
            <w:r/>
            <w:r>
              <w:rPr>
                <w:rFonts w:ascii="Calibri" w:hAnsi="Calibri"/>
                <w:b w:val="0"/>
                <w:color w:val="152238"/>
                <w:sz w:val="15"/>
              </w:rPr>
              <w:t>-4.49%</w:t>
            </w:r>
          </w:p>
        </w:tc>
        <w:tc>
          <w:tcPr>
            <w:tcW w:type="dxa" w:w="1660"/>
            <w:tcMar>
              <w:top w:w="80" w:type="dxa"/>
              <w:bottom w:w="80" w:type="dxa"/>
              <w:start w:w="120" w:type="dxa"/>
              <w:end w:w="120" w:type="dxa"/>
            </w:tcMar>
            <w:vAlign w:val="center"/>
            <w:shd w:fill="EAF4EE"/>
          </w:tcPr>
          <w:p>
            <w:pPr>
              <w:spacing w:after="0" w:line="252" w:lineRule="auto"/>
            </w:pPr>
            <w:r>
              <w:rPr>
                <w:b/>
                <w:color w:val="26734D"/>
              </w:rPr>
            </w:r>
            <w:r>
              <w:rPr>
                <w:rFonts w:ascii="Calibri" w:hAnsi="Calibri"/>
                <w:b/>
                <w:color w:val="26734D"/>
                <w:sz w:val="15"/>
              </w:rPr>
              <w:t>PASS</w:t>
            </w:r>
          </w:p>
        </w:tc>
      </w:tr>
    </w:tbl>
    <w:p>
      <w:pPr>
        <w:spacing w:after="0"/>
      </w:pPr>
    </w:p>
    <w:p>
      <w:pPr>
        <w:spacing w:after="40"/>
        <w:jc w:val="center"/>
      </w:pPr>
      <w:r>
        <w:drawing>
          <wp:inline xmlns:a="http://schemas.openxmlformats.org/drawingml/2006/main" xmlns:pic="http://schemas.openxmlformats.org/drawingml/2006/picture">
            <wp:extent cx="5806440" cy="2375230"/>
            <wp:docPr id="9" name="Picture 9" title="figure_xenonnt_reproduction" descr="Figure 3. Nominal-yield XENONnT limit reproduction. Gray 3-4 GeV points are shown diagnostically but excluded from the frozen claim."/>
            <wp:cNvGraphicFramePr>
              <a:graphicFrameLocks noChangeAspect="1"/>
            </wp:cNvGraphicFramePr>
            <a:graphic>
              <a:graphicData uri="http://schemas.openxmlformats.org/drawingml/2006/picture">
                <pic:pic>
                  <pic:nvPicPr>
                    <pic:cNvPr id="0" name="figure_xenonnt_reproduction.png"/>
                    <pic:cNvPicPr/>
                  </pic:nvPicPr>
                  <pic:blipFill>
                    <a:blip r:embed="rId18"/>
                    <a:stretch>
                      <a:fillRect/>
                    </a:stretch>
                  </pic:blipFill>
                  <pic:spPr>
                    <a:xfrm>
                      <a:off x="0" y="0"/>
                      <a:ext cx="5806440" cy="2375230"/>
                    </a:xfrm>
                    <a:prstGeom prst="rect"/>
                  </pic:spPr>
                </pic:pic>
              </a:graphicData>
            </a:graphic>
          </wp:inline>
        </w:drawing>
      </w:r>
    </w:p>
    <w:p>
      <w:pPr>
        <w:pStyle w:val="Caption"/>
        <w:spacing w:after="140"/>
        <w:jc w:val="center"/>
      </w:pPr>
      <w:r>
        <w:t>Figure 3. Nominal-yield XENONnT limit reproduction. Gray 3-4 GeV points are shown diagnostically but excluded from the frozen claim.</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shd w:fill="EAF4EE"/>
            <w:tcMar>
              <w:top w:w="80" w:type="dxa"/>
              <w:bottom w:w="80" w:type="dxa"/>
              <w:start w:w="120" w:type="dxa"/>
              <w:end w:w="120" w:type="dxa"/>
            </w:tcMar>
            <w:vAlign w:val="center"/>
          </w:tcPr>
          <w:p>
            <w:pPr>
              <w:spacing w:after="80"/>
            </w:pPr>
            <w:r>
              <w:rPr>
                <w:b/>
                <w:color w:val="26734D"/>
                <w:sz w:val="21"/>
              </w:rPr>
              <w:t>DECISION</w:t>
            </w:r>
          </w:p>
          <w:p>
            <w:pPr>
              <w:spacing w:after="0" w:line="269" w:lineRule="auto"/>
            </w:pPr>
            <w:r>
              <w:rPr>
                <w:color w:val="152238"/>
                <w:sz w:val="19"/>
              </w:rPr>
              <w:t>PASS within declared scope. The maximum absolute difference across 5, 6, 8, 10, and 12 GeV is 22.84%, below the 30% tolerance documented for the fast asymptotic workflow.</w:t>
            </w:r>
          </w:p>
        </w:tc>
      </w:tr>
    </w:tbl>
    <w:p>
      <w:pPr>
        <w:spacing w:after="0"/>
      </w:pPr>
    </w:p>
    <w:p>
      <w:pPr>
        <w:pStyle w:val="Heading2"/>
      </w:pPr>
      <w:r>
        <w:t>5.4 Boundary and nuisance behavior</w:t>
      </w:r>
    </w:p>
    <w:p>
      <w:r>
        <w:t>At 3 and 4 GeV, the residuals are -75.83% and -38.61%, respectively. These are not hidden failures: they are reported and plotted because they show exactly where the nominal-yield shortcut ceases to approximate the full release. At 5-12 GeV the residuals range from -22.85% to +4.90%. The sign is not uniformly conservative, so the tolerance is treated as an approximation magnitude, not as a one-sided guarantee.</w:t>
      </w:r>
    </w:p>
    <w:p>
      <w:r>
        <w:t>A genuine END dark-sector test must add a parameter card containing at minimum the candidate mass, target-level differential cross section or mediator model, halo assumptions, and the mapping to the released detector template dimensions. None is supplied in the source manuscript, so the reported curve remains a validation of the public benchmark likelihood only.</w:t>
      </w:r>
    </w:p>
    <w:p>
      <w:r>
        <w:br w:type="page"/>
      </w:r>
    </w:p>
    <w:p>
      <w:pPr>
        <w:spacing w:after="20"/>
      </w:pPr>
      <w:r>
        <w:rPr>
          <w:b/>
          <w:color w:val="2E74B5"/>
          <w:sz w:val="17"/>
        </w:rPr>
        <w:t>DOSSIER D06</w:t>
      </w:r>
    </w:p>
    <w:p>
      <w:pPr>
        <w:pStyle w:val="Heading1"/>
        <w:pBdr>
          <w:bottom w:val="single" w:sz="10" w:space="1" w:color="2E74B5"/>
        </w:pBdr>
      </w:pPr>
      <w:r>
        <w:t>6. DUNE validation: Hamiltonian integrity and forecast</w:t>
      </w:r>
    </w:p>
    <w:p>
      <w:pPr>
        <w:pStyle w:val="Heading2"/>
      </w:pPr>
      <w:r>
        <w:t>6.1 Availability and claim status</w:t>
      </w:r>
    </w:p>
    <w:p>
      <w:r>
        <w:t>No empirical DUNE oscillation dataset suitable for an END fit is used here. The public DUNE plot database and TDR-approximation ancillary release provide fluxes, cross sections, efficiencies, migration material, and GLoBES configuration files for sensitivity studies. The source manuscript itself characterizes D06 as a forecast until public data exist. This companion follows that rule.</w:t>
      </w:r>
    </w:p>
    <w:p>
      <w:pPr>
        <w:spacing w:after="20"/>
        <w:jc w:val="center"/>
      </w:pPr>
      <w:r>
        <w:drawing>
          <wp:inline xmlns:a="http://schemas.openxmlformats.org/drawingml/2006/main" xmlns:pic="http://schemas.openxmlformats.org/drawingml/2006/picture">
            <wp:extent cx="5577840" cy="446405"/>
            <wp:docPr id="10" name="Picture 10" title="eq_dune" descr="Neutrino flavour Hamiltonian containing the vacuum mass term, matter potential, and H END nu."/>
            <wp:cNvGraphicFramePr>
              <a:graphicFrameLocks noChangeAspect="1"/>
            </wp:cNvGraphicFramePr>
            <a:graphic>
              <a:graphicData uri="http://schemas.openxmlformats.org/drawingml/2006/picture">
                <pic:pic>
                  <pic:nvPicPr>
                    <pic:cNvPr id="0" name="eq_dune.png"/>
                    <pic:cNvPicPr/>
                  </pic:nvPicPr>
                  <pic:blipFill>
                    <a:blip r:embed="rId19"/>
                    <a:stretch>
                      <a:fillRect/>
                    </a:stretch>
                  </pic:blipFill>
                  <pic:spPr>
                    <a:xfrm>
                      <a:off x="0" y="0"/>
                      <a:ext cx="5577840" cy="446405"/>
                    </a:xfrm>
                    <a:prstGeom prst="rect"/>
                  </pic:spPr>
                </pic:pic>
              </a:graphicData>
            </a:graphic>
          </wp:inline>
        </w:drawing>
      </w:r>
    </w:p>
    <w:p>
      <w:pPr>
        <w:spacing w:after="160"/>
        <w:jc w:val="center"/>
      </w:pPr>
      <w:r>
        <w:rPr>
          <w:i/>
          <w:color w:val="5B6573"/>
          <w:sz w:val="17"/>
        </w:rPr>
        <w:t>Equation 7. D06 flavour-evolution Hamiltonian. This validation sets H_ENDnu = 0 and tests the standard component.</w:t>
      </w:r>
    </w:p>
    <w:p>
      <w:pPr>
        <w:pStyle w:val="Heading2"/>
      </w:pPr>
      <w:r>
        <w:t>6.2 Frozen standard oscillation inputs</w:t>
      </w:r>
    </w:p>
    <w:tbl>
      <w:tblPr>
        <w:tblStyle w:val="TableGrid"/>
        <w:tblW w:type="dxa" w:w="9360"/>
        <w:jc w:val="center"/>
        <w:tblLayout w:type="fixed"/>
        <w:tblLook w:firstColumn="1" w:firstRow="1" w:lastColumn="0" w:lastRow="0" w:noHBand="0" w:noVBand="1" w:val="04A0"/>
        <w:tblInd w:w="120" w:type="dxa"/>
      </w:tblPr>
      <w:tblGrid>
        <w:gridCol w:w="3600"/>
        <w:gridCol w:w="5760"/>
      </w:tblGrid>
      <w:tr>
        <w:trPr>
          <w:tblHeader w:val="true"/>
          <w:cantSplit/>
        </w:trPr>
        <w:tc>
          <w:tcPr>
            <w:tcW w:type="dxa" w:w="3600"/>
            <w:shd w:fill="E8EEF5"/>
            <w:tcMar>
              <w:top w:w="80" w:type="dxa"/>
              <w:bottom w:w="80" w:type="dxa"/>
              <w:start w:w="120" w:type="dxa"/>
              <w:end w:w="120" w:type="dxa"/>
            </w:tcMar>
            <w:vAlign w:val="center"/>
          </w:tcPr>
          <w:p>
            <w:pPr>
              <w:spacing w:after="0" w:line="252" w:lineRule="auto"/>
            </w:pPr>
            <w:r/>
            <w:r>
              <w:rPr>
                <w:rFonts w:ascii="Calibri" w:hAnsi="Calibri"/>
                <w:b/>
                <w:color w:val="1F4E79"/>
                <w:sz w:val="17"/>
              </w:rPr>
              <w:t>Parameter</w:t>
            </w:r>
          </w:p>
        </w:tc>
        <w:tc>
          <w:tcPr>
            <w:tcW w:type="dxa" w:w="5760"/>
            <w:shd w:fill="E8EEF5"/>
            <w:tcMar>
              <w:top w:w="80" w:type="dxa"/>
              <w:bottom w:w="80" w:type="dxa"/>
              <w:start w:w="120" w:type="dxa"/>
              <w:end w:w="120" w:type="dxa"/>
            </w:tcMar>
            <w:vAlign w:val="center"/>
          </w:tcPr>
          <w:p>
            <w:pPr>
              <w:spacing w:after="0" w:line="252" w:lineRule="auto"/>
            </w:pPr>
            <w:r/>
            <w:r>
              <w:rPr>
                <w:rFonts w:ascii="Calibri" w:hAnsi="Calibri"/>
                <w:b/>
                <w:color w:val="1F4E79"/>
                <w:sz w:val="17"/>
              </w:rPr>
              <w:t>Value</w:t>
            </w:r>
          </w:p>
        </w:tc>
      </w:tr>
      <w:tr>
        <w:trPr>
          <w:cantSplit/>
        </w:trPr>
        <w:tc>
          <w:tcPr>
            <w:tcW w:type="dxa" w:w="3600"/>
            <w:tcMar>
              <w:top w:w="80" w:type="dxa"/>
              <w:bottom w:w="80" w:type="dxa"/>
              <w:start w:w="120" w:type="dxa"/>
              <w:end w:w="120" w:type="dxa"/>
            </w:tcMar>
            <w:vAlign w:val="center"/>
          </w:tcPr>
          <w:p>
            <w:pPr>
              <w:spacing w:after="0" w:line="252" w:lineRule="auto"/>
            </w:pPr>
            <w:r/>
            <w:r>
              <w:rPr>
                <w:rFonts w:ascii="Calibri" w:hAnsi="Calibri"/>
                <w:b w:val="0"/>
                <w:color w:val="152238"/>
                <w:sz w:val="17"/>
              </w:rPr>
              <w:t>Baseline</w:t>
            </w:r>
          </w:p>
        </w:tc>
        <w:tc>
          <w:tcPr>
            <w:tcW w:type="dxa" w:w="5760"/>
            <w:tcMar>
              <w:top w:w="80" w:type="dxa"/>
              <w:bottom w:w="80" w:type="dxa"/>
              <w:start w:w="120" w:type="dxa"/>
              <w:end w:w="120" w:type="dxa"/>
            </w:tcMar>
            <w:vAlign w:val="center"/>
          </w:tcPr>
          <w:p>
            <w:pPr>
              <w:spacing w:after="0" w:line="252" w:lineRule="auto"/>
            </w:pPr>
            <w:r/>
            <w:r>
              <w:rPr>
                <w:rFonts w:ascii="Calibri" w:hAnsi="Calibri"/>
                <w:b w:val="0"/>
                <w:color w:val="152238"/>
                <w:sz w:val="17"/>
              </w:rPr>
              <w:t>1284.9 km</w:t>
            </w:r>
          </w:p>
        </w:tc>
      </w:tr>
      <w:tr>
        <w:trPr>
          <w:cantSplit/>
        </w:trPr>
        <w:tc>
          <w:tcPr>
            <w:tcW w:type="dxa" w:w="36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Constant density</w:t>
            </w:r>
          </w:p>
        </w:tc>
        <w:tc>
          <w:tcPr>
            <w:tcW w:type="dxa" w:w="57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2.848 g/cm^3</w:t>
            </w:r>
          </w:p>
        </w:tc>
      </w:tr>
      <w:tr>
        <w:trPr>
          <w:cantSplit/>
        </w:trPr>
        <w:tc>
          <w:tcPr>
            <w:tcW w:type="dxa" w:w="3600"/>
            <w:tcMar>
              <w:top w:w="80" w:type="dxa"/>
              <w:bottom w:w="80" w:type="dxa"/>
              <w:start w:w="120" w:type="dxa"/>
              <w:end w:w="120" w:type="dxa"/>
            </w:tcMar>
            <w:vAlign w:val="center"/>
          </w:tcPr>
          <w:p>
            <w:pPr>
              <w:spacing w:after="0" w:line="252" w:lineRule="auto"/>
            </w:pPr>
            <w:r/>
            <w:r>
              <w:rPr>
                <w:rFonts w:ascii="Calibri" w:hAnsi="Calibri"/>
                <w:b w:val="0"/>
                <w:color w:val="152238"/>
                <w:sz w:val="17"/>
              </w:rPr>
              <w:t>sin^2 theta12</w:t>
            </w:r>
          </w:p>
        </w:tc>
        <w:tc>
          <w:tcPr>
            <w:tcW w:type="dxa" w:w="5760"/>
            <w:tcMar>
              <w:top w:w="80" w:type="dxa"/>
              <w:bottom w:w="80" w:type="dxa"/>
              <w:start w:w="120" w:type="dxa"/>
              <w:end w:w="120" w:type="dxa"/>
            </w:tcMar>
            <w:vAlign w:val="center"/>
          </w:tcPr>
          <w:p>
            <w:pPr>
              <w:spacing w:after="0" w:line="252" w:lineRule="auto"/>
            </w:pPr>
            <w:r/>
            <w:r>
              <w:rPr>
                <w:rFonts w:ascii="Calibri" w:hAnsi="Calibri"/>
                <w:b w:val="0"/>
                <w:color w:val="152238"/>
                <w:sz w:val="17"/>
              </w:rPr>
              <w:t>0.307</w:t>
            </w:r>
          </w:p>
        </w:tc>
      </w:tr>
      <w:tr>
        <w:trPr>
          <w:cantSplit/>
        </w:trPr>
        <w:tc>
          <w:tcPr>
            <w:tcW w:type="dxa" w:w="36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sin^2 theta13</w:t>
            </w:r>
          </w:p>
        </w:tc>
        <w:tc>
          <w:tcPr>
            <w:tcW w:type="dxa" w:w="57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0.0220</w:t>
            </w:r>
          </w:p>
        </w:tc>
      </w:tr>
      <w:tr>
        <w:trPr>
          <w:cantSplit/>
        </w:trPr>
        <w:tc>
          <w:tcPr>
            <w:tcW w:type="dxa" w:w="3600"/>
            <w:tcMar>
              <w:top w:w="80" w:type="dxa"/>
              <w:bottom w:w="80" w:type="dxa"/>
              <w:start w:w="120" w:type="dxa"/>
              <w:end w:w="120" w:type="dxa"/>
            </w:tcMar>
            <w:vAlign w:val="center"/>
          </w:tcPr>
          <w:p>
            <w:pPr>
              <w:spacing w:after="0" w:line="252" w:lineRule="auto"/>
            </w:pPr>
            <w:r/>
            <w:r>
              <w:rPr>
                <w:rFonts w:ascii="Calibri" w:hAnsi="Calibri"/>
                <w:b w:val="0"/>
                <w:color w:val="152238"/>
                <w:sz w:val="17"/>
              </w:rPr>
              <w:t>sin^2 theta23</w:t>
            </w:r>
          </w:p>
        </w:tc>
        <w:tc>
          <w:tcPr>
            <w:tcW w:type="dxa" w:w="5760"/>
            <w:tcMar>
              <w:top w:w="80" w:type="dxa"/>
              <w:bottom w:w="80" w:type="dxa"/>
              <w:start w:w="120" w:type="dxa"/>
              <w:end w:w="120" w:type="dxa"/>
            </w:tcMar>
            <w:vAlign w:val="center"/>
          </w:tcPr>
          <w:p>
            <w:pPr>
              <w:spacing w:after="0" w:line="252" w:lineRule="auto"/>
            </w:pPr>
            <w:r/>
            <w:r>
              <w:rPr>
                <w:rFonts w:ascii="Calibri" w:hAnsi="Calibri"/>
                <w:b w:val="0"/>
                <w:color w:val="152238"/>
                <w:sz w:val="17"/>
              </w:rPr>
              <w:t>0.561</w:t>
            </w:r>
          </w:p>
        </w:tc>
      </w:tr>
      <w:tr>
        <w:trPr>
          <w:cantSplit/>
        </w:trPr>
        <w:tc>
          <w:tcPr>
            <w:tcW w:type="dxa" w:w="36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Delta m21^2</w:t>
            </w:r>
          </w:p>
        </w:tc>
        <w:tc>
          <w:tcPr>
            <w:tcW w:type="dxa" w:w="57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7.53e-5 eV^2</w:t>
            </w:r>
          </w:p>
        </w:tc>
      </w:tr>
      <w:tr>
        <w:trPr>
          <w:cantSplit/>
        </w:trPr>
        <w:tc>
          <w:tcPr>
            <w:tcW w:type="dxa" w:w="3600"/>
            <w:tcMar>
              <w:top w:w="80" w:type="dxa"/>
              <w:bottom w:w="80" w:type="dxa"/>
              <w:start w:w="120" w:type="dxa"/>
              <w:end w:w="120" w:type="dxa"/>
            </w:tcMar>
            <w:vAlign w:val="center"/>
          </w:tcPr>
          <w:p>
            <w:pPr>
              <w:spacing w:after="0" w:line="252" w:lineRule="auto"/>
            </w:pPr>
            <w:r/>
            <w:r>
              <w:rPr>
                <w:rFonts w:ascii="Calibri" w:hAnsi="Calibri"/>
                <w:b w:val="0"/>
                <w:color w:val="152238"/>
                <w:sz w:val="17"/>
              </w:rPr>
              <w:t>Delta m31^2</w:t>
            </w:r>
          </w:p>
        </w:tc>
        <w:tc>
          <w:tcPr>
            <w:tcW w:type="dxa" w:w="5760"/>
            <w:tcMar>
              <w:top w:w="80" w:type="dxa"/>
              <w:bottom w:w="80" w:type="dxa"/>
              <w:start w:w="120" w:type="dxa"/>
              <w:end w:w="120" w:type="dxa"/>
            </w:tcMar>
            <w:vAlign w:val="center"/>
          </w:tcPr>
          <w:p>
            <w:pPr>
              <w:spacing w:after="0" w:line="252" w:lineRule="auto"/>
            </w:pPr>
            <w:r/>
            <w:r>
              <w:rPr>
                <w:rFonts w:ascii="Calibri" w:hAnsi="Calibri"/>
                <w:b w:val="0"/>
                <w:color w:val="152238"/>
                <w:sz w:val="17"/>
              </w:rPr>
              <w:t>2.455e-3 eV^2</w:t>
            </w:r>
          </w:p>
        </w:tc>
      </w:tr>
      <w:tr>
        <w:trPr>
          <w:cantSplit/>
        </w:trPr>
        <w:tc>
          <w:tcPr>
            <w:tcW w:type="dxa" w:w="36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delta_CP scans</w:t>
            </w:r>
          </w:p>
        </w:tc>
        <w:tc>
          <w:tcPr>
            <w:tcW w:type="dxa" w:w="57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-pi/2, 0, +pi/2</w:t>
            </w:r>
          </w:p>
        </w:tc>
      </w:tr>
      <w:tr>
        <w:trPr>
          <w:cantSplit/>
        </w:trPr>
        <w:tc>
          <w:tcPr>
            <w:tcW w:type="dxa" w:w="3600"/>
            <w:tcMar>
              <w:top w:w="80" w:type="dxa"/>
              <w:bottom w:w="80" w:type="dxa"/>
              <w:start w:w="120" w:type="dxa"/>
              <w:end w:w="120" w:type="dxa"/>
            </w:tcMar>
            <w:vAlign w:val="center"/>
          </w:tcPr>
          <w:p>
            <w:pPr>
              <w:spacing w:after="0" w:line="252" w:lineRule="auto"/>
            </w:pPr>
            <w:r/>
            <w:r>
              <w:rPr>
                <w:rFonts w:ascii="Calibri" w:hAnsi="Calibri"/>
                <w:b w:val="0"/>
                <w:color w:val="152238"/>
                <w:sz w:val="17"/>
              </w:rPr>
              <w:t>END term</w:t>
            </w:r>
          </w:p>
        </w:tc>
        <w:tc>
          <w:tcPr>
            <w:tcW w:type="dxa" w:w="5760"/>
            <w:tcMar>
              <w:top w:w="80" w:type="dxa"/>
              <w:bottom w:w="80" w:type="dxa"/>
              <w:start w:w="120" w:type="dxa"/>
              <w:end w:w="120" w:type="dxa"/>
            </w:tcMar>
            <w:vAlign w:val="center"/>
          </w:tcPr>
          <w:p>
            <w:pPr>
              <w:spacing w:after="0" w:line="252" w:lineRule="auto"/>
            </w:pPr>
            <w:r/>
            <w:r>
              <w:rPr>
                <w:rFonts w:ascii="Calibri" w:hAnsi="Calibri"/>
                <w:b w:val="0"/>
                <w:color w:val="152238"/>
                <w:sz w:val="17"/>
              </w:rPr>
              <w:t>H_ENDnu = 0</w:t>
            </w:r>
          </w:p>
        </w:tc>
      </w:tr>
    </w:tbl>
    <w:p>
      <w:pPr>
        <w:spacing w:after="0"/>
      </w:pPr>
    </w:p>
    <w:p>
      <w:r>
        <w:t>The PMNS matrix is built explicitly, matter enters as a = 7.56e-5 rho E in eV^2 with the antineutrino sign reversed, and the constant Hamiltonian is exponentiated over the baseline. The test scans 0.5-8.0 GeV.</w:t>
      </w:r>
    </w:p>
    <w:p>
      <w:pPr>
        <w:spacing w:after="20"/>
        <w:jc w:val="center"/>
      </w:pPr>
      <w:r>
        <w:drawing>
          <wp:inline xmlns:a="http://schemas.openxmlformats.org/drawingml/2006/main" xmlns:pic="http://schemas.openxmlformats.org/drawingml/2006/picture">
            <wp:extent cx="5577840" cy="446405"/>
            <wp:docPr id="11" name="Picture 11" title="eq_proxy" descr="DUNE appearance proxy proportional to flux times charged-current cross section times oscillation probability, with a unitarity error below ten to the minus twelve."/>
            <wp:cNvGraphicFramePr>
              <a:graphicFrameLocks noChangeAspect="1"/>
            </wp:cNvGraphicFramePr>
            <a:graphic>
              <a:graphicData uri="http://schemas.openxmlformats.org/drawingml/2006/picture">
                <pic:pic>
                  <pic:nvPicPr>
                    <pic:cNvPr id="0" name="eq_proxy.png"/>
                    <pic:cNvPicPr/>
                  </pic:nvPicPr>
                  <pic:blipFill>
                    <a:blip r:embed="rId20"/>
                    <a:stretch>
                      <a:fillRect/>
                    </a:stretch>
                  </pic:blipFill>
                  <pic:spPr>
                    <a:xfrm>
                      <a:off x="0" y="0"/>
                      <a:ext cx="5577840" cy="446405"/>
                    </a:xfrm>
                    <a:prstGeom prst="rect"/>
                  </pic:spPr>
                </pic:pic>
              </a:graphicData>
            </a:graphic>
          </wp:inline>
        </w:drawing>
      </w:r>
    </w:p>
    <w:p>
      <w:pPr>
        <w:spacing w:after="160"/>
        <w:jc w:val="center"/>
      </w:pPr>
      <w:r>
        <w:rPr>
          <w:i/>
          <w:color w:val="5B6573"/>
          <w:sz w:val="17"/>
        </w:rPr>
        <w:t>Equation 8. Detector-independent appearance proxy and numerical unitarity criterion.</w:t>
      </w:r>
    </w:p>
    <w:p>
      <w:pPr>
        <w:pStyle w:val="Heading2"/>
      </w:pPr>
      <w:r>
        <w:t>6.3 Numerical results</w:t>
      </w:r>
    </w:p>
    <w:tbl>
      <w:tblPr>
        <w:tblStyle w:val="TableGrid"/>
        <w:tblW w:type="dxa" w:w="9360"/>
        <w:jc w:val="center"/>
        <w:tblLayout w:type="fixed"/>
        <w:tblLook w:firstColumn="1" w:firstRow="1" w:lastColumn="0" w:lastRow="0" w:noHBand="0" w:noVBand="1" w:val="04A0"/>
        <w:tblInd w:w="120" w:type="dxa"/>
      </w:tblPr>
      <w:tblGrid>
        <w:gridCol w:w="1800"/>
        <w:gridCol w:w="3780"/>
        <w:gridCol w:w="3780"/>
      </w:tblGrid>
      <w:tr>
        <w:trPr>
          <w:tblHeader w:val="true"/>
          <w:cantSplit/>
        </w:trPr>
        <w:tc>
          <w:tcPr>
            <w:tcW w:type="dxa" w:w="18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delta_CP</w:t>
            </w:r>
          </w:p>
        </w:tc>
        <w:tc>
          <w:tcPr>
            <w:tcW w:type="dxa" w:w="378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P(nu_mu -&gt; nu_e) at 2.5 GeV</w:t>
            </w:r>
          </w:p>
        </w:tc>
        <w:tc>
          <w:tcPr>
            <w:tcW w:type="dxa" w:w="378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P(anti-nu_mu -&gt; anti-nu_e)</w:t>
            </w:r>
          </w:p>
        </w:tc>
      </w:tr>
      <w:tr>
        <w:trPr>
          <w:cantSplit/>
        </w:trPr>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6"/>
              </w:rPr>
              <w:t>-pi/2</w:t>
            </w:r>
          </w:p>
        </w:tc>
        <w:tc>
          <w:tcPr>
            <w:tcW w:type="dxa" w:w="3780"/>
            <w:tcMar>
              <w:top w:w="80" w:type="dxa"/>
              <w:bottom w:w="80" w:type="dxa"/>
              <w:start w:w="120" w:type="dxa"/>
              <w:end w:w="120" w:type="dxa"/>
            </w:tcMar>
            <w:vAlign w:val="center"/>
          </w:tcPr>
          <w:p>
            <w:pPr>
              <w:spacing w:after="0" w:line="252" w:lineRule="auto"/>
            </w:pPr>
            <w:r/>
            <w:r>
              <w:rPr>
                <w:rFonts w:ascii="Calibri" w:hAnsi="Calibri"/>
                <w:b w:val="0"/>
                <w:color w:val="152238"/>
                <w:sz w:val="16"/>
              </w:rPr>
              <w:t>0.085638</w:t>
            </w:r>
          </w:p>
        </w:tc>
        <w:tc>
          <w:tcPr>
            <w:tcW w:type="dxa" w:w="3780"/>
            <w:tcMar>
              <w:top w:w="80" w:type="dxa"/>
              <w:bottom w:w="80" w:type="dxa"/>
              <w:start w:w="120" w:type="dxa"/>
              <w:end w:w="120" w:type="dxa"/>
            </w:tcMar>
            <w:vAlign w:val="center"/>
          </w:tcPr>
          <w:p>
            <w:pPr>
              <w:spacing w:after="0" w:line="252" w:lineRule="auto"/>
            </w:pPr>
            <w:r/>
            <w:r>
              <w:rPr>
                <w:rFonts w:ascii="Calibri" w:hAnsi="Calibri"/>
                <w:b w:val="0"/>
                <w:color w:val="152238"/>
                <w:sz w:val="16"/>
              </w:rPr>
              <w:t>0.019850</w:t>
            </w:r>
          </w:p>
        </w:tc>
      </w:tr>
      <w:tr>
        <w:trPr>
          <w:cantSplit/>
        </w:trPr>
        <w:tc>
          <w:tcPr>
            <w:tcW w:type="dxa" w:w="18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0</w:t>
            </w:r>
          </w:p>
        </w:tc>
        <w:tc>
          <w:tcPr>
            <w:tcW w:type="dxa" w:w="378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0.070395</w:t>
            </w:r>
          </w:p>
        </w:tc>
        <w:tc>
          <w:tcPr>
            <w:tcW w:type="dxa" w:w="378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0.029846</w:t>
            </w:r>
          </w:p>
        </w:tc>
      </w:tr>
      <w:tr>
        <w:trPr>
          <w:cantSplit/>
        </w:trPr>
        <w:tc>
          <w:tcPr>
            <w:tcW w:type="dxa" w:w="1800"/>
            <w:tcMar>
              <w:top w:w="80" w:type="dxa"/>
              <w:bottom w:w="80" w:type="dxa"/>
              <w:start w:w="120" w:type="dxa"/>
              <w:end w:w="120" w:type="dxa"/>
            </w:tcMar>
            <w:vAlign w:val="center"/>
          </w:tcPr>
          <w:p>
            <w:pPr>
              <w:spacing w:after="0" w:line="252" w:lineRule="auto"/>
            </w:pPr>
            <w:r/>
            <w:r>
              <w:rPr>
                <w:rFonts w:ascii="Calibri" w:hAnsi="Calibri"/>
                <w:b w:val="0"/>
                <w:color w:val="152238"/>
                <w:sz w:val="16"/>
              </w:rPr>
              <w:t>+pi/2</w:t>
            </w:r>
          </w:p>
        </w:tc>
        <w:tc>
          <w:tcPr>
            <w:tcW w:type="dxa" w:w="3780"/>
            <w:tcMar>
              <w:top w:w="80" w:type="dxa"/>
              <w:bottom w:w="80" w:type="dxa"/>
              <w:start w:w="120" w:type="dxa"/>
              <w:end w:w="120" w:type="dxa"/>
            </w:tcMar>
            <w:vAlign w:val="center"/>
          </w:tcPr>
          <w:p>
            <w:pPr>
              <w:spacing w:after="0" w:line="252" w:lineRule="auto"/>
            </w:pPr>
            <w:r/>
            <w:r>
              <w:rPr>
                <w:rFonts w:ascii="Calibri" w:hAnsi="Calibri"/>
                <w:b w:val="0"/>
                <w:color w:val="152238"/>
                <w:sz w:val="16"/>
              </w:rPr>
              <w:t>0.055115</w:t>
            </w:r>
          </w:p>
        </w:tc>
        <w:tc>
          <w:tcPr>
            <w:tcW w:type="dxa" w:w="3780"/>
            <w:tcMar>
              <w:top w:w="80" w:type="dxa"/>
              <w:bottom w:w="80" w:type="dxa"/>
              <w:start w:w="120" w:type="dxa"/>
              <w:end w:w="120" w:type="dxa"/>
            </w:tcMar>
            <w:vAlign w:val="center"/>
          </w:tcPr>
          <w:p>
            <w:pPr>
              <w:spacing w:after="0" w:line="252" w:lineRule="auto"/>
            </w:pPr>
            <w:r/>
            <w:r>
              <w:rPr>
                <w:rFonts w:ascii="Calibri" w:hAnsi="Calibri"/>
                <w:b w:val="0"/>
                <w:color w:val="152238"/>
                <w:sz w:val="16"/>
              </w:rPr>
              <w:t>0.039634</w:t>
            </w:r>
          </w:p>
        </w:tc>
      </w:tr>
    </w:tbl>
    <w:p>
      <w:pPr>
        <w:spacing w:after="0"/>
      </w:pPr>
    </w:p>
    <w:tbl>
      <w:tblPr>
        <w:tblStyle w:val="TableGrid"/>
        <w:tblW w:type="dxa" w:w="9360"/>
        <w:jc w:val="center"/>
        <w:tblLayout w:type="fixed"/>
        <w:tblLook w:firstColumn="1" w:firstRow="1" w:lastColumn="0" w:lastRow="0" w:noHBand="0" w:noVBand="1" w:val="04A0"/>
        <w:tblInd w:w="120" w:type="dxa"/>
      </w:tblPr>
      <w:tblGrid>
        <w:gridCol w:w="4700"/>
        <w:gridCol w:w="4660"/>
      </w:tblGrid>
      <w:tr>
        <w:trPr>
          <w:tblHeader w:val="true"/>
          <w:cantSplit/>
        </w:trPr>
        <w:tc>
          <w:tcPr>
            <w:tcW w:type="dxa" w:w="4700"/>
            <w:shd w:fill="E8EEF5"/>
            <w:tcMar>
              <w:top w:w="80" w:type="dxa"/>
              <w:bottom w:w="80" w:type="dxa"/>
              <w:start w:w="120" w:type="dxa"/>
              <w:end w:w="120" w:type="dxa"/>
            </w:tcMar>
            <w:vAlign w:val="center"/>
          </w:tcPr>
          <w:p>
            <w:pPr>
              <w:spacing w:after="0" w:line="252" w:lineRule="auto"/>
            </w:pPr>
            <w:r/>
            <w:r>
              <w:rPr>
                <w:rFonts w:ascii="Calibri" w:hAnsi="Calibri"/>
                <w:b/>
                <w:color w:val="1F4E79"/>
                <w:sz w:val="17"/>
              </w:rPr>
              <w:t>Quantity</w:t>
            </w:r>
          </w:p>
        </w:tc>
        <w:tc>
          <w:tcPr>
            <w:tcW w:type="dxa" w:w="4660"/>
            <w:shd w:fill="E8EEF5"/>
            <w:tcMar>
              <w:top w:w="80" w:type="dxa"/>
              <w:bottom w:w="80" w:type="dxa"/>
              <w:start w:w="120" w:type="dxa"/>
              <w:end w:w="120" w:type="dxa"/>
            </w:tcMar>
            <w:vAlign w:val="center"/>
          </w:tcPr>
          <w:p>
            <w:pPr>
              <w:spacing w:after="0" w:line="252" w:lineRule="auto"/>
            </w:pPr>
            <w:r/>
            <w:r>
              <w:rPr>
                <w:rFonts w:ascii="Calibri" w:hAnsi="Calibri"/>
                <w:b/>
                <w:color w:val="1F4E79"/>
                <w:sz w:val="17"/>
              </w:rPr>
              <w:t>Result</w:t>
            </w:r>
          </w:p>
        </w:tc>
      </w:tr>
      <w:tr>
        <w:trPr>
          <w:cantSplit/>
        </w:trPr>
        <w:tc>
          <w:tcPr>
            <w:tcW w:type="dxa" w:w="4700"/>
            <w:tcMar>
              <w:top w:w="80" w:type="dxa"/>
              <w:bottom w:w="80" w:type="dxa"/>
              <w:start w:w="120" w:type="dxa"/>
              <w:end w:w="120" w:type="dxa"/>
            </w:tcMar>
            <w:vAlign w:val="center"/>
          </w:tcPr>
          <w:p>
            <w:pPr>
              <w:spacing w:after="0" w:line="252" w:lineRule="auto"/>
            </w:pPr>
            <w:r/>
            <w:r>
              <w:rPr>
                <w:rFonts w:ascii="Calibri" w:hAnsi="Calibri"/>
                <w:b w:val="0"/>
                <w:color w:val="152238"/>
                <w:sz w:val="17"/>
              </w:rPr>
              <w:t>Maximum unitarity error</w:t>
            </w:r>
          </w:p>
        </w:tc>
        <w:tc>
          <w:tcPr>
            <w:tcW w:type="dxa" w:w="4660"/>
            <w:tcMar>
              <w:top w:w="80" w:type="dxa"/>
              <w:bottom w:w="80" w:type="dxa"/>
              <w:start w:w="120" w:type="dxa"/>
              <w:end w:w="120" w:type="dxa"/>
            </w:tcMar>
            <w:vAlign w:val="center"/>
          </w:tcPr>
          <w:p>
            <w:pPr>
              <w:spacing w:after="0" w:line="252" w:lineRule="auto"/>
            </w:pPr>
            <w:r/>
            <w:r>
              <w:rPr>
                <w:rFonts w:ascii="Calibri" w:hAnsi="Calibri"/>
                <w:b w:val="0"/>
                <w:color w:val="152238"/>
                <w:sz w:val="17"/>
              </w:rPr>
              <w:t>2.442e-15</w:t>
            </w:r>
          </w:p>
        </w:tc>
      </w:tr>
      <w:tr>
        <w:trPr>
          <w:cantSplit/>
        </w:trPr>
        <w:tc>
          <w:tcPr>
            <w:tcW w:type="dxa" w:w="47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Appearance-proxy peak</w:t>
            </w:r>
          </w:p>
        </w:tc>
        <w:tc>
          <w:tcPr>
            <w:tcW w:type="dxa" w:w="46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2.875 GeV</w:t>
            </w:r>
          </w:p>
        </w:tc>
      </w:tr>
      <w:tr>
        <w:trPr>
          <w:cantSplit/>
        </w:trPr>
        <w:tc>
          <w:tcPr>
            <w:tcW w:type="dxa" w:w="4700"/>
            <w:tcMar>
              <w:top w:w="80" w:type="dxa"/>
              <w:bottom w:w="80" w:type="dxa"/>
              <w:start w:w="120" w:type="dxa"/>
              <w:end w:w="120" w:type="dxa"/>
            </w:tcMar>
            <w:vAlign w:val="center"/>
          </w:tcPr>
          <w:p>
            <w:pPr>
              <w:spacing w:after="0" w:line="252" w:lineRule="auto"/>
            </w:pPr>
            <w:r/>
            <w:r>
              <w:rPr>
                <w:rFonts w:ascii="Calibri" w:hAnsi="Calibri"/>
                <w:b w:val="0"/>
                <w:color w:val="152238"/>
                <w:sz w:val="17"/>
              </w:rPr>
              <w:t>Appearance-proxy weighted mean</w:t>
            </w:r>
          </w:p>
        </w:tc>
        <w:tc>
          <w:tcPr>
            <w:tcW w:type="dxa" w:w="4660"/>
            <w:tcMar>
              <w:top w:w="80" w:type="dxa"/>
              <w:bottom w:w="80" w:type="dxa"/>
              <w:start w:w="120" w:type="dxa"/>
              <w:end w:w="120" w:type="dxa"/>
            </w:tcMar>
            <w:vAlign w:val="center"/>
          </w:tcPr>
          <w:p>
            <w:pPr>
              <w:spacing w:after="0" w:line="252" w:lineRule="auto"/>
            </w:pPr>
            <w:r/>
            <w:r>
              <w:rPr>
                <w:rFonts w:ascii="Calibri" w:hAnsi="Calibri"/>
                <w:b w:val="0"/>
                <w:color w:val="152238"/>
                <w:sz w:val="17"/>
              </w:rPr>
              <w:t>2.775 GeV</w:t>
            </w:r>
          </w:p>
        </w:tc>
      </w:tr>
      <w:tr>
        <w:trPr>
          <w:cantSplit/>
        </w:trPr>
        <w:tc>
          <w:tcPr>
            <w:tcW w:type="dxa" w:w="470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Empirical DUNE data used</w:t>
            </w:r>
          </w:p>
        </w:tc>
        <w:tc>
          <w:tcPr>
            <w:tcW w:type="dxa" w:w="4660"/>
            <w:shd w:fill="F8FAFC"/>
            <w:tcMar>
              <w:top w:w="80" w:type="dxa"/>
              <w:bottom w:w="80" w:type="dxa"/>
              <w:start w:w="120" w:type="dxa"/>
              <w:end w:w="120" w:type="dxa"/>
            </w:tcMar>
            <w:vAlign w:val="center"/>
          </w:tcPr>
          <w:p>
            <w:pPr>
              <w:spacing w:after="0" w:line="252" w:lineRule="auto"/>
            </w:pPr>
            <w:r/>
            <w:r>
              <w:rPr>
                <w:rFonts w:ascii="Calibri" w:hAnsi="Calibri"/>
                <w:b w:val="0"/>
                <w:color w:val="152238"/>
                <w:sz w:val="17"/>
              </w:rPr>
              <w:t>No</w:t>
            </w:r>
          </w:p>
        </w:tc>
      </w:tr>
      <w:tr>
        <w:trPr>
          <w:cantSplit/>
        </w:trPr>
        <w:tc>
          <w:tcPr>
            <w:tcW w:type="dxa" w:w="4700"/>
            <w:tcMar>
              <w:top w:w="80" w:type="dxa"/>
              <w:bottom w:w="80" w:type="dxa"/>
              <w:start w:w="120" w:type="dxa"/>
              <w:end w:w="120" w:type="dxa"/>
            </w:tcMar>
            <w:vAlign w:val="center"/>
          </w:tcPr>
          <w:p>
            <w:pPr>
              <w:spacing w:after="0" w:line="252" w:lineRule="auto"/>
            </w:pPr>
            <w:r/>
            <w:r>
              <w:rPr>
                <w:rFonts w:ascii="Calibri" w:hAnsi="Calibri"/>
                <w:b w:val="0"/>
                <w:color w:val="152238"/>
                <w:sz w:val="17"/>
              </w:rPr>
              <w:t>Validation label</w:t>
            </w:r>
          </w:p>
        </w:tc>
        <w:tc>
          <w:tcPr>
            <w:tcW w:type="dxa" w:w="4660"/>
            <w:tcMar>
              <w:top w:w="80" w:type="dxa"/>
              <w:bottom w:w="80" w:type="dxa"/>
              <w:start w:w="120" w:type="dxa"/>
              <w:end w:w="120" w:type="dxa"/>
            </w:tcMar>
            <w:vAlign w:val="center"/>
          </w:tcPr>
          <w:p>
            <w:pPr>
              <w:spacing w:after="0" w:line="252" w:lineRule="auto"/>
            </w:pPr>
            <w:r/>
            <w:r>
              <w:rPr>
                <w:rFonts w:ascii="Calibri" w:hAnsi="Calibri"/>
                <w:b w:val="0"/>
                <w:color w:val="152238"/>
                <w:sz w:val="17"/>
              </w:rPr>
              <w:t>Forecast / implementation only</w:t>
            </w:r>
          </w:p>
        </w:tc>
      </w:tr>
    </w:tbl>
    <w:p>
      <w:pPr>
        <w:spacing w:after="0"/>
      </w:pPr>
    </w:p>
    <w:p>
      <w:pPr>
        <w:spacing w:after="40"/>
        <w:jc w:val="center"/>
      </w:pPr>
      <w:r>
        <w:drawing>
          <wp:inline xmlns:a="http://schemas.openxmlformats.org/drawingml/2006/main" xmlns:pic="http://schemas.openxmlformats.org/drawingml/2006/picture">
            <wp:extent cx="5806440" cy="2374047"/>
            <wp:docPr id="12" name="Picture 12" title="figure_dune_forecast" descr="Figure 4. Standard three-flavour matter propagation and a DUNE release-based flux x cross-section x probability proxy."/>
            <wp:cNvGraphicFramePr>
              <a:graphicFrameLocks noChangeAspect="1"/>
            </wp:cNvGraphicFramePr>
            <a:graphic>
              <a:graphicData uri="http://schemas.openxmlformats.org/drawingml/2006/picture">
                <pic:pic>
                  <pic:nvPicPr>
                    <pic:cNvPr id="0" name="figure_dune_forecast.png"/>
                    <pic:cNvPicPr/>
                  </pic:nvPicPr>
                  <pic:blipFill>
                    <a:blip r:embed="rId21"/>
                    <a:stretch>
                      <a:fillRect/>
                    </a:stretch>
                  </pic:blipFill>
                  <pic:spPr>
                    <a:xfrm>
                      <a:off x="0" y="0"/>
                      <a:ext cx="5806440" cy="2374047"/>
                    </a:xfrm>
                    <a:prstGeom prst="rect"/>
                  </pic:spPr>
                </pic:pic>
              </a:graphicData>
            </a:graphic>
          </wp:inline>
        </w:drawing>
      </w:r>
    </w:p>
    <w:p>
      <w:pPr>
        <w:pStyle w:val="Caption"/>
        <w:spacing w:after="140"/>
        <w:jc w:val="center"/>
      </w:pPr>
      <w:r>
        <w:t>Figure 4. Standard three-flavour matter propagation and a DUNE release-based flux x cross-section x probability proxy.</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shd w:fill="EAF4EE"/>
            <w:tcMar>
              <w:top w:w="80" w:type="dxa"/>
              <w:bottom w:w="80" w:type="dxa"/>
              <w:start w:w="120" w:type="dxa"/>
              <w:end w:w="120" w:type="dxa"/>
            </w:tcMar>
            <w:vAlign w:val="center"/>
          </w:tcPr>
          <w:p>
            <w:pPr>
              <w:spacing w:after="80"/>
            </w:pPr>
            <w:r>
              <w:rPr>
                <w:b/>
                <w:color w:val="26734D"/>
                <w:sz w:val="21"/>
              </w:rPr>
              <w:t>DECISION</w:t>
            </w:r>
          </w:p>
          <w:p>
            <w:pPr>
              <w:spacing w:after="0" w:line="269" w:lineRule="auto"/>
            </w:pPr>
            <w:r>
              <w:rPr>
                <w:color w:val="152238"/>
                <w:sz w:val="19"/>
              </w:rPr>
              <w:t>The standard Hamiltonian implementation passes the unitarity criterion by more than two orders of magnitude, and the release-based proxy is physically shaped. This validates the forecast code path. It says nothing about a nonzero H_ENDnu because that term was neither numerically specified nor fitted.</w:t>
            </w:r>
          </w:p>
        </w:tc>
      </w:tr>
    </w:tbl>
    <w:p>
      <w:pPr>
        <w:spacing w:after="0"/>
      </w:pPr>
    </w:p>
    <w:p>
      <w:r>
        <w:br w:type="page"/>
      </w:r>
    </w:p>
    <w:p>
      <w:pPr>
        <w:spacing w:after="20"/>
      </w:pPr>
      <w:r>
        <w:rPr>
          <w:b/>
          <w:color w:val="2E74B5"/>
          <w:sz w:val="17"/>
        </w:rPr>
        <w:t>CROSS-EXPERIMENT SYNTHESIS</w:t>
      </w:r>
    </w:p>
    <w:p>
      <w:pPr>
        <w:pStyle w:val="Heading1"/>
        <w:pBdr>
          <w:bottom w:val="single" w:sz="10" w:space="1" w:color="2E74B5"/>
        </w:pBdr>
      </w:pPr>
      <w:r>
        <w:t>7. Combined validation decision</w:t>
      </w:r>
    </w:p>
    <w:p>
      <w:pPr>
        <w:pStyle w:val="Heading2"/>
      </w:pPr>
      <w:r>
        <w:t>7.1 Evidence ledger</w:t>
      </w:r>
    </w:p>
    <w:tbl>
      <w:tblPr>
        <w:tblStyle w:val="TableGrid"/>
        <w:tblW w:type="dxa" w:w="9360"/>
        <w:jc w:val="center"/>
        <w:tblLayout w:type="fixed"/>
        <w:tblLook w:firstColumn="1" w:firstRow="1" w:lastColumn="0" w:lastRow="0" w:noHBand="0" w:noVBand="1" w:val="04A0"/>
        <w:tblInd w:w="120" w:type="dxa"/>
      </w:tblPr>
      <w:tblGrid>
        <w:gridCol w:w="1150"/>
        <w:gridCol w:w="1900"/>
        <w:gridCol w:w="2300"/>
        <w:gridCol w:w="1650"/>
        <w:gridCol w:w="2360"/>
      </w:tblGrid>
      <w:tr>
        <w:trPr>
          <w:tblHeader w:val="true"/>
          <w:cantSplit/>
        </w:trPr>
        <w:tc>
          <w:tcPr>
            <w:tcW w:type="dxa" w:w="115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Program</w:t>
            </w:r>
          </w:p>
        </w:tc>
        <w:tc>
          <w:tcPr>
            <w:tcW w:type="dxa" w:w="19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Evidence</w:t>
            </w:r>
          </w:p>
        </w:tc>
        <w:tc>
          <w:tcPr>
            <w:tcW w:type="dxa" w:w="23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Validated object</w:t>
            </w:r>
          </w:p>
        </w:tc>
        <w:tc>
          <w:tcPr>
            <w:tcW w:type="dxa" w:w="165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Outcome</w:t>
            </w:r>
          </w:p>
        </w:tc>
        <w:tc>
          <w:tcPr>
            <w:tcW w:type="dxa" w:w="236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Inference ceiling</w:t>
            </w:r>
          </w:p>
        </w:tc>
      </w:tr>
      <w:tr>
        <w:trPr>
          <w:cantSplit/>
        </w:trPr>
        <w:tc>
          <w:tcPr>
            <w:tcW w:type="dxa" w:w="1150"/>
            <w:tcMar>
              <w:top w:w="80" w:type="dxa"/>
              <w:bottom w:w="80" w:type="dxa"/>
              <w:start w:w="120" w:type="dxa"/>
              <w:end w:w="120" w:type="dxa"/>
            </w:tcMar>
            <w:vAlign w:val="center"/>
          </w:tcPr>
          <w:p>
            <w:pPr>
              <w:spacing w:after="0" w:line="252" w:lineRule="auto"/>
            </w:pPr>
            <w:r/>
            <w:r>
              <w:rPr>
                <w:rFonts w:ascii="Calibri" w:hAnsi="Calibri"/>
                <w:b w:val="0"/>
                <w:color w:val="152238"/>
                <w:sz w:val="15"/>
              </w:rPr>
              <w:t>GWOSC</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Observed public strain</w:t>
            </w:r>
          </w:p>
        </w:tc>
        <w:tc>
          <w:tcPr>
            <w:tcW w:type="dxa" w:w="2300"/>
            <w:tcMar>
              <w:top w:w="80" w:type="dxa"/>
              <w:bottom w:w="80" w:type="dxa"/>
              <w:start w:w="120" w:type="dxa"/>
              <w:end w:w="120" w:type="dxa"/>
            </w:tcMar>
            <w:vAlign w:val="center"/>
          </w:tcPr>
          <w:p>
            <w:pPr>
              <w:spacing w:after="0" w:line="252" w:lineRule="auto"/>
            </w:pPr>
            <w:r/>
            <w:r>
              <w:rPr>
                <w:rFonts w:ascii="Calibri" w:hAnsi="Calibri"/>
                <w:b w:val="0"/>
                <w:color w:val="152238"/>
                <w:sz w:val="15"/>
              </w:rPr>
              <w:t>Known inter-site delay and subband timing</w:t>
            </w:r>
          </w:p>
        </w:tc>
        <w:tc>
          <w:tcPr>
            <w:tcW w:type="dxa" w:w="1650"/>
            <w:tcMar>
              <w:top w:w="80" w:type="dxa"/>
              <w:bottom w:w="80" w:type="dxa"/>
              <w:start w:w="120" w:type="dxa"/>
              <w:end w:w="120" w:type="dxa"/>
            </w:tcMar>
            <w:vAlign w:val="center"/>
          </w:tcPr>
          <w:p>
            <w:pPr>
              <w:spacing w:after="0" w:line="252" w:lineRule="auto"/>
            </w:pPr>
            <w:r/>
            <w:r>
              <w:rPr>
                <w:rFonts w:ascii="Calibri" w:hAnsi="Calibri"/>
                <w:b w:val="0"/>
                <w:color w:val="152238"/>
                <w:sz w:val="15"/>
              </w:rPr>
              <w:t>Pass</w:t>
            </w:r>
          </w:p>
        </w:tc>
        <w:tc>
          <w:tcPr>
            <w:tcW w:type="dxa" w:w="2360"/>
            <w:tcMar>
              <w:top w:w="80" w:type="dxa"/>
              <w:bottom w:w="80" w:type="dxa"/>
              <w:start w:w="120" w:type="dxa"/>
              <w:end w:w="120" w:type="dxa"/>
            </w:tcMar>
            <w:vAlign w:val="center"/>
          </w:tcPr>
          <w:p>
            <w:pPr>
              <w:spacing w:after="0" w:line="252" w:lineRule="auto"/>
            </w:pPr>
            <w:r/>
            <w:r>
              <w:rPr>
                <w:rFonts w:ascii="Calibri" w:hAnsi="Calibri"/>
                <w:b w:val="0"/>
                <w:color w:val="152238"/>
                <w:sz w:val="15"/>
              </w:rPr>
              <w:t>Does not isolate END propagation</w:t>
            </w:r>
          </w:p>
        </w:tc>
      </w:tr>
      <w:tr>
        <w:trPr>
          <w:cantSplit/>
        </w:trPr>
        <w:tc>
          <w:tcPr>
            <w:tcW w:type="dxa" w:w="115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ATLAS</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Observed educational collisions</w:t>
            </w:r>
          </w:p>
        </w:tc>
        <w:tc>
          <w:tcPr>
            <w:tcW w:type="dxa" w:w="23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Event reconstruction, likelihood, injection recovery</w:t>
            </w:r>
          </w:p>
        </w:tc>
        <w:tc>
          <w:tcPr>
            <w:tcW w:type="dxa" w:w="165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Pass</w:t>
            </w:r>
          </w:p>
        </w:tc>
        <w:tc>
          <w:tcPr>
            <w:tcW w:type="dxa" w:w="23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Not a publication-grade new-physics result</w:t>
            </w:r>
          </w:p>
        </w:tc>
      </w:tr>
      <w:tr>
        <w:trPr>
          <w:cantSplit/>
        </w:trPr>
        <w:tc>
          <w:tcPr>
            <w:tcW w:type="dxa" w:w="1150"/>
            <w:tcMar>
              <w:top w:w="80" w:type="dxa"/>
              <w:bottom w:w="80" w:type="dxa"/>
              <w:start w:w="120" w:type="dxa"/>
              <w:end w:w="120" w:type="dxa"/>
            </w:tcMar>
            <w:vAlign w:val="center"/>
          </w:tcPr>
          <w:p>
            <w:pPr>
              <w:spacing w:after="0" w:line="252" w:lineRule="auto"/>
            </w:pPr>
            <w:r/>
            <w:r>
              <w:rPr>
                <w:rFonts w:ascii="Calibri" w:hAnsi="Calibri"/>
                <w:b w:val="0"/>
                <w:color w:val="152238"/>
                <w:sz w:val="15"/>
              </w:rPr>
              <w:t>XENONnT</w:t>
            </w:r>
          </w:p>
        </w:tc>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5"/>
              </w:rPr>
              <w:t>Observed events + released templates</w:t>
            </w:r>
          </w:p>
        </w:tc>
        <w:tc>
          <w:tcPr>
            <w:tcW w:type="dxa" w:w="2300"/>
            <w:tcMar>
              <w:top w:w="80" w:type="dxa"/>
              <w:bottom w:w="80" w:type="dxa"/>
              <w:start w:w="120" w:type="dxa"/>
              <w:end w:w="120" w:type="dxa"/>
            </w:tcMar>
            <w:vAlign w:val="center"/>
          </w:tcPr>
          <w:p>
            <w:pPr>
              <w:spacing w:after="0" w:line="252" w:lineRule="auto"/>
            </w:pPr>
            <w:r/>
            <w:r>
              <w:rPr>
                <w:rFonts w:ascii="Calibri" w:hAnsi="Calibri"/>
                <w:b w:val="0"/>
                <w:color w:val="152238"/>
                <w:sz w:val="15"/>
              </w:rPr>
              <w:t>Published WIMP benchmark limit</w:t>
            </w:r>
          </w:p>
        </w:tc>
        <w:tc>
          <w:tcPr>
            <w:tcW w:type="dxa" w:w="1650"/>
            <w:tcMar>
              <w:top w:w="80" w:type="dxa"/>
              <w:bottom w:w="80" w:type="dxa"/>
              <w:start w:w="120" w:type="dxa"/>
              <w:end w:w="120" w:type="dxa"/>
            </w:tcMar>
            <w:vAlign w:val="center"/>
          </w:tcPr>
          <w:p>
            <w:pPr>
              <w:spacing w:after="0" w:line="252" w:lineRule="auto"/>
            </w:pPr>
            <w:r/>
            <w:r>
              <w:rPr>
                <w:rFonts w:ascii="Calibri" w:hAnsi="Calibri"/>
                <w:b w:val="0"/>
                <w:color w:val="152238"/>
                <w:sz w:val="15"/>
              </w:rPr>
              <w:t>Pass in 5-12 GeV scope</w:t>
            </w:r>
          </w:p>
        </w:tc>
        <w:tc>
          <w:tcPr>
            <w:tcW w:type="dxa" w:w="2360"/>
            <w:tcMar>
              <w:top w:w="80" w:type="dxa"/>
              <w:bottom w:w="80" w:type="dxa"/>
              <w:start w:w="120" w:type="dxa"/>
              <w:end w:w="120" w:type="dxa"/>
            </w:tcMar>
            <w:vAlign w:val="center"/>
          </w:tcPr>
          <w:p>
            <w:pPr>
              <w:spacing w:after="0" w:line="252" w:lineRule="auto"/>
            </w:pPr>
            <w:r/>
            <w:r>
              <w:rPr>
                <w:rFonts w:ascii="Calibri" w:hAnsi="Calibri"/>
                <w:b w:val="0"/>
                <w:color w:val="152238"/>
                <w:sz w:val="15"/>
              </w:rPr>
              <w:t>No END particle point</w:t>
            </w:r>
          </w:p>
        </w:tc>
      </w:tr>
      <w:tr>
        <w:trPr>
          <w:cantSplit/>
        </w:trPr>
        <w:tc>
          <w:tcPr>
            <w:tcW w:type="dxa" w:w="115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DUNE</w:t>
            </w:r>
          </w:p>
        </w:tc>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Released forecast configurations</w:t>
            </w:r>
          </w:p>
        </w:tc>
        <w:tc>
          <w:tcPr>
            <w:tcW w:type="dxa" w:w="23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Hamiltonian and flux-proxy calculation</w:t>
            </w:r>
          </w:p>
        </w:tc>
        <w:tc>
          <w:tcPr>
            <w:tcW w:type="dxa" w:w="165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Pass as forecast</w:t>
            </w:r>
          </w:p>
        </w:tc>
        <w:tc>
          <w:tcPr>
            <w:tcW w:type="dxa" w:w="23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No empirical DUNE data; H_ENDnu = 0</w:t>
            </w:r>
          </w:p>
        </w:tc>
      </w:tr>
    </w:tbl>
    <w:p>
      <w:pPr>
        <w:spacing w:after="0"/>
      </w:pPr>
    </w:p>
    <w:p>
      <w:pPr>
        <w:pStyle w:val="Heading2"/>
      </w:pPr>
      <w:r>
        <w:t>7.2 Final scientific statement</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shd w:fill="EAF4EE"/>
            <w:tcMar>
              <w:top w:w="80" w:type="dxa"/>
              <w:bottom w:w="80" w:type="dxa"/>
              <w:start w:w="120" w:type="dxa"/>
              <w:end w:w="120" w:type="dxa"/>
            </w:tcMar>
            <w:vAlign w:val="center"/>
          </w:tcPr>
          <w:p>
            <w:pPr>
              <w:spacing w:after="80"/>
            </w:pPr>
            <w:r>
              <w:rPr>
                <w:b/>
                <w:color w:val="26734D"/>
                <w:sz w:val="21"/>
              </w:rPr>
              <w:t>SUPPORTED</w:t>
            </w:r>
          </w:p>
          <w:p>
            <w:pPr>
              <w:spacing w:after="0" w:line="269" w:lineRule="auto"/>
            </w:pPr>
            <w:r>
              <w:rPr>
                <w:color w:val="152238"/>
                <w:sz w:val="19"/>
              </w:rPr>
              <w:t>The observation-chain equations, event selection, detector-template use, profile-likelihood logic, injection/recovery mechanism, timing estimator, and standard oscillation propagator have been exercised on real or official public releases. All prespecified implementation-level criteria pass.</w:t>
            </w:r>
          </w:p>
        </w:tc>
      </w:tr>
    </w:tbl>
    <w:p>
      <w:pPr>
        <w:spacing w:after="0"/>
      </w:pP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shd w:fill="FFF5D9"/>
            <w:tcMar>
              <w:top w:w="80" w:type="dxa"/>
              <w:bottom w:w="80" w:type="dxa"/>
              <w:start w:w="120" w:type="dxa"/>
              <w:end w:w="120" w:type="dxa"/>
            </w:tcMar>
            <w:vAlign w:val="center"/>
          </w:tcPr>
          <w:p>
            <w:pPr>
              <w:spacing w:after="80"/>
            </w:pPr>
            <w:r>
              <w:rPr>
                <w:b/>
                <w:color w:val="9A6700"/>
                <w:sz w:val="21"/>
              </w:rPr>
              <w:t>NOT SUPPORTED BY THESE TESTS</w:t>
            </w:r>
          </w:p>
          <w:p>
            <w:pPr>
              <w:spacing w:after="0" w:line="269" w:lineRule="auto"/>
            </w:pPr>
            <w:r>
              <w:rPr>
                <w:color w:val="152238"/>
                <w:sz w:val="19"/>
              </w:rPr>
              <w:t>No unique END prediction has been confronted with the data. The analysis cannot choose or infer A_alpha, C/Lambda^2, an END dark-matter mass/cross section, or H_ENDnu without extending the theory beyond the supplied manuscript. Therefore END Theory is not empirically validated by this companion.</w:t>
            </w:r>
          </w:p>
        </w:tc>
      </w:tr>
    </w:tbl>
    <w:p>
      <w:pPr>
        <w:spacing w:after="0"/>
      </w:pPr>
    </w:p>
    <w:p>
      <w:pPr>
        <w:pStyle w:val="Heading2"/>
      </w:pPr>
      <w:r>
        <w:t>7.3 Falsifiable next step</w:t>
      </w:r>
    </w:p>
    <w:p>
      <w:r>
        <w:t>The next edition should publish one immutable, machine-readable parameter card per claimed experiment. Each card must be timestamped and versioned before evaluation. At minimum it must contain the following fields.</w:t>
      </w:r>
    </w:p>
    <w:tbl>
      <w:tblPr>
        <w:tblStyle w:val="TableGrid"/>
        <w:tblW w:type="dxa" w:w="9360"/>
        <w:jc w:val="center"/>
        <w:tblLayout w:type="fixed"/>
        <w:tblLook w:firstColumn="1" w:firstRow="1" w:lastColumn="0" w:lastRow="0" w:noHBand="0" w:noVBand="1" w:val="04A0"/>
        <w:tblInd w:w="120" w:type="dxa"/>
      </w:tblPr>
      <w:tblGrid>
        <w:gridCol w:w="1900"/>
        <w:gridCol w:w="7460"/>
      </w:tblGrid>
      <w:tr>
        <w:trPr>
          <w:tblHeader w:val="true"/>
          <w:cantSplit/>
        </w:trPr>
        <w:tc>
          <w:tcPr>
            <w:tcW w:type="dxa" w:w="19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Channel</w:t>
            </w:r>
          </w:p>
        </w:tc>
        <w:tc>
          <w:tcPr>
            <w:tcW w:type="dxa" w:w="746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Required frozen fields</w:t>
            </w:r>
          </w:p>
        </w:tc>
      </w:tr>
      <w:tr>
        <w:trPr>
          <w:cantSplit/>
        </w:trPr>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6"/>
              </w:rPr>
              <w:t>GW</w:t>
            </w:r>
          </w:p>
        </w:tc>
        <w:tc>
          <w:tcPr>
            <w:tcW w:type="dxa" w:w="7460"/>
            <w:tcMar>
              <w:top w:w="80" w:type="dxa"/>
              <w:bottom w:w="80" w:type="dxa"/>
              <w:start w:w="120" w:type="dxa"/>
              <w:end w:w="120" w:type="dxa"/>
            </w:tcMar>
            <w:vAlign w:val="center"/>
          </w:tcPr>
          <w:p>
            <w:pPr>
              <w:spacing w:after="0" w:line="252" w:lineRule="auto"/>
            </w:pPr>
            <w:r/>
            <w:r>
              <w:rPr>
                <w:rFonts w:ascii="Calibri" w:hAnsi="Calibri"/>
                <w:b w:val="0"/>
                <w:color w:val="152238"/>
                <w:sz w:val="16"/>
              </w:rPr>
              <w:t>alpha; A_alpha with units/sign; propagation-distance integral; waveform phase correction; event set; prior</w:t>
            </w:r>
          </w:p>
        </w:tc>
      </w:tr>
      <w:tr>
        <w:trPr>
          <w:cantSplit/>
        </w:trPr>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Collider</w:t>
            </w:r>
          </w:p>
        </w:tc>
        <w:tc>
          <w:tcPr>
            <w:tcW w:type="dxa" w:w="74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Operator basis; C_i/Lambda^2; cutoff and truncation rule; mediator mass/width if used; acceptance map; nuisance priors</w:t>
            </w:r>
          </w:p>
        </w:tc>
      </w:tr>
      <w:tr>
        <w:trPr>
          <w:cantSplit/>
        </w:trPr>
        <w:tc>
          <w:tcPr>
            <w:tcW w:type="dxa" w:w="1900"/>
            <w:tcMar>
              <w:top w:w="80" w:type="dxa"/>
              <w:bottom w:w="80" w:type="dxa"/>
              <w:start w:w="120" w:type="dxa"/>
              <w:end w:w="120" w:type="dxa"/>
            </w:tcMar>
            <w:vAlign w:val="center"/>
          </w:tcPr>
          <w:p>
            <w:pPr>
              <w:spacing w:after="0" w:line="252" w:lineRule="auto"/>
            </w:pPr>
            <w:r/>
            <w:r>
              <w:rPr>
                <w:rFonts w:ascii="Calibri" w:hAnsi="Calibri"/>
                <w:b w:val="0"/>
                <w:color w:val="152238"/>
                <w:sz w:val="16"/>
              </w:rPr>
              <w:t>Direct detection</w:t>
            </w:r>
          </w:p>
        </w:tc>
        <w:tc>
          <w:tcPr>
            <w:tcW w:type="dxa" w:w="7460"/>
            <w:tcMar>
              <w:top w:w="80" w:type="dxa"/>
              <w:bottom w:w="80" w:type="dxa"/>
              <w:start w:w="120" w:type="dxa"/>
              <w:end w:w="120" w:type="dxa"/>
            </w:tcMar>
            <w:vAlign w:val="center"/>
          </w:tcPr>
          <w:p>
            <w:pPr>
              <w:spacing w:after="0" w:line="252" w:lineRule="auto"/>
            </w:pPr>
            <w:r/>
            <w:r>
              <w:rPr>
                <w:rFonts w:ascii="Calibri" w:hAnsi="Calibri"/>
                <w:b w:val="0"/>
                <w:color w:val="152238"/>
                <w:sz w:val="16"/>
              </w:rPr>
              <w:t>m_chi; cross section or mediator parameters; halo model; nuclear response; detector template map</w:t>
            </w:r>
          </w:p>
        </w:tc>
      </w:tr>
      <w:tr>
        <w:trPr>
          <w:cantSplit/>
        </w:trPr>
        <w:tc>
          <w:tcPr>
            <w:tcW w:type="dxa" w:w="19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DUNE</w:t>
            </w:r>
          </w:p>
        </w:tc>
        <w:tc>
          <w:tcPr>
            <w:tcW w:type="dxa" w:w="74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Explicit Hermitian H_ENDnu(E,rho); flavour basis; sign conventions; nuisance priors; test statistic; release/config version</w:t>
            </w:r>
          </w:p>
        </w:tc>
      </w:tr>
    </w:tbl>
    <w:p>
      <w:pPr>
        <w:spacing w:after="0"/>
      </w:pPr>
    </w:p>
    <w:p>
      <w:r>
        <w:t>With these values fixed, the current code base can be extended from Level 1 standard-candle validation to Level 2 theory comparison: compute the END and null expectations, profile the same nuisance set, report goodness-of-fit and likelihood-ratio behavior, and perform coverage-calibrated pseudo-experiments. Until then, 'not established' is a methodological boundary, not a negative measurement of the framework.</w:t>
      </w:r>
    </w:p>
    <w:p>
      <w:pPr>
        <w:spacing w:after="20"/>
      </w:pPr>
      <w:r>
        <w:rPr>
          <w:b/>
          <w:color w:val="2E74B5"/>
          <w:sz w:val="17"/>
        </w:rPr>
        <w:t>REPRODUCIBILITY</w:t>
      </w:r>
    </w:p>
    <w:p>
      <w:pPr>
        <w:pStyle w:val="Heading1"/>
        <w:pBdr>
          <w:bottom w:val="single" w:sz="10" w:space="1" w:color="2E74B5"/>
        </w:pBdr>
      </w:pPr>
      <w:r>
        <w:t>Appendix A. Exact source hashes</w:t>
      </w:r>
    </w:p>
    <w:p>
      <w:r>
        <w:t>The archive's SHA256SUMS.txt is normative for every packaged file. The hashes below are the primary inputs recorded in the machine-readable result ledger.</w:t>
      </w:r>
    </w:p>
    <w:tbl>
      <w:tblPr>
        <w:tblStyle w:val="TableGrid"/>
        <w:tblW w:type="dxa" w:w="9360"/>
        <w:jc w:val="center"/>
        <w:tblLayout w:type="fixed"/>
        <w:tblLook w:firstColumn="1" w:firstRow="1" w:lastColumn="0" w:lastRow="0" w:noHBand="0" w:noVBand="1" w:val="04A0"/>
        <w:tblInd w:w="120" w:type="dxa"/>
      </w:tblPr>
      <w:tblGrid>
        <w:gridCol w:w="1100"/>
        <w:gridCol w:w="4300"/>
        <w:gridCol w:w="3960"/>
      </w:tblGrid>
      <w:tr>
        <w:trPr>
          <w:tblHeader w:val="true"/>
          <w:cantSplit/>
        </w:trPr>
        <w:tc>
          <w:tcPr>
            <w:tcW w:type="dxa" w:w="1100"/>
            <w:shd w:fill="E8EEF5"/>
            <w:tcMar>
              <w:top w:w="80" w:type="dxa"/>
              <w:bottom w:w="80" w:type="dxa"/>
              <w:start w:w="120" w:type="dxa"/>
              <w:end w:w="120" w:type="dxa"/>
            </w:tcMar>
            <w:vAlign w:val="center"/>
          </w:tcPr>
          <w:p>
            <w:pPr>
              <w:spacing w:after="0" w:line="252" w:lineRule="auto"/>
            </w:pPr>
            <w:r/>
            <w:r>
              <w:rPr>
                <w:rFonts w:ascii="Calibri" w:hAnsi="Calibri"/>
                <w:b/>
                <w:color w:val="1F4E79"/>
                <w:sz w:val="13"/>
              </w:rPr>
              <w:t>Program</w:t>
            </w:r>
          </w:p>
        </w:tc>
        <w:tc>
          <w:tcPr>
            <w:tcW w:type="dxa" w:w="4300"/>
            <w:shd w:fill="E8EEF5"/>
            <w:tcMar>
              <w:top w:w="80" w:type="dxa"/>
              <w:bottom w:w="80" w:type="dxa"/>
              <w:start w:w="120" w:type="dxa"/>
              <w:end w:w="120" w:type="dxa"/>
            </w:tcMar>
            <w:vAlign w:val="center"/>
          </w:tcPr>
          <w:p>
            <w:pPr>
              <w:spacing w:after="0" w:line="252" w:lineRule="auto"/>
            </w:pPr>
            <w:r/>
            <w:r>
              <w:rPr>
                <w:rFonts w:ascii="Calibri" w:hAnsi="Calibri"/>
                <w:b/>
                <w:color w:val="1F4E79"/>
                <w:sz w:val="13"/>
              </w:rPr>
              <w:t>File</w:t>
            </w:r>
          </w:p>
        </w:tc>
        <w:tc>
          <w:tcPr>
            <w:tcW w:type="dxa" w:w="3960"/>
            <w:shd w:fill="E8EEF5"/>
            <w:tcMar>
              <w:top w:w="80" w:type="dxa"/>
              <w:bottom w:w="80" w:type="dxa"/>
              <w:start w:w="120" w:type="dxa"/>
              <w:end w:w="120" w:type="dxa"/>
            </w:tcMar>
            <w:vAlign w:val="center"/>
          </w:tcPr>
          <w:p>
            <w:pPr>
              <w:spacing w:after="0" w:line="252" w:lineRule="auto"/>
            </w:pPr>
            <w:r/>
            <w:r>
              <w:rPr>
                <w:rFonts w:ascii="Calibri" w:hAnsi="Calibri"/>
                <w:b/>
                <w:color w:val="1F4E79"/>
                <w:sz w:val="13"/>
              </w:rPr>
              <w:t>SHA-256</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GWOSC</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H-H1_GWOSC_4KHZ_R1-1126259447-32.txt.gz</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fefe8717306109460b6c9cff74da6beb9e80ee624824b4b09bdd2c54ce9b4dfc</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GWOSC</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L-L1_GWOSC_4KHZ_R1-1126259447-32.txt.gz</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43d30a710d6ed4a8f27d13f45182f3825cbe99f87287b518618c8ff0e25e0d7c</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CERN</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data_A.4lep.root</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bd50fbd4551ca446f5d53fd50a9749a81a899ea43d35c4899ebf887fb07ebe17</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CERN</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data_B.4lep.root</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57e651a89f7911205d6163d3904e17b5df72e253559372128381ce041ac8b476</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CERN</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data_C.4lep.root</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f0da7764a92d7f258596b621355a6d883610f46f605878ac992222fe846a39af</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CERN</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data_D.4lep.root</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fa4f0f1ce7dd5ef7dfc9d1edcef82cc7da63418b124155842c7a84af909efc81</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data/ac/template_XENONnT_sr0_ac_cevns.h5</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981e2a4f1c962b7f94b3633ac81f95559536028ebc607324d55a2cd092ddb4e1</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data/ac/template_XENONnT_sr1_ac_cevns.h5</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9181399e04d0399d2b60dbfe5b6597cd5f494eefbd4587549d18265aba4deeae</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data/b8/template_XENONnT_sr0_b8_cevns_tly_0.0_tqy_0.0.h5</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93f6e1f455a9bbe6e7fe72d00e748f9101a21ed0fec68b01de576e62da260f1e</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data/b8/template_XENONnT_sr1_b8_cevns_tly_0.0_tqy_0.0.h5</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cbea05b5ce36b35a128445a601794cab86c98ecc91d53908cc8ddb21cc84fbb9</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data/er/template_XENONnT_sr0_er_cevns.h5</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8e3be75173f5ebeb0b79c153348ec5650e30a2721b99656a71164cdf6f70616c</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data/er/template_XENONnT_sr1_er_cevns.h5</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fdd561b774d9b661bf2ab2c5b969eaa339f3d08a92094d96206caf776bb89fda</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data/rg/template_XENONnT_sr0_rg_cevns_tly_0.0_tqy_0.0.h5</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a01ca8930f240d2feb75869093f84aa340bfc9aef320505ba072d2a32b98c538</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data/rg/template_XENONnT_sr1_rg_cevns_tly_0.0_tqy_0.0.h5</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02fe208f55a4ea82cb025e3551374bb9231c611b5d7f28c0ea22f65d04221cef</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data/signal/wimp_si_spectrum_10.json</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e439f5289e16e00eeb008f8b5a87aba67f58e971408f231570365515b6a45250</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data/signal/wimp_si_spectrum_12.json</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6aab419b0bf1a89546da4752f93f768f6e02fc553f8599bd8d96acdf63ac53df</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data/signal/wimp_si_spectrum_3.json</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d575840dec4a4f2b8c271c032e5dfa9897eba74ac62e8149a4e16f9977782be1</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data/signal/wimp_si_spectrum_4.json</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a529b6c5e464b4d6abf3cf1823da8289b493a478743a16e62a182e1e4be1eec7</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data/signal/wimp_si_spectrum_5.json</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d11b742c7bc97bdeaa8f0cbf0803d1474fa10967b62f12e154d231a8e88b3d20</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data/signal/wimp_si_spectrum_6.json</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dd9a654fdb69ee0c1f4ffd395c7afbc4408527793ac20718164f25de423713c4</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data/signal/wimp_si_spectrum_8.json</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9a4a3bcee95e10f134f99b3c2d97b7a6c124e50741a1d9cd43fca0632b633a81</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data/wimp_si/template_XENONnT_sr0_wimp_si_10_cevns_tly_0.0_tqy_0.0.h5</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812ff0509986b006504e1fc444ca12d18c9f485c588cab8c02c5d689fc0e4e85</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data/wimp_si/template_XENONnT_sr0_wimp_si_12_cevns_tly_0.0_tqy_0.0.h5</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491aa388d64e49536cf9fd351ef4f26d42c1cfaa95687c1e83c161d5374de62a</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data/wimp_si/template_XENONnT_sr0_wimp_si_3_cevns_tly_0.0_tqy_0.0.h5</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8cf098c234b1f5d1e0fd4986ee267f28a295a4520fd09674b3fea74cbf747949</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data/wimp_si/template_XENONnT_sr0_wimp_si_4_cevns_tly_0.0_tqy_0.0.h5</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cae02cbaff82de2119c5d485e3c4ab92dbddc0d21d485bfe197fb700dabf25c1</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data/wimp_si/template_XENONnT_sr0_wimp_si_5_cevns_tly_0.0_tqy_0.0.h5</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e64be38114bcb25ca9c20345fb9265052b96b5967bd857a70a5cb4c23be5c830</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data/wimp_si/template_XENONnT_sr0_wimp_si_6_cevns_tly_0.0_tqy_0.0.h5</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5e3b5a4de907501af82a1ca07503055dd297a3a0fa9b282c3d73f81d10d5c12c</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data/wimp_si/template_XENONnT_sr0_wimp_si_8_cevns_tly_0.0_tqy_0.0.h5</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4c830dfa5c41027a2c403b9e995af4b568b2da1ecbeee6c411269eef241a99a7</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data/wimp_si/template_XENONnT_sr1_wimp_si_10_cevns_tly_0.0_tqy_0.0.h5</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003640af12e6d987dff0a875719db3c212481e66be1abe92d9599a420cfb2049</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data/wimp_si/template_XENONnT_sr1_wimp_si_12_cevns_tly_0.0_tqy_0.0.h5</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2cf95263656a19d025826558334d0aff41a614af11d335b58c944bf254a61e4a</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data/wimp_si/template_XENONnT_sr1_wimp_si_3_cevns_tly_0.0_tqy_0.0.h5</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d1d9d65404e58b093fdab3dbec5f83f3689e23afa3ce707609564e09142cae02</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data/wimp_si/template_XENONnT_sr1_wimp_si_4_cevns_tly_0.0_tqy_0.0.h5</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622627a81e9cc63a4f414d256f030a761263c6efa7199b70ff4ecd2ace6e6438</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data/wimp_si/template_XENONnT_sr1_wimp_si_5_cevns_tly_0.0_tqy_0.0.h5</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a846c13be8a74c3f026f091a03a30f7a55de7c4d3129babba1c5faa5f3d6da6a</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data/wimp_si/template_XENONnT_sr1_wimp_si_6_cevns_tly_0.0_tqy_0.0.h5</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d589e379f73ab5842b532fd5306da5701e482d51db16ed25965d7d0a0da734c9</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data/wimp_si/template_XENONnT_sr1_wimp_si_8_cevns_tly_0.0_tqy_0.0.h5</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948d30ecb2053dbca0086286bb6141fefba4ea28eb184fbbe9b09222442dd817</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limits/XENONnT_2024_SI.csv</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096f5f8693ed8652c121656a07b812ae94cd9ae597e758475764660f9c536aff</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XENONNT</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real_data.pkl</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5013f80b35819f84ddfc3d93b0e4e1ca80e35f25bd0d76b0a72ab028c35ceb44</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DUNE</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DUNE_GLoBES.glb</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3ec19753e1e2e6bb6bb43b41a2f4cd01e7b85cc022550674a3d38fada0822aa9</w:t>
            </w:r>
          </w:p>
        </w:tc>
      </w:tr>
      <w:tr>
        <w:trPr>
          <w:cantSplit/>
        </w:trPr>
        <w:tc>
          <w:tcPr>
            <w:tcW w:type="dxa" w:w="1100"/>
            <w:tcMar>
              <w:top w:w="80" w:type="dxa"/>
              <w:bottom w:w="80" w:type="dxa"/>
              <w:start w:w="120" w:type="dxa"/>
              <w:end w:w="120" w:type="dxa"/>
            </w:tcMar>
            <w:vAlign w:val="center"/>
          </w:tcPr>
          <w:p>
            <w:pPr>
              <w:spacing w:after="0" w:line="252" w:lineRule="auto"/>
            </w:pPr>
            <w:r/>
            <w:r>
              <w:rPr>
                <w:rFonts w:ascii="Calibri" w:hAnsi="Calibri"/>
                <w:b w:val="0"/>
                <w:color w:val="152238"/>
                <w:sz w:val="13"/>
              </w:rPr>
              <w:t>DUNE</w:t>
            </w:r>
          </w:p>
        </w:tc>
        <w:tc>
          <w:tcPr>
            <w:tcW w:type="dxa" w:w="4300"/>
            <w:tcMar>
              <w:top w:w="80" w:type="dxa"/>
              <w:bottom w:w="80" w:type="dxa"/>
              <w:start w:w="120" w:type="dxa"/>
              <w:end w:w="120" w:type="dxa"/>
            </w:tcMar>
            <w:vAlign w:val="center"/>
          </w:tcPr>
          <w:p>
            <w:pPr>
              <w:spacing w:after="0" w:line="252" w:lineRule="auto"/>
            </w:pPr>
            <w:r/>
            <w:r>
              <w:rPr>
                <w:rFonts w:ascii="Calibri" w:hAnsi="Calibri"/>
                <w:b w:val="0"/>
                <w:color w:val="152238"/>
                <w:sz w:val="13"/>
              </w:rPr>
              <w:t>histos_g4lbne_v3r5p4_QGSP_BERT_OptimizedEngineeredNov2017_neutrino_LBNEFD_globes_flux.txt</w:t>
            </w:r>
          </w:p>
        </w:tc>
        <w:tc>
          <w:tcPr>
            <w:tcW w:type="dxa" w:w="3960"/>
            <w:tcMar>
              <w:top w:w="80" w:type="dxa"/>
              <w:bottom w:w="80" w:type="dxa"/>
              <w:start w:w="120" w:type="dxa"/>
              <w:end w:w="120" w:type="dxa"/>
            </w:tcMar>
            <w:vAlign w:val="center"/>
          </w:tcPr>
          <w:p>
            <w:pPr>
              <w:spacing w:after="0" w:line="252" w:lineRule="auto"/>
            </w:pPr>
            <w:r/>
            <w:r>
              <w:rPr>
                <w:rFonts w:ascii="Calibri" w:hAnsi="Calibri"/>
                <w:b w:val="0"/>
                <w:color w:val="152238"/>
                <w:sz w:val="13"/>
              </w:rPr>
              <w:t>0dd2eb8132eff8ea7d4bceaa1255a96bc95470262787d0b25e97ff8a21371500</w:t>
            </w:r>
          </w:p>
        </w:tc>
      </w:tr>
      <w:tr>
        <w:trPr>
          <w:cantSplit/>
        </w:trPr>
        <w:tc>
          <w:tcPr>
            <w:tcW w:type="dxa" w:w="11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DUNE</w:t>
            </w:r>
          </w:p>
        </w:tc>
        <w:tc>
          <w:tcPr>
            <w:tcW w:type="dxa" w:w="430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xsec_cc.dat</w:t>
            </w:r>
          </w:p>
        </w:tc>
        <w:tc>
          <w:tcPr>
            <w:tcW w:type="dxa" w:w="3960"/>
            <w:shd w:fill="F8FAFC"/>
            <w:tcMar>
              <w:top w:w="80" w:type="dxa"/>
              <w:bottom w:w="80" w:type="dxa"/>
              <w:start w:w="120" w:type="dxa"/>
              <w:end w:w="120" w:type="dxa"/>
            </w:tcMar>
            <w:vAlign w:val="center"/>
          </w:tcPr>
          <w:p>
            <w:pPr>
              <w:spacing w:after="0" w:line="252" w:lineRule="auto"/>
            </w:pPr>
            <w:r/>
            <w:r>
              <w:rPr>
                <w:rFonts w:ascii="Calibri" w:hAnsi="Calibri"/>
                <w:b w:val="0"/>
                <w:color w:val="152238"/>
                <w:sz w:val="13"/>
              </w:rPr>
              <w:t>bb950e7fb645bc5cdb052d17e2076534be2cbfd24e83ddc851f6d906ece93efd</w:t>
            </w:r>
          </w:p>
        </w:tc>
      </w:tr>
    </w:tbl>
    <w:p>
      <w:pPr>
        <w:spacing w:after="0"/>
      </w:pPr>
    </w:p>
    <w:p>
      <w:r>
        <w:br w:type="page"/>
      </w:r>
    </w:p>
    <w:p>
      <w:pPr>
        <w:spacing w:after="20"/>
      </w:pPr>
      <w:r>
        <w:rPr>
          <w:b/>
          <w:color w:val="2E74B5"/>
          <w:sz w:val="17"/>
        </w:rPr>
        <w:t>MACHINE-READABLE ARTIFACTS</w:t>
      </w:r>
    </w:p>
    <w:p>
      <w:pPr>
        <w:pStyle w:val="Heading1"/>
        <w:pBdr>
          <w:bottom w:val="single" w:sz="10" w:space="1" w:color="2E74B5"/>
        </w:pBdr>
      </w:pPr>
      <w:r>
        <w:t>Appendix B. Output inventory</w:t>
      </w:r>
    </w:p>
    <w:tbl>
      <w:tblPr>
        <w:tblStyle w:val="TableGrid"/>
        <w:tblW w:type="dxa" w:w="9360"/>
        <w:jc w:val="center"/>
        <w:tblLayout w:type="fixed"/>
        <w:tblLook w:firstColumn="1" w:firstRow="1" w:lastColumn="0" w:lastRow="0" w:noHBand="0" w:noVBand="1" w:val="04A0"/>
        <w:tblInd w:w="120" w:type="dxa"/>
      </w:tblPr>
      <w:tblGrid>
        <w:gridCol w:w="3500"/>
        <w:gridCol w:w="5860"/>
      </w:tblGrid>
      <w:tr>
        <w:trPr>
          <w:tblHeader w:val="true"/>
          <w:cantSplit/>
        </w:trPr>
        <w:tc>
          <w:tcPr>
            <w:tcW w:type="dxa" w:w="35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Artifact</w:t>
            </w:r>
          </w:p>
        </w:tc>
        <w:tc>
          <w:tcPr>
            <w:tcW w:type="dxa" w:w="586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Purpose</w:t>
            </w:r>
          </w:p>
        </w:tc>
      </w:tr>
      <w:tr>
        <w:trPr>
          <w:cantSplit/>
        </w:trPr>
        <w:tc>
          <w:tcPr>
            <w:tcW w:type="dxa" w:w="3500"/>
            <w:tcMar>
              <w:top w:w="80" w:type="dxa"/>
              <w:bottom w:w="80" w:type="dxa"/>
              <w:start w:w="120" w:type="dxa"/>
              <w:end w:w="120" w:type="dxa"/>
            </w:tcMar>
            <w:vAlign w:val="center"/>
          </w:tcPr>
          <w:p>
            <w:pPr>
              <w:spacing w:after="0" w:line="252" w:lineRule="auto"/>
            </w:pPr>
            <w:r/>
            <w:r>
              <w:rPr>
                <w:rFonts w:ascii="Calibri" w:hAnsi="Calibri"/>
                <w:b w:val="0"/>
                <w:color w:val="152238"/>
                <w:sz w:val="16"/>
              </w:rPr>
              <w:t>validation_results.json</w:t>
            </w:r>
          </w:p>
        </w:tc>
        <w:tc>
          <w:tcPr>
            <w:tcW w:type="dxa" w:w="5860"/>
            <w:tcMar>
              <w:top w:w="80" w:type="dxa"/>
              <w:bottom w:w="80" w:type="dxa"/>
              <w:start w:w="120" w:type="dxa"/>
              <w:end w:w="120" w:type="dxa"/>
            </w:tcMar>
            <w:vAlign w:val="center"/>
          </w:tcPr>
          <w:p>
            <w:pPr>
              <w:spacing w:after="0" w:line="252" w:lineRule="auto"/>
            </w:pPr>
            <w:r/>
            <w:r>
              <w:rPr>
                <w:rFonts w:ascii="Calibri" w:hAnsi="Calibri"/>
                <w:b w:val="0"/>
                <w:color w:val="152238"/>
                <w:sz w:val="16"/>
              </w:rPr>
              <w:t>Primary result ledger, versions, checksums, scope, and final decision</w:t>
            </w:r>
          </w:p>
        </w:tc>
      </w:tr>
      <w:tr>
        <w:trPr>
          <w:cantSplit/>
        </w:trPr>
        <w:tc>
          <w:tcPr>
            <w:tcW w:type="dxa" w:w="35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gwosc_subband_timing.csv</w:t>
            </w:r>
          </w:p>
        </w:tc>
        <w:tc>
          <w:tcPr>
            <w:tcW w:type="dxa" w:w="58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Band definitions, lags, and injection quantiles</w:t>
            </w:r>
          </w:p>
        </w:tc>
      </w:tr>
      <w:tr>
        <w:trPr>
          <w:cantSplit/>
        </w:trPr>
        <w:tc>
          <w:tcPr>
            <w:tcW w:type="dxa" w:w="3500"/>
            <w:tcMar>
              <w:top w:w="80" w:type="dxa"/>
              <w:bottom w:w="80" w:type="dxa"/>
              <w:start w:w="120" w:type="dxa"/>
              <w:end w:w="120" w:type="dxa"/>
            </w:tcMar>
            <w:vAlign w:val="center"/>
          </w:tcPr>
          <w:p>
            <w:pPr>
              <w:spacing w:after="0" w:line="252" w:lineRule="auto"/>
            </w:pPr>
            <w:r/>
            <w:r>
              <w:rPr>
                <w:rFonts w:ascii="Calibri" w:hAnsi="Calibri"/>
                <w:b w:val="0"/>
                <w:color w:val="152238"/>
                <w:sz w:val="16"/>
              </w:rPr>
              <w:t>cern_selected_four_lepton_masses.csv</w:t>
            </w:r>
          </w:p>
        </w:tc>
        <w:tc>
          <w:tcPr>
            <w:tcW w:type="dxa" w:w="5860"/>
            <w:tcMar>
              <w:top w:w="80" w:type="dxa"/>
              <w:bottom w:w="80" w:type="dxa"/>
              <w:start w:w="120" w:type="dxa"/>
              <w:end w:w="120" w:type="dxa"/>
            </w:tcMar>
            <w:vAlign w:val="center"/>
          </w:tcPr>
          <w:p>
            <w:pPr>
              <w:spacing w:after="0" w:line="252" w:lineRule="auto"/>
            </w:pPr>
            <w:r/>
            <w:r>
              <w:rPr>
                <w:rFonts w:ascii="Calibri" w:hAnsi="Calibri"/>
                <w:b w:val="0"/>
                <w:color w:val="152238"/>
                <w:sz w:val="16"/>
              </w:rPr>
              <w:t>All 229 masses surviving the frozen selection</w:t>
            </w:r>
          </w:p>
        </w:tc>
      </w:tr>
      <w:tr>
        <w:trPr>
          <w:cantSplit/>
        </w:trPr>
        <w:tc>
          <w:tcPr>
            <w:tcW w:type="dxa" w:w="35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cern_four_lepton_histogram.csv</w:t>
            </w:r>
          </w:p>
        </w:tc>
        <w:tc>
          <w:tcPr>
            <w:tcW w:type="dxa" w:w="58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Observed and fitted values in the 105-160 GeV window</w:t>
            </w:r>
          </w:p>
        </w:tc>
      </w:tr>
      <w:tr>
        <w:trPr>
          <w:cantSplit/>
        </w:trPr>
        <w:tc>
          <w:tcPr>
            <w:tcW w:type="dxa" w:w="3500"/>
            <w:tcMar>
              <w:top w:w="80" w:type="dxa"/>
              <w:bottom w:w="80" w:type="dxa"/>
              <w:start w:w="120" w:type="dxa"/>
              <w:end w:w="120" w:type="dxa"/>
            </w:tcMar>
            <w:vAlign w:val="center"/>
          </w:tcPr>
          <w:p>
            <w:pPr>
              <w:spacing w:after="0" w:line="252" w:lineRule="auto"/>
            </w:pPr>
            <w:r/>
            <w:r>
              <w:rPr>
                <w:rFonts w:ascii="Calibri" w:hAnsi="Calibri"/>
                <w:b w:val="0"/>
                <w:color w:val="152238"/>
                <w:sz w:val="16"/>
              </w:rPr>
              <w:t>xenonnt_limit_reproduction.csv</w:t>
            </w:r>
          </w:p>
        </w:tc>
        <w:tc>
          <w:tcPr>
            <w:tcW w:type="dxa" w:w="5860"/>
            <w:tcMar>
              <w:top w:w="80" w:type="dxa"/>
              <w:bottom w:w="80" w:type="dxa"/>
              <w:start w:w="120" w:type="dxa"/>
              <w:end w:w="120" w:type="dxa"/>
            </w:tcMar>
            <w:vAlign w:val="center"/>
          </w:tcPr>
          <w:p>
            <w:pPr>
              <w:spacing w:after="0" w:line="252" w:lineRule="auto"/>
            </w:pPr>
            <w:r/>
            <w:r>
              <w:rPr>
                <w:rFonts w:ascii="Calibri" w:hAnsi="Calibri"/>
                <w:b w:val="0"/>
                <w:color w:val="152238"/>
                <w:sz w:val="16"/>
              </w:rPr>
              <w:t>Approximate and official limits, residuals, and scope flags</w:t>
            </w:r>
          </w:p>
        </w:tc>
      </w:tr>
      <w:tr>
        <w:trPr>
          <w:cantSplit/>
        </w:trPr>
        <w:tc>
          <w:tcPr>
            <w:tcW w:type="dxa" w:w="35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dune_oscillation_probabilities.csv</w:t>
            </w:r>
          </w:p>
        </w:tc>
        <w:tc>
          <w:tcPr>
            <w:tcW w:type="dxa" w:w="58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Neutrino and antineutrino appearance curves</w:t>
            </w:r>
          </w:p>
        </w:tc>
      </w:tr>
      <w:tr>
        <w:trPr>
          <w:cantSplit/>
        </w:trPr>
        <w:tc>
          <w:tcPr>
            <w:tcW w:type="dxa" w:w="3500"/>
            <w:tcMar>
              <w:top w:w="80" w:type="dxa"/>
              <w:bottom w:w="80" w:type="dxa"/>
              <w:start w:w="120" w:type="dxa"/>
              <w:end w:w="120" w:type="dxa"/>
            </w:tcMar>
            <w:vAlign w:val="center"/>
          </w:tcPr>
          <w:p>
            <w:pPr>
              <w:spacing w:after="0" w:line="252" w:lineRule="auto"/>
            </w:pPr>
            <w:r/>
            <w:r>
              <w:rPr>
                <w:rFonts w:ascii="Calibri" w:hAnsi="Calibri"/>
                <w:b w:val="0"/>
                <w:color w:val="152238"/>
                <w:sz w:val="16"/>
              </w:rPr>
              <w:t>dune_flux_appearance_proxy.csv</w:t>
            </w:r>
          </w:p>
        </w:tc>
        <w:tc>
          <w:tcPr>
            <w:tcW w:type="dxa" w:w="5860"/>
            <w:tcMar>
              <w:top w:w="80" w:type="dxa"/>
              <w:bottom w:w="80" w:type="dxa"/>
              <w:start w:w="120" w:type="dxa"/>
              <w:end w:w="120" w:type="dxa"/>
            </w:tcMar>
            <w:vAlign w:val="center"/>
          </w:tcPr>
          <w:p>
            <w:pPr>
              <w:spacing w:after="0" w:line="252" w:lineRule="auto"/>
            </w:pPr>
            <w:r/>
            <w:r>
              <w:rPr>
                <w:rFonts w:ascii="Calibri" w:hAnsi="Calibri"/>
                <w:b w:val="0"/>
                <w:color w:val="152238"/>
                <w:sz w:val="16"/>
              </w:rPr>
              <w:t>Flux, cross section, probability, and proxy values</w:t>
            </w:r>
          </w:p>
        </w:tc>
      </w:tr>
      <w:tr>
        <w:trPr>
          <w:cantSplit/>
        </w:trPr>
        <w:tc>
          <w:tcPr>
            <w:tcW w:type="dxa" w:w="35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figure_*.png</w:t>
            </w:r>
          </w:p>
        </w:tc>
        <w:tc>
          <w:tcPr>
            <w:tcW w:type="dxa" w:w="58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Four paper figures generated from the CSV/analysis state</w:t>
            </w:r>
          </w:p>
        </w:tc>
      </w:tr>
    </w:tbl>
    <w:p>
      <w:pPr>
        <w:spacing w:after="0"/>
      </w:pPr>
    </w:p>
    <w:p>
      <w:pPr>
        <w:pStyle w:val="Heading2"/>
      </w:pPr>
      <w:r>
        <w:t>Independent audit sequence</w:t>
      </w:r>
    </w:p>
    <w:p>
      <w:pPr>
        <w:spacing w:after="60"/>
        <w:ind w:left="403" w:hanging="317"/>
      </w:pPr>
      <w:r>
        <w:rPr>
          <w:b/>
        </w:rPr>
        <w:t xml:space="preserve">1.  </w:t>
      </w:r>
      <w:r>
        <w:t>Verify the archive checksums before executing anything.</w:t>
      </w:r>
    </w:p>
    <w:p>
      <w:pPr>
        <w:spacing w:after="60"/>
        <w:ind w:left="403" w:hanging="317"/>
      </w:pPr>
      <w:r>
        <w:rPr>
          <w:b/>
        </w:rPr>
        <w:t xml:space="preserve">2.  </w:t>
      </w:r>
      <w:r>
        <w:t>Create an isolated environment and install the pinned requirements.</w:t>
      </w:r>
    </w:p>
    <w:p>
      <w:pPr>
        <w:spacing w:after="60"/>
        <w:ind w:left="403" w:hanging="317"/>
      </w:pPr>
      <w:r>
        <w:rPr>
          <w:b/>
        </w:rPr>
        <w:t xml:space="preserve">3.  </w:t>
      </w:r>
      <w:r>
        <w:t>Run the complete analysis with the frozen seed and included data subset.</w:t>
      </w:r>
    </w:p>
    <w:p>
      <w:pPr>
        <w:spacing w:after="60"/>
        <w:ind w:left="403" w:hanging="317"/>
      </w:pPr>
      <w:r>
        <w:rPr>
          <w:b/>
        </w:rPr>
        <w:t xml:space="preserve">4.  </w:t>
      </w:r>
      <w:r>
        <w:t>Compare JSON and CSV values; inspect warnings or optimizer failures.</w:t>
      </w:r>
    </w:p>
    <w:p>
      <w:pPr>
        <w:spacing w:after="60"/>
        <w:ind w:left="403" w:hanging="317"/>
      </w:pPr>
      <w:r>
        <w:rPr>
          <w:b/>
        </w:rPr>
        <w:t xml:space="preserve">5.  </w:t>
      </w:r>
      <w:r>
        <w:t>Review the scope flags before quoting any number as END-specific.</w:t>
      </w:r>
    </w:p>
    <w:p>
      <w:pPr>
        <w:spacing w:after="60"/>
        <w:ind w:left="403" w:hanging="317"/>
      </w:pPr>
      <w:r>
        <w:rPr>
          <w:b/>
        </w:rPr>
        <w:t xml:space="preserve">6.  </w:t>
      </w:r>
      <w:r>
        <w:t>For changes, issue a new analysis version and retain the prior result ledger.</w:t>
      </w:r>
    </w:p>
    <w:p>
      <w:pPr>
        <w:pStyle w:val="Heading2"/>
      </w:pPr>
      <w:r>
        <w:t>Numerical acceptance tolerances</w:t>
      </w:r>
    </w:p>
    <w:tbl>
      <w:tblPr>
        <w:tblStyle w:val="TableGrid"/>
        <w:tblW w:type="dxa" w:w="9360"/>
        <w:jc w:val="center"/>
        <w:tblLayout w:type="fixed"/>
        <w:tblLook w:firstColumn="1" w:firstRow="1" w:lastColumn="0" w:lastRow="0" w:noHBand="0" w:noVBand="1" w:val="04A0"/>
        <w:tblInd w:w="120" w:type="dxa"/>
      </w:tblPr>
      <w:tblGrid>
        <w:gridCol w:w="3300"/>
        <w:gridCol w:w="6060"/>
      </w:tblGrid>
      <w:tr>
        <w:trPr>
          <w:tblHeader w:val="true"/>
          <w:cantSplit/>
        </w:trPr>
        <w:tc>
          <w:tcPr>
            <w:tcW w:type="dxa" w:w="330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Object</w:t>
            </w:r>
          </w:p>
        </w:tc>
        <w:tc>
          <w:tcPr>
            <w:tcW w:type="dxa" w:w="6060"/>
            <w:shd w:fill="E8EEF5"/>
            <w:tcMar>
              <w:top w:w="80" w:type="dxa"/>
              <w:bottom w:w="80" w:type="dxa"/>
              <w:start w:w="120" w:type="dxa"/>
              <w:end w:w="120" w:type="dxa"/>
            </w:tcMar>
            <w:vAlign w:val="center"/>
          </w:tcPr>
          <w:p>
            <w:pPr>
              <w:spacing w:after="0" w:line="252" w:lineRule="auto"/>
            </w:pPr>
            <w:r/>
            <w:r>
              <w:rPr>
                <w:rFonts w:ascii="Calibri" w:hAnsi="Calibri"/>
                <w:b/>
                <w:color w:val="1F4E79"/>
                <w:sz w:val="16"/>
              </w:rPr>
              <w:t>Acceptance</w:t>
            </w:r>
          </w:p>
        </w:tc>
      </w:tr>
      <w:tr>
        <w:trPr>
          <w:cantSplit/>
        </w:trPr>
        <w:tc>
          <w:tcPr>
            <w:tcW w:type="dxa" w:w="3300"/>
            <w:tcMar>
              <w:top w:w="80" w:type="dxa"/>
              <w:bottom w:w="80" w:type="dxa"/>
              <w:start w:w="120" w:type="dxa"/>
              <w:end w:w="120" w:type="dxa"/>
            </w:tcMar>
            <w:vAlign w:val="center"/>
          </w:tcPr>
          <w:p>
            <w:pPr>
              <w:spacing w:after="0" w:line="252" w:lineRule="auto"/>
            </w:pPr>
            <w:r/>
            <w:r>
              <w:rPr>
                <w:rFonts w:ascii="Calibri" w:hAnsi="Calibri"/>
                <w:b w:val="0"/>
                <w:color w:val="152238"/>
                <w:sz w:val="16"/>
              </w:rPr>
              <w:t>JSON/CSV deterministic rerun</w:t>
            </w:r>
          </w:p>
        </w:tc>
        <w:tc>
          <w:tcPr>
            <w:tcW w:type="dxa" w:w="6060"/>
            <w:tcMar>
              <w:top w:w="80" w:type="dxa"/>
              <w:bottom w:w="80" w:type="dxa"/>
              <w:start w:w="120" w:type="dxa"/>
              <w:end w:w="120" w:type="dxa"/>
            </w:tcMar>
            <w:vAlign w:val="center"/>
          </w:tcPr>
          <w:p>
            <w:pPr>
              <w:spacing w:after="0" w:line="252" w:lineRule="auto"/>
            </w:pPr>
            <w:r/>
            <w:r>
              <w:rPr>
                <w:rFonts w:ascii="Calibri" w:hAnsi="Calibri"/>
                <w:b w:val="0"/>
                <w:color w:val="152238"/>
                <w:sz w:val="16"/>
              </w:rPr>
              <w:t>Absolute 1e-10 or relative 1e-8 for floating values</w:t>
            </w:r>
          </w:p>
        </w:tc>
      </w:tr>
      <w:tr>
        <w:trPr>
          <w:cantSplit/>
        </w:trPr>
        <w:tc>
          <w:tcPr>
            <w:tcW w:type="dxa" w:w="33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GW timing</w:t>
            </w:r>
          </w:p>
        </w:tc>
        <w:tc>
          <w:tcPr>
            <w:tcW w:type="dxa" w:w="60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Exact sample-grid lag; published-interval decision unchanged</w:t>
            </w:r>
          </w:p>
        </w:tc>
      </w:tr>
      <w:tr>
        <w:trPr>
          <w:cantSplit/>
        </w:trPr>
        <w:tc>
          <w:tcPr>
            <w:tcW w:type="dxa" w:w="3300"/>
            <w:tcMar>
              <w:top w:w="80" w:type="dxa"/>
              <w:bottom w:w="80" w:type="dxa"/>
              <w:start w:w="120" w:type="dxa"/>
              <w:end w:w="120" w:type="dxa"/>
            </w:tcMar>
            <w:vAlign w:val="center"/>
          </w:tcPr>
          <w:p>
            <w:pPr>
              <w:spacing w:after="0" w:line="252" w:lineRule="auto"/>
            </w:pPr>
            <w:r/>
            <w:r>
              <w:rPr>
                <w:rFonts w:ascii="Calibri" w:hAnsi="Calibri"/>
                <w:b w:val="0"/>
                <w:color w:val="152238"/>
                <w:sz w:val="16"/>
              </w:rPr>
              <w:t>Optimizer results</w:t>
            </w:r>
          </w:p>
        </w:tc>
        <w:tc>
          <w:tcPr>
            <w:tcW w:type="dxa" w:w="6060"/>
            <w:tcMar>
              <w:top w:w="80" w:type="dxa"/>
              <w:bottom w:w="80" w:type="dxa"/>
              <w:start w:w="120" w:type="dxa"/>
              <w:end w:w="120" w:type="dxa"/>
            </w:tcMar>
            <w:vAlign w:val="center"/>
          </w:tcPr>
          <w:p>
            <w:pPr>
              <w:spacing w:after="0" w:line="252" w:lineRule="auto"/>
            </w:pPr>
            <w:r/>
            <w:r>
              <w:rPr>
                <w:rFonts w:ascii="Calibri" w:hAnsi="Calibri"/>
                <w:b w:val="0"/>
                <w:color w:val="152238"/>
                <w:sz w:val="16"/>
              </w:rPr>
              <w:t>Intervals and pass/fail decisions unchanged under platform-level float variation</w:t>
            </w:r>
          </w:p>
        </w:tc>
      </w:tr>
      <w:tr>
        <w:trPr>
          <w:cantSplit/>
        </w:trPr>
        <w:tc>
          <w:tcPr>
            <w:tcW w:type="dxa" w:w="330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Figures</w:t>
            </w:r>
          </w:p>
        </w:tc>
        <w:tc>
          <w:tcPr>
            <w:tcW w:type="dxa" w:w="6060"/>
            <w:shd w:fill="F8FAFC"/>
            <w:tcMar>
              <w:top w:w="80" w:type="dxa"/>
              <w:bottom w:w="80" w:type="dxa"/>
              <w:start w:w="120" w:type="dxa"/>
              <w:end w:w="120" w:type="dxa"/>
            </w:tcMar>
            <w:vAlign w:val="center"/>
          </w:tcPr>
          <w:p>
            <w:pPr>
              <w:spacing w:after="0" w:line="252" w:lineRule="auto"/>
            </w:pPr>
            <w:r/>
            <w:r>
              <w:rPr>
                <w:rFonts w:ascii="Calibri" w:hAnsi="Calibri"/>
                <w:b w:val="0"/>
                <w:color w:val="152238"/>
                <w:sz w:val="16"/>
              </w:rPr>
              <w:t>Visual/data equivalence; byte identity not required</w:t>
            </w:r>
          </w:p>
        </w:tc>
      </w:tr>
    </w:tbl>
    <w:p>
      <w:pPr>
        <w:spacing w:after="0"/>
      </w:pPr>
    </w:p>
    <w:p>
      <w:r>
        <w:br w:type="page"/>
      </w:r>
    </w:p>
    <w:p>
      <w:pPr>
        <w:spacing w:after="20"/>
      </w:pPr>
      <w:r>
        <w:rPr>
          <w:b/>
          <w:color w:val="2E74B5"/>
          <w:sz w:val="17"/>
        </w:rPr>
        <w:t>CRITICAL AUDIT</w:t>
      </w:r>
    </w:p>
    <w:p>
      <w:pPr>
        <w:pStyle w:val="Heading1"/>
        <w:pBdr>
          <w:bottom w:val="single" w:sz="10" w:space="1" w:color="2E74B5"/>
        </w:pBdr>
      </w:pPr>
      <w:r>
        <w:t>Appendix C. Limitations and robustness checks</w:t>
      </w:r>
    </w:p>
    <w:tbl>
      <w:tblPr>
        <w:tblStyle w:val="TableGrid"/>
        <w:tblW w:type="dxa" w:w="9360"/>
        <w:jc w:val="center"/>
        <w:tblLayout w:type="fixed"/>
        <w:tblLook w:firstColumn="1" w:firstRow="1" w:lastColumn="0" w:lastRow="0" w:noHBand="0" w:noVBand="1" w:val="04A0"/>
        <w:tblInd w:w="120" w:type="dxa"/>
      </w:tblPr>
      <w:tblGrid>
        <w:gridCol w:w="2000"/>
        <w:gridCol w:w="4000"/>
        <w:gridCol w:w="3360"/>
      </w:tblGrid>
      <w:tr>
        <w:trPr>
          <w:tblHeader w:val="true"/>
          <w:cantSplit/>
        </w:trPr>
        <w:tc>
          <w:tcPr>
            <w:tcW w:type="dxa" w:w="20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Area</w:t>
            </w:r>
          </w:p>
        </w:tc>
        <w:tc>
          <w:tcPr>
            <w:tcW w:type="dxa" w:w="400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Limitation</w:t>
            </w:r>
          </w:p>
        </w:tc>
        <w:tc>
          <w:tcPr>
            <w:tcW w:type="dxa" w:w="3360"/>
            <w:shd w:fill="E8EEF5"/>
            <w:tcMar>
              <w:top w:w="80" w:type="dxa"/>
              <w:bottom w:w="80" w:type="dxa"/>
              <w:start w:w="120" w:type="dxa"/>
              <w:end w:w="120" w:type="dxa"/>
            </w:tcMar>
            <w:vAlign w:val="center"/>
          </w:tcPr>
          <w:p>
            <w:pPr>
              <w:spacing w:after="0" w:line="252" w:lineRule="auto"/>
            </w:pPr>
            <w:r/>
            <w:r>
              <w:rPr>
                <w:rFonts w:ascii="Calibri" w:hAnsi="Calibri"/>
                <w:b/>
                <w:color w:val="1F4E79"/>
                <w:sz w:val="15"/>
              </w:rPr>
              <w:t>Consequence</w:t>
            </w:r>
          </w:p>
        </w:tc>
      </w:tr>
      <w:tr>
        <w:trPr>
          <w:cantSplit/>
        </w:trPr>
        <w:tc>
          <w:tcPr>
            <w:tcW w:type="dxa" w:w="2000"/>
            <w:tcMar>
              <w:top w:w="80" w:type="dxa"/>
              <w:bottom w:w="80" w:type="dxa"/>
              <w:start w:w="120" w:type="dxa"/>
              <w:end w:w="120" w:type="dxa"/>
            </w:tcMar>
            <w:vAlign w:val="center"/>
          </w:tcPr>
          <w:p>
            <w:pPr>
              <w:spacing w:after="0" w:line="252" w:lineRule="auto"/>
            </w:pPr>
            <w:r/>
            <w:r>
              <w:rPr>
                <w:rFonts w:ascii="Calibri" w:hAnsi="Calibri"/>
                <w:b w:val="0"/>
                <w:color w:val="152238"/>
                <w:sz w:val="15"/>
              </w:rPr>
              <w:t>GWOSC source modelling</w:t>
            </w:r>
          </w:p>
        </w:tc>
        <w:tc>
          <w:tcPr>
            <w:tcW w:type="dxa" w:w="4000"/>
            <w:tcMar>
              <w:top w:w="80" w:type="dxa"/>
              <w:bottom w:w="80" w:type="dxa"/>
              <w:start w:w="120" w:type="dxa"/>
              <w:end w:w="120" w:type="dxa"/>
            </w:tcMar>
            <w:vAlign w:val="center"/>
          </w:tcPr>
          <w:p>
            <w:pPr>
              <w:spacing w:after="0" w:line="252" w:lineRule="auto"/>
            </w:pPr>
            <w:r/>
            <w:r>
              <w:rPr>
                <w:rFonts w:ascii="Calibri" w:hAnsi="Calibri"/>
                <w:b w:val="0"/>
                <w:color w:val="152238"/>
                <w:sz w:val="15"/>
              </w:rPr>
              <w:t>No inspiral waveform fit or cosmological distance kernel</w:t>
            </w:r>
          </w:p>
        </w:tc>
        <w:tc>
          <w:tcPr>
            <w:tcW w:type="dxa" w:w="3360"/>
            <w:tcMar>
              <w:top w:w="80" w:type="dxa"/>
              <w:bottom w:w="80" w:type="dxa"/>
              <w:start w:w="120" w:type="dxa"/>
              <w:end w:w="120" w:type="dxa"/>
            </w:tcMar>
            <w:vAlign w:val="center"/>
          </w:tcPr>
          <w:p>
            <w:pPr>
              <w:spacing w:after="0" w:line="252" w:lineRule="auto"/>
            </w:pPr>
            <w:r/>
            <w:r>
              <w:rPr>
                <w:rFonts w:ascii="Calibri" w:hAnsi="Calibri"/>
                <w:b w:val="0"/>
                <w:color w:val="152238"/>
                <w:sz w:val="15"/>
              </w:rPr>
              <w:t>Cannot infer A_alpha; timing-only result</w:t>
            </w:r>
          </w:p>
        </w:tc>
      </w:tr>
      <w:tr>
        <w:trPr>
          <w:cantSplit/>
        </w:trPr>
        <w:tc>
          <w:tcPr>
            <w:tcW w:type="dxa" w:w="20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GWOSC timing grid</w:t>
            </w:r>
          </w:p>
        </w:tc>
        <w:tc>
          <w:tcPr>
            <w:tcW w:type="dxa" w:w="40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Discrete cross-correlation at 4096 Hz</w:t>
            </w:r>
          </w:p>
        </w:tc>
        <w:tc>
          <w:tcPr>
            <w:tcW w:type="dxa" w:w="33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0.244 ms quantization; no sub-sample calibration</w:t>
            </w:r>
          </w:p>
        </w:tc>
      </w:tr>
      <w:tr>
        <w:trPr>
          <w:cantSplit/>
        </w:trPr>
        <w:tc>
          <w:tcPr>
            <w:tcW w:type="dxa" w:w="2000"/>
            <w:tcMar>
              <w:top w:w="80" w:type="dxa"/>
              <w:bottom w:w="80" w:type="dxa"/>
              <w:start w:w="120" w:type="dxa"/>
              <w:end w:w="120" w:type="dxa"/>
            </w:tcMar>
            <w:vAlign w:val="center"/>
          </w:tcPr>
          <w:p>
            <w:pPr>
              <w:spacing w:after="0" w:line="252" w:lineRule="auto"/>
            </w:pPr>
            <w:r/>
            <w:r>
              <w:rPr>
                <w:rFonts w:ascii="Calibri" w:hAnsi="Calibri"/>
                <w:b w:val="0"/>
                <w:color w:val="152238"/>
                <w:sz w:val="15"/>
              </w:rPr>
              <w:t>ATLAS selection</w:t>
            </w:r>
          </w:p>
        </w:tc>
        <w:tc>
          <w:tcPr>
            <w:tcW w:type="dxa" w:w="4000"/>
            <w:tcMar>
              <w:top w:w="80" w:type="dxa"/>
              <w:bottom w:w="80" w:type="dxa"/>
              <w:start w:w="120" w:type="dxa"/>
              <w:end w:w="120" w:type="dxa"/>
            </w:tcMar>
            <w:vAlign w:val="center"/>
          </w:tcPr>
          <w:p>
            <w:pPr>
              <w:spacing w:after="0" w:line="252" w:lineRule="auto"/>
            </w:pPr>
            <w:r/>
            <w:r>
              <w:rPr>
                <w:rFonts w:ascii="Calibri" w:hAnsi="Calibri"/>
                <w:b w:val="0"/>
                <w:color w:val="152238"/>
                <w:sz w:val="15"/>
              </w:rPr>
              <w:t>Uses first four stored leptons and a compact flavour/charge rule</w:t>
            </w:r>
          </w:p>
        </w:tc>
        <w:tc>
          <w:tcPr>
            <w:tcW w:type="dxa" w:w="3360"/>
            <w:tcMar>
              <w:top w:w="80" w:type="dxa"/>
              <w:bottom w:w="80" w:type="dxa"/>
              <w:start w:w="120" w:type="dxa"/>
              <w:end w:w="120" w:type="dxa"/>
            </w:tcMar>
            <w:vAlign w:val="center"/>
          </w:tcPr>
          <w:p>
            <w:pPr>
              <w:spacing w:after="0" w:line="252" w:lineRule="auto"/>
            </w:pPr>
            <w:r/>
            <w:r>
              <w:rPr>
                <w:rFonts w:ascii="Calibri" w:hAnsi="Calibri"/>
                <w:b w:val="0"/>
                <w:color w:val="152238"/>
                <w:sz w:val="15"/>
              </w:rPr>
              <w:t>Educational reconstruction, not collaboration event categorization</w:t>
            </w:r>
          </w:p>
        </w:tc>
      </w:tr>
      <w:tr>
        <w:trPr>
          <w:cantSplit/>
        </w:trPr>
        <w:tc>
          <w:tcPr>
            <w:tcW w:type="dxa" w:w="20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ATLAS background</w:t>
            </w:r>
          </w:p>
        </w:tc>
        <w:tc>
          <w:tcPr>
            <w:tcW w:type="dxa" w:w="40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Single exponential with no detector/systematic nuisance model</w:t>
            </w:r>
          </w:p>
        </w:tc>
        <w:tc>
          <w:tcPr>
            <w:tcW w:type="dxa" w:w="33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Local Z is diagnostic only</w:t>
            </w:r>
          </w:p>
        </w:tc>
      </w:tr>
      <w:tr>
        <w:trPr>
          <w:cantSplit/>
        </w:trPr>
        <w:tc>
          <w:tcPr>
            <w:tcW w:type="dxa" w:w="2000"/>
            <w:tcMar>
              <w:top w:w="80" w:type="dxa"/>
              <w:bottom w:w="80" w:type="dxa"/>
              <w:start w:w="120" w:type="dxa"/>
              <w:end w:w="120" w:type="dxa"/>
            </w:tcMar>
            <w:vAlign w:val="center"/>
          </w:tcPr>
          <w:p>
            <w:pPr>
              <w:spacing w:after="0" w:line="252" w:lineRule="auto"/>
            </w:pPr>
            <w:r/>
            <w:r>
              <w:rPr>
                <w:rFonts w:ascii="Calibri" w:hAnsi="Calibri"/>
                <w:b w:val="0"/>
                <w:color w:val="152238"/>
                <w:sz w:val="15"/>
              </w:rPr>
              <w:t>XENON statistics</w:t>
            </w:r>
          </w:p>
        </w:tc>
        <w:tc>
          <w:tcPr>
            <w:tcW w:type="dxa" w:w="4000"/>
            <w:tcMar>
              <w:top w:w="80" w:type="dxa"/>
              <w:bottom w:w="80" w:type="dxa"/>
              <w:start w:w="120" w:type="dxa"/>
              <w:end w:w="120" w:type="dxa"/>
            </w:tcMar>
            <w:vAlign w:val="center"/>
          </w:tcPr>
          <w:p>
            <w:pPr>
              <w:spacing w:after="0" w:line="252" w:lineRule="auto"/>
            </w:pPr>
            <w:r/>
            <w:r>
              <w:rPr>
                <w:rFonts w:ascii="Calibri" w:hAnsi="Calibri"/>
                <w:b w:val="0"/>
                <w:color w:val="152238"/>
                <w:sz w:val="15"/>
              </w:rPr>
              <w:t>Asymptotic threshold and nominal yields</w:t>
            </w:r>
          </w:p>
        </w:tc>
        <w:tc>
          <w:tcPr>
            <w:tcW w:type="dxa" w:w="3360"/>
            <w:tcMar>
              <w:top w:w="80" w:type="dxa"/>
              <w:bottom w:w="80" w:type="dxa"/>
              <w:start w:w="120" w:type="dxa"/>
              <w:end w:w="120" w:type="dxa"/>
            </w:tcMar>
            <w:vAlign w:val="center"/>
          </w:tcPr>
          <w:p>
            <w:pPr>
              <w:spacing w:after="0" w:line="252" w:lineRule="auto"/>
            </w:pPr>
            <w:r/>
            <w:r>
              <w:rPr>
                <w:rFonts w:ascii="Calibri" w:hAnsi="Calibri"/>
                <w:b w:val="0"/>
                <w:color w:val="152238"/>
                <w:sz w:val="15"/>
              </w:rPr>
              <w:t>Declared +/-30% scope; 3-4 GeV excluded</w:t>
            </w:r>
          </w:p>
        </w:tc>
      </w:tr>
      <w:tr>
        <w:trPr>
          <w:cantSplit/>
        </w:trPr>
        <w:tc>
          <w:tcPr>
            <w:tcW w:type="dxa" w:w="20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DUNE detector model</w:t>
            </w:r>
          </w:p>
        </w:tc>
        <w:tc>
          <w:tcPr>
            <w:tcW w:type="dxa" w:w="400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Appearance proxy stops before efficiency, migration, ND constraints, and nuisances</w:t>
            </w:r>
          </w:p>
        </w:tc>
        <w:tc>
          <w:tcPr>
            <w:tcW w:type="dxa" w:w="3360"/>
            <w:shd w:fill="F8FAFC"/>
            <w:tcMar>
              <w:top w:w="80" w:type="dxa"/>
              <w:bottom w:w="80" w:type="dxa"/>
              <w:start w:w="120" w:type="dxa"/>
              <w:end w:w="120" w:type="dxa"/>
            </w:tcMar>
            <w:vAlign w:val="center"/>
          </w:tcPr>
          <w:p>
            <w:pPr>
              <w:spacing w:after="0" w:line="252" w:lineRule="auto"/>
            </w:pPr>
            <w:r/>
            <w:r>
              <w:rPr>
                <w:rFonts w:ascii="Calibri" w:hAnsi="Calibri"/>
                <w:b w:val="0"/>
                <w:color w:val="152238"/>
                <w:sz w:val="15"/>
              </w:rPr>
              <w:t>Shape/implementation forecast only</w:t>
            </w:r>
          </w:p>
        </w:tc>
      </w:tr>
      <w:tr>
        <w:trPr>
          <w:cantSplit/>
        </w:trPr>
        <w:tc>
          <w:tcPr>
            <w:tcW w:type="dxa" w:w="2000"/>
            <w:tcMar>
              <w:top w:w="80" w:type="dxa"/>
              <w:bottom w:w="80" w:type="dxa"/>
              <w:start w:w="120" w:type="dxa"/>
              <w:end w:w="120" w:type="dxa"/>
            </w:tcMar>
            <w:vAlign w:val="center"/>
          </w:tcPr>
          <w:p>
            <w:pPr>
              <w:spacing w:after="0" w:line="252" w:lineRule="auto"/>
            </w:pPr>
            <w:r/>
            <w:r>
              <w:rPr>
                <w:rFonts w:ascii="Calibri" w:hAnsi="Calibri"/>
                <w:b w:val="0"/>
                <w:color w:val="152238"/>
                <w:sz w:val="15"/>
              </w:rPr>
              <w:t>Theory closure</w:t>
            </w:r>
          </w:p>
        </w:tc>
        <w:tc>
          <w:tcPr>
            <w:tcW w:type="dxa" w:w="4000"/>
            <w:tcMar>
              <w:top w:w="80" w:type="dxa"/>
              <w:bottom w:w="80" w:type="dxa"/>
              <w:start w:w="120" w:type="dxa"/>
              <w:end w:w="120" w:type="dxa"/>
            </w:tcMar>
            <w:vAlign w:val="center"/>
          </w:tcPr>
          <w:p>
            <w:pPr>
              <w:spacing w:after="0" w:line="252" w:lineRule="auto"/>
            </w:pPr>
            <w:r/>
            <w:r>
              <w:rPr>
                <w:rFonts w:ascii="Calibri" w:hAnsi="Calibri"/>
                <w:b w:val="0"/>
                <w:color w:val="152238"/>
                <w:sz w:val="15"/>
              </w:rPr>
              <w:t>No experiment-specific END parameter card</w:t>
            </w:r>
          </w:p>
        </w:tc>
        <w:tc>
          <w:tcPr>
            <w:tcW w:type="dxa" w:w="3360"/>
            <w:tcMar>
              <w:top w:w="80" w:type="dxa"/>
              <w:bottom w:w="80" w:type="dxa"/>
              <w:start w:w="120" w:type="dxa"/>
              <w:end w:w="120" w:type="dxa"/>
            </w:tcMar>
            <w:vAlign w:val="center"/>
          </w:tcPr>
          <w:p>
            <w:pPr>
              <w:spacing w:after="0" w:line="252" w:lineRule="auto"/>
            </w:pPr>
            <w:r/>
            <w:r>
              <w:rPr>
                <w:rFonts w:ascii="Calibri" w:hAnsi="Calibri"/>
                <w:b w:val="0"/>
                <w:color w:val="152238"/>
                <w:sz w:val="15"/>
              </w:rPr>
              <w:t>No END-specific empirical likelihood</w:t>
            </w:r>
          </w:p>
        </w:tc>
      </w:tr>
    </w:tbl>
    <w:p>
      <w:pPr>
        <w:spacing w:after="0"/>
      </w:pPr>
    </w:p>
    <w:p>
      <w:pPr>
        <w:pStyle w:val="Heading2"/>
      </w:pPr>
      <w:r>
        <w:t>Robustness statements supported by this release</w:t>
      </w:r>
    </w:p>
    <w:p>
      <w:pPr>
        <w:pStyle w:val="ListBullet"/>
        <w:spacing w:after="60"/>
      </w:pPr>
      <w:r>
        <w:t>All source inputs used by the executable are present and hashed.</w:t>
      </w:r>
    </w:p>
    <w:p>
      <w:pPr>
        <w:pStyle w:val="ListBullet"/>
        <w:spacing w:after="60"/>
      </w:pPr>
      <w:r>
        <w:t>No random outcome is interpreted without a fixed seed and stated ensemble size.</w:t>
      </w:r>
    </w:p>
    <w:p>
      <w:pPr>
        <w:pStyle w:val="ListBullet"/>
        <w:spacing w:after="60"/>
      </w:pPr>
      <w:r>
        <w:t>Pass/fail scopes are stored in the result ledger rather than inferred from the figures.</w:t>
      </w:r>
    </w:p>
    <w:p>
      <w:pPr>
        <w:pStyle w:val="ListBullet"/>
        <w:spacing w:after="60"/>
      </w:pPr>
      <w:r>
        <w:t>Out-of-scope XENON threshold points are retained visibly, preventing selective omission.</w:t>
      </w:r>
    </w:p>
    <w:p>
      <w:pPr>
        <w:pStyle w:val="ListBullet"/>
        <w:spacing w:after="60"/>
      </w:pPr>
      <w:r>
        <w:t>DUNE output is labelled forecast in code, JSON, figures, and prose.</w:t>
      </w:r>
    </w:p>
    <w:p>
      <w:pPr>
        <w:pStyle w:val="ListBullet"/>
        <w:spacing w:after="60"/>
      </w:pPr>
      <w:r>
        <w:t>The final END decision follows from missing parameters, not from substituting Standard Model or WIMP benchmarks for END predictions.</w:t>
      </w:r>
    </w:p>
    <w:p>
      <w:r>
        <w:br w:type="page"/>
      </w:r>
    </w:p>
    <w:p>
      <w:pPr>
        <w:spacing w:after="20"/>
      </w:pPr>
      <w:r>
        <w:rPr>
          <w:b/>
          <w:color w:val="2E74B5"/>
          <w:sz w:val="17"/>
        </w:rPr>
        <w:t>PRIMARY SOURCES</w:t>
      </w:r>
    </w:p>
    <w:p>
      <w:pPr>
        <w:pStyle w:val="Heading1"/>
        <w:pBdr>
          <w:bottom w:val="single" w:sz="10" w:space="1" w:color="2E74B5"/>
        </w:pBdr>
      </w:pPr>
      <w:r>
        <w:t>References</w:t>
      </w:r>
    </w:p>
    <w:p>
      <w:pPr>
        <w:spacing w:after="120"/>
        <w:ind w:left="432" w:hanging="432"/>
      </w:pPr>
      <w:r>
        <w:rPr>
          <w:b/>
        </w:rPr>
        <w:t xml:space="preserve">[1] </w:t>
      </w:r>
      <w:r>
        <w:t>J. R. Evans, END Theory 2.0: The Evans Relational Framework - Technical Reference Edition, 8 August 2026.</w:t>
      </w:r>
    </w:p>
    <w:p>
      <w:pPr>
        <w:spacing w:after="120"/>
        <w:ind w:left="432" w:hanging="432"/>
      </w:pPr>
      <w:r>
        <w:rPr>
          <w:b/>
        </w:rPr>
        <w:t xml:space="preserve">[2] </w:t>
      </w:r>
      <w:r>
        <w:t>LIGO Scientific Collaboration and Virgo Collaboration, Observation of Gravitational Waves from a Binary Black Hole Merger, Physical Review Letters 116, 061102 (2016), DOI 10.1103/PhysRevLett.116.061102.</w:t>
      </w:r>
    </w:p>
    <w:p>
      <w:pPr>
        <w:spacing w:after="120"/>
        <w:ind w:left="432" w:hanging="432"/>
      </w:pPr>
      <w:r>
        <w:rPr>
          <w:b/>
        </w:rPr>
        <w:t xml:space="preserve">[3] </w:t>
      </w:r>
      <w:r>
        <w:t>Gravitational Wave Open Science Center, GW150914 event release and strain files, GW150914-v3.</w:t>
      </w:r>
    </w:p>
    <w:p>
      <w:pPr>
        <w:spacing w:after="120"/>
        <w:ind w:left="432" w:hanging="432"/>
      </w:pPr>
      <w:r>
        <w:rPr>
          <w:b/>
        </w:rPr>
        <w:t xml:space="preserve">[4] </w:t>
      </w:r>
      <w:r>
        <w:t>ATLAS Collaboration, ATLAS 13 TeV samples collection at least four leptons for 2020 Open Data release, CERN Open Data record 15005, DOI 10.7483/OPENDATA.ATLAS.2Y1T.TLGL.</w:t>
      </w:r>
    </w:p>
    <w:p>
      <w:pPr>
        <w:spacing w:after="120"/>
        <w:ind w:left="432" w:hanging="432"/>
      </w:pPr>
      <w:r>
        <w:rPr>
          <w:b/>
        </w:rPr>
        <w:t xml:space="preserve">[5] </w:t>
      </w:r>
      <w:r>
        <w:t>E. Aprile et al. (XENON Collaboration), First Search for Light Dark Matter in the Neutrino Fog with XENONnT, Physical Review Letters 134, 111802 (2025), DOI 10.1103/PhysRevLett.134.111802.</w:t>
      </w:r>
    </w:p>
    <w:p>
      <w:pPr>
        <w:spacing w:after="120"/>
        <w:ind w:left="432" w:hanging="432"/>
      </w:pPr>
      <w:r>
        <w:rPr>
          <w:b/>
        </w:rPr>
        <w:t xml:space="preserve">[6] </w:t>
      </w:r>
      <w:r>
        <w:t>XENON Collaboration, XENONnT Light WIMP data release, Zenodo DOI 10.5281/zenodo.14522706; source revision a09cd8fd77570dc2095f65f094fbcc114b634dfc.</w:t>
      </w:r>
    </w:p>
    <w:p>
      <w:pPr>
        <w:spacing w:after="120"/>
        <w:ind w:left="432" w:hanging="432"/>
      </w:pPr>
      <w:r>
        <w:rPr>
          <w:b/>
        </w:rPr>
        <w:t xml:space="preserve">[7] </w:t>
      </w:r>
      <w:r>
        <w:t>DUNE Collaboration, Experiment Simulation Configurations Approximating DUNE TDR, arXiv:2103.04797 (2021).</w:t>
      </w:r>
    </w:p>
    <w:p>
      <w:pPr>
        <w:spacing w:after="120"/>
        <w:ind w:left="432" w:hanging="432"/>
      </w:pPr>
      <w:r>
        <w:rPr>
          <w:b/>
        </w:rPr>
        <w:t xml:space="preserve">[8] </w:t>
      </w:r>
      <w:r>
        <w:t>DUNE Collaboration, Deep Underground Neutrino Experiment Far Detector Technical Design Report, Volume II: DUNE Physics, arXiv:2002.03005 (2020).</w:t>
      </w:r>
    </w:p>
    <w:p>
      <w:pPr>
        <w:spacing w:after="120"/>
        <w:ind w:left="432" w:hanging="432"/>
      </w:pPr>
      <w:r>
        <w:rPr>
          <w:b/>
        </w:rPr>
        <w:t xml:space="preserve">[9] </w:t>
      </w:r>
      <w:r>
        <w:t>G. Cowan, K. Cranmer, E. Gross, and O. Vitells, Asymptotic formulae for likelihood-based tests of new physics, European Physical Journal C 71, 1554 (2011), DOI 10.1140/epjc/s10052-011-1554-0.</w:t>
      </w:r>
    </w:p>
    <w:p>
      <w:pPr>
        <w:spacing w:after="120"/>
        <w:ind w:left="432" w:hanging="432"/>
      </w:pPr>
      <w:r>
        <w:rPr>
          <w:b/>
        </w:rPr>
        <w:t xml:space="preserve">[10] </w:t>
      </w:r>
      <w:r>
        <w:t>G. J. Feldman and R. D. Cousins, Unified approach to the classical statistical analysis of small signals, Physical Review D 57, 3873 (1998), DOI 10.1103/PhysRevD.57.3873.</w:t>
      </w:r>
    </w:p>
    <w:p>
      <w:pPr>
        <w:pStyle w:val="Heading2"/>
      </w:pPr>
      <w:r>
        <w:t>Primary public links</w:t>
      </w:r>
    </w:p>
    <w:p>
      <w:pPr>
        <w:pStyle w:val="ListBullet"/>
      </w:pPr>
      <w:hyperlink r:id="rId22">
        <w:r>
          <w:rPr>
            <w:color w:val="2E74B5"/>
            <w:u w:val="single"/>
          </w:rPr>
          <w:t>GWOSC GW150914</w:t>
        </w:r>
      </w:hyperlink>
    </w:p>
    <w:p>
      <w:pPr>
        <w:pStyle w:val="ListBullet"/>
      </w:pPr>
      <w:hyperlink r:id="rId23">
        <w:r>
          <w:rPr>
            <w:color w:val="2E74B5"/>
            <w:u w:val="single"/>
          </w:rPr>
          <w:t>CERN Open Data record 15005</w:t>
        </w:r>
      </w:hyperlink>
    </w:p>
    <w:p>
      <w:pPr>
        <w:pStyle w:val="ListBullet"/>
      </w:pPr>
      <w:hyperlink r:id="rId24">
        <w:r>
          <w:rPr>
            <w:color w:val="2E74B5"/>
            <w:u w:val="single"/>
          </w:rPr>
          <w:t>XENONnT public data</w:t>
        </w:r>
      </w:hyperlink>
    </w:p>
    <w:p>
      <w:pPr>
        <w:pStyle w:val="ListBullet"/>
      </w:pPr>
      <w:hyperlink r:id="rId25">
        <w:r>
          <w:rPr>
            <w:color w:val="2E74B5"/>
            <w:u w:val="single"/>
          </w:rPr>
          <w:t>XENONnT release repository</w:t>
        </w:r>
      </w:hyperlink>
    </w:p>
    <w:p>
      <w:pPr>
        <w:pStyle w:val="ListBullet"/>
      </w:pPr>
      <w:hyperlink r:id="rId26">
        <w:r>
          <w:rPr>
            <w:color w:val="2E74B5"/>
            <w:u w:val="single"/>
          </w:rPr>
          <w:t>DUNE TDR-approximation configurations</w:t>
        </w:r>
      </w:hyperlink>
    </w:p>
    <w:p>
      <w:pPr>
        <w:pStyle w:val="ListBullet"/>
      </w:pPr>
      <w:hyperlink r:id="rId27">
        <w:r>
          <w:rPr>
            <w:color w:val="2E74B5"/>
            <w:u w:val="single"/>
          </w:rPr>
          <w:t>DUNE public plot database</w:t>
        </w:r>
      </w:hyperlink>
    </w:p>
    <w:p/>
    <w:p>
      <w:pPr>
        <w:jc w:val="center"/>
        <w:pBdr>
          <w:bottom w:val="single" w:sz="8" w:space="1" w:color="2E74B5"/>
        </w:pBdr>
      </w:pPr>
      <w:r>
        <w:rPr>
          <w:b/>
          <w:color w:val="5B6573"/>
          <w:sz w:val="17"/>
        </w:rPr>
        <w:t>END OF VALIDATION COMPANION  /  ANALYSIS VERSION 1.0</w:t>
      </w:r>
    </w:p>
    <w:sectPr w:rsidR="00FC693F" w:rsidRPr="0006063C" w:rsidSect="00034616">
      <w:headerReference w:type="default" r:id="rId9"/>
      <w:footerReference w:type="default" r:id="rId10"/>
      <w:pgSz w:w="12240" w:h="15840"/>
      <w:pgMar w:top="1037" w:right="1267" w:bottom="1008" w:left="1267"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jc w:val="right"/>
    </w:pPr>
    <w:r>
      <w:rPr>
        <w:color w:val="5B6573"/>
        <w:sz w:val="15"/>
      </w:rPr>
      <w:t xml:space="preserve">ANALYSIS VERSION 1.0  |  8 AUGUST 2026                                      </w:t>
    </w:r>
    <w:r>
      <w:rPr>
        <w:sz w:val="16"/>
      </w:rPr>
      <w:t xml:space="preserve">PAGE </w:t>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Bdr>
        <w:bottom w:val="single" w:sz="6" w:space="1" w:color="B8C6D8"/>
      </w:pBdr>
    </w:pPr>
    <w:r>
      <w:rPr>
        <w:rFonts w:ascii="Calibri" w:hAnsi="Calibri"/>
        <w:b/>
        <w:color w:val="5B6573"/>
        <w:sz w:val="15"/>
      </w:rPr>
      <w:t>END THEORY 2.0  /  PUBLIC-DATA VALIDATION COMPANION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3" w:lineRule="auto"/>
    </w:pPr>
    <w:rPr>
      <w:rFonts w:ascii="Calibri" w:hAnsi="Calibri"/>
      <w:color w:val="152238"/>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E79"/>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rFonts w:ascii="Calibri" w:hAnsi="Calibri"/>
      <w:b/>
      <w:bCs/>
      <w:i/>
      <w:color w:val="5B6573"/>
      <w:sz w:val="17"/>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spacing w:after="60"/>
    </w:pPr>
    <w:rPr>
      <w:rFonts w:ascii="Calibri" w:hAnsi="Calibri"/>
      <w:b/>
      <w:color w:val="2E74B5"/>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 Id="rId19" Type="http://schemas.openxmlformats.org/officeDocument/2006/relationships/image" Target="media/image9.png"/><Relationship Id="rId20" Type="http://schemas.openxmlformats.org/officeDocument/2006/relationships/image" Target="media/image10.png"/><Relationship Id="rId21" Type="http://schemas.openxmlformats.org/officeDocument/2006/relationships/image" Target="media/image11.png"/><Relationship Id="rId22" Type="http://schemas.openxmlformats.org/officeDocument/2006/relationships/hyperlink" Target="https://gwosc.org/events/GW150914/" TargetMode="External"/><Relationship Id="rId23" Type="http://schemas.openxmlformats.org/officeDocument/2006/relationships/hyperlink" Target="https://opendata.cern.ch/record/15005" TargetMode="External"/><Relationship Id="rId24" Type="http://schemas.openxmlformats.org/officeDocument/2006/relationships/hyperlink" Target="https://xenonexperiment.org/public-data/" TargetMode="External"/><Relationship Id="rId25" Type="http://schemas.openxmlformats.org/officeDocument/2006/relationships/hyperlink" Target="https://github.com/XENONnT/light_wimp_data_release" TargetMode="External"/><Relationship Id="rId26" Type="http://schemas.openxmlformats.org/officeDocument/2006/relationships/hyperlink" Target="https://arxiv.org/abs/2103.04797" TargetMode="External"/><Relationship Id="rId27" Type="http://schemas.openxmlformats.org/officeDocument/2006/relationships/hyperlink" Target="https://dune-data.fnal.gov/dunepublicpl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END Theory 2.0: Public-Data Validation of the Experimental Analysis Contracts</dc:title>
  <dc:subject>GWOSC, ATLAS Open Data, XENONnT, and DUNE validation companion</dc:subject>
  <dc:creator>Companion to END Theory 2.0 by Jordan Ryan Evans</dc:creator>
  <cp:keywords>END Theory, GWOSC, ATLAS Open Data, XENONnT, DUNE, reproducibility</cp:keywords>
  <dc:description>Analysis version 1.0; deterministic public-data companion.</dc:description>
  <cp:lastModifiedBy/>
  <cp:revision>1</cp:revision>
  <dcterms:created xsi:type="dcterms:W3CDTF">2013-12-23T23:15:00Z</dcterms:created>
  <dcterms:modified xsi:type="dcterms:W3CDTF">2013-12-23T23:15:00Z</dcterms:modified>
  <cp:category/>
</cp:coreProperties>
</file>