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8D68" w14:textId="50721F68" w:rsidR="00EA0BDF" w:rsidRPr="00EA0BDF" w:rsidRDefault="003A1D83" w:rsidP="00EA0BDF">
      <w:pPr>
        <w:rPr>
          <w:caps/>
          <w:color w:val="7F7F7F" w:themeColor="text1" w:themeTint="80"/>
          <w:spacing w:val="10"/>
          <w:kern w:val="52"/>
          <w:sz w:val="52"/>
          <w:szCs w:val="52"/>
        </w:rPr>
      </w:pPr>
      <w:r>
        <w:rPr>
          <w:caps/>
          <w:color w:val="7F7F7F" w:themeColor="text1" w:themeTint="80"/>
          <w:spacing w:val="10"/>
          <w:kern w:val="52"/>
          <w:sz w:val="52"/>
          <w:szCs w:val="52"/>
        </w:rPr>
        <w:t>JJR’s Intermedia</w:t>
      </w:r>
      <w:r w:rsidR="00643CD7">
        <w:rPr>
          <w:caps/>
          <w:color w:val="7F7F7F" w:themeColor="text1" w:themeTint="80"/>
          <w:spacing w:val="10"/>
          <w:kern w:val="52"/>
          <w:sz w:val="52"/>
          <w:szCs w:val="52"/>
        </w:rPr>
        <w:t xml:space="preserve"> </w:t>
      </w:r>
      <w:r w:rsidR="00464E54">
        <w:rPr>
          <w:caps/>
          <w:color w:val="7F7F7F" w:themeColor="text1" w:themeTint="80"/>
          <w:spacing w:val="10"/>
          <w:kern w:val="52"/>
          <w:sz w:val="52"/>
          <w:szCs w:val="52"/>
        </w:rPr>
        <w:t xml:space="preserve">Policy-Based </w:t>
      </w:r>
      <w:r w:rsidR="0005077C">
        <w:rPr>
          <w:caps/>
          <w:color w:val="7F7F7F" w:themeColor="text1" w:themeTint="80"/>
          <w:spacing w:val="10"/>
          <w:kern w:val="52"/>
          <w:sz w:val="52"/>
          <w:szCs w:val="52"/>
        </w:rPr>
        <w:t>Email Encryption</w:t>
      </w:r>
    </w:p>
    <w:p w14:paraId="43947EA9" w14:textId="77777777" w:rsidR="00EA0BDF" w:rsidRDefault="00464E54" w:rsidP="00EA0BDF">
      <w:r>
        <w:t>An easy way to encrypt outgoing emails across an entire organization</w:t>
      </w:r>
      <w:r w:rsidR="00643CD7">
        <w:t>.</w:t>
      </w:r>
    </w:p>
    <w:p w14:paraId="32CBF5DB" w14:textId="77777777" w:rsidR="009C61A8" w:rsidRPr="00EA0BDF" w:rsidRDefault="009C61A8" w:rsidP="00EA0BD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5"/>
        <w:gridCol w:w="2339"/>
        <w:gridCol w:w="2340"/>
        <w:gridCol w:w="2346"/>
      </w:tblGrid>
      <w:tr w:rsidR="00EA0BDF" w14:paraId="71DF49A2" w14:textId="77777777" w:rsidTr="00EA0BDF">
        <w:trPr>
          <w:trHeight w:val="1005"/>
        </w:trPr>
        <w:tc>
          <w:tcPr>
            <w:tcW w:w="2385" w:type="dxa"/>
            <w:shd w:val="clear" w:color="auto" w:fill="F2F2F2" w:themeFill="background1" w:themeFillShade="F2"/>
          </w:tcPr>
          <w:p w14:paraId="55A3B1F1" w14:textId="77777777" w:rsidR="00EA0BDF" w:rsidRPr="00EA0BDF" w:rsidRDefault="00464E54" w:rsidP="00EA0BDF">
            <w:pPr>
              <w:jc w:val="center"/>
              <w:rPr>
                <w:color w:val="414042"/>
              </w:rPr>
            </w:pPr>
            <w:r>
              <w:rPr>
                <w:color w:val="414042"/>
              </w:rPr>
              <w:t>Reduce human error and the risk of security breaches</w:t>
            </w:r>
          </w:p>
        </w:tc>
        <w:tc>
          <w:tcPr>
            <w:tcW w:w="2385" w:type="dxa"/>
            <w:shd w:val="clear" w:color="auto" w:fill="F2F2F2" w:themeFill="background1" w:themeFillShade="F2"/>
          </w:tcPr>
          <w:p w14:paraId="03EE4D29" w14:textId="77777777" w:rsidR="00EA0BDF" w:rsidRPr="00EA0BDF" w:rsidRDefault="00464E54" w:rsidP="00EA0BDF">
            <w:pPr>
              <w:jc w:val="center"/>
              <w:rPr>
                <w:color w:val="414042"/>
                <w:spacing w:val="-1"/>
              </w:rPr>
            </w:pPr>
            <w:r>
              <w:rPr>
                <w:color w:val="414042"/>
                <w:spacing w:val="-1"/>
              </w:rPr>
              <w:t>Better enforce and manage company-wide policies</w:t>
            </w:r>
          </w:p>
          <w:p w14:paraId="6812D2DE" w14:textId="77777777" w:rsidR="00EA0BDF" w:rsidRPr="0024226F" w:rsidRDefault="00EA0BDF" w:rsidP="0024226F">
            <w:pPr>
              <w:jc w:val="center"/>
            </w:pPr>
          </w:p>
        </w:tc>
        <w:tc>
          <w:tcPr>
            <w:tcW w:w="2385" w:type="dxa"/>
            <w:shd w:val="clear" w:color="auto" w:fill="F2F2F2" w:themeFill="background1" w:themeFillShade="F2"/>
          </w:tcPr>
          <w:p w14:paraId="35307899" w14:textId="77777777" w:rsidR="00EA0BDF" w:rsidRPr="00EA0BDF" w:rsidRDefault="00464E54" w:rsidP="00EA0BDF">
            <w:pPr>
              <w:jc w:val="center"/>
            </w:pPr>
            <w:r>
              <w:t>Protect customers, partners, patients and clients</w:t>
            </w:r>
          </w:p>
          <w:p w14:paraId="1F8F5947" w14:textId="77777777" w:rsidR="00EA0BDF" w:rsidRDefault="00EA0BDF" w:rsidP="0024226F">
            <w:pPr>
              <w:jc w:val="center"/>
            </w:pPr>
          </w:p>
        </w:tc>
        <w:tc>
          <w:tcPr>
            <w:tcW w:w="2385" w:type="dxa"/>
            <w:shd w:val="clear" w:color="auto" w:fill="F2F2F2" w:themeFill="background1" w:themeFillShade="F2"/>
          </w:tcPr>
          <w:p w14:paraId="5960CE82" w14:textId="77777777" w:rsidR="00EA0BDF" w:rsidRDefault="00464E54" w:rsidP="00084934">
            <w:pPr>
              <w:jc w:val="center"/>
            </w:pPr>
            <w:r>
              <w:t>Facilitate compliance with federal and state laws</w:t>
            </w:r>
          </w:p>
        </w:tc>
      </w:tr>
    </w:tbl>
    <w:p w14:paraId="1E18C816" w14:textId="77777777" w:rsidR="0024226F" w:rsidRDefault="0024226F" w:rsidP="0024226F">
      <w:pPr>
        <w:pStyle w:val="BodyText"/>
        <w:spacing w:before="57" w:line="248" w:lineRule="auto"/>
        <w:ind w:left="100" w:right="357" w:firstLine="0"/>
        <w:rPr>
          <w:rFonts w:cs="DIN OT"/>
          <w:color w:val="231F20"/>
          <w:spacing w:val="-1"/>
        </w:rPr>
      </w:pPr>
    </w:p>
    <w:p w14:paraId="37C0ADC3" w14:textId="77777777" w:rsidR="0024226F" w:rsidRDefault="0024226F" w:rsidP="0024226F">
      <w:pPr>
        <w:pStyle w:val="NoSpacing"/>
        <w:sectPr w:rsidR="0024226F" w:rsidSect="002C0F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8" w:right="1440" w:bottom="1440" w:left="1440" w:header="720" w:footer="720" w:gutter="0"/>
          <w:cols w:space="720"/>
          <w:docGrid w:linePitch="360"/>
        </w:sectPr>
      </w:pPr>
    </w:p>
    <w:p w14:paraId="75D6ED66" w14:textId="77777777" w:rsidR="00EA0BDF" w:rsidRDefault="00464E54" w:rsidP="00464E54">
      <w:pPr>
        <w:pStyle w:val="NoSpacing"/>
      </w:pPr>
      <w:r w:rsidRPr="00464E54">
        <w:t>Many businesses in finance, healthcare, education and other professional services have ethical and fiduciary</w:t>
      </w:r>
      <w:r>
        <w:t xml:space="preserve"> </w:t>
      </w:r>
      <w:r w:rsidRPr="00464E54">
        <w:t>duties to keep their clients’ personal information confidential. Failure to protect their clients could result in</w:t>
      </w:r>
      <w:r>
        <w:t xml:space="preserve"> </w:t>
      </w:r>
      <w:r w:rsidRPr="00464E54">
        <w:t xml:space="preserve">severe consequences including significant fines or loss of business. </w:t>
      </w:r>
      <w:r w:rsidR="0005077C">
        <w:rPr>
          <w:b/>
          <w:bCs/>
        </w:rPr>
        <w:t>Policy-Based</w:t>
      </w:r>
      <w:r w:rsidRPr="00464E54">
        <w:rPr>
          <w:b/>
          <w:bCs/>
        </w:rPr>
        <w:t xml:space="preserve"> Email</w:t>
      </w:r>
      <w:r w:rsidR="0005077C">
        <w:rPr>
          <w:b/>
          <w:bCs/>
        </w:rPr>
        <w:t xml:space="preserve"> Encryption</w:t>
      </w:r>
      <w:r w:rsidRPr="00464E54">
        <w:rPr>
          <w:b/>
          <w:bCs/>
        </w:rPr>
        <w:t xml:space="preserve"> can help</w:t>
      </w:r>
      <w:r>
        <w:rPr>
          <w:b/>
          <w:bCs/>
        </w:rPr>
        <w:t xml:space="preserve"> </w:t>
      </w:r>
      <w:r w:rsidRPr="00464E54">
        <w:rPr>
          <w:b/>
          <w:bCs/>
        </w:rPr>
        <w:t>businesses maximize security, reduce human error and significantly reduce the risk of non-compliance.</w:t>
      </w:r>
    </w:p>
    <w:p w14:paraId="515E60E8" w14:textId="77777777" w:rsidR="00F362B0" w:rsidRDefault="00464E54" w:rsidP="00682255">
      <w:pPr>
        <w:rPr>
          <w:sz w:val="24"/>
          <w:szCs w:val="24"/>
        </w:rPr>
      </w:pPr>
      <w:r>
        <w:rPr>
          <w:sz w:val="24"/>
          <w:szCs w:val="24"/>
        </w:rPr>
        <w:t>THE BEN</w:t>
      </w:r>
      <w:r w:rsidR="0005077C">
        <w:rPr>
          <w:sz w:val="24"/>
          <w:szCs w:val="24"/>
        </w:rPr>
        <w:t xml:space="preserve">EFITS OF POLICY-BASED </w:t>
      </w:r>
      <w:r>
        <w:rPr>
          <w:sz w:val="24"/>
          <w:szCs w:val="24"/>
        </w:rPr>
        <w:t>EMAIL</w:t>
      </w:r>
      <w:r w:rsidR="0005077C">
        <w:rPr>
          <w:sz w:val="24"/>
          <w:szCs w:val="24"/>
        </w:rPr>
        <w:t xml:space="preserve"> </w:t>
      </w:r>
      <w:r w:rsidR="0005077C" w:rsidRPr="0005077C">
        <w:rPr>
          <w:caps/>
          <w:sz w:val="24"/>
          <w:szCs w:val="24"/>
        </w:rPr>
        <w:t>Encryption</w:t>
      </w:r>
    </w:p>
    <w:p w14:paraId="2CB8920D" w14:textId="77777777" w:rsidR="00464E54" w:rsidRPr="00711D27" w:rsidRDefault="00464E54" w:rsidP="00464E54">
      <w:pPr>
        <w:rPr>
          <w:b/>
          <w:sz w:val="24"/>
          <w:szCs w:val="24"/>
        </w:rPr>
      </w:pPr>
      <w:r w:rsidRPr="00711D27">
        <w:rPr>
          <w:b/>
          <w:sz w:val="24"/>
          <w:szCs w:val="24"/>
        </w:rPr>
        <w:t>Help control data leaks and maximize security</w:t>
      </w:r>
    </w:p>
    <w:p w14:paraId="3FC7DA89" w14:textId="77777777" w:rsidR="00464E54" w:rsidRPr="00464E54" w:rsidRDefault="00464E54" w:rsidP="00464E54">
      <w:r w:rsidRPr="00464E54">
        <w:rPr>
          <w:sz w:val="24"/>
          <w:szCs w:val="24"/>
        </w:rPr>
        <w:t xml:space="preserve">• </w:t>
      </w:r>
      <w:r w:rsidRPr="00464E54">
        <w:t>Automatic scanning to assist in ensuring emails adhere to company-wide policies</w:t>
      </w:r>
    </w:p>
    <w:p w14:paraId="71177D21" w14:textId="77777777" w:rsidR="00464E54" w:rsidRPr="00464E54" w:rsidRDefault="00464E54" w:rsidP="00464E54">
      <w:r w:rsidRPr="00464E54">
        <w:t>• Encrypted delivery is designed to ensure information is only read by intended recipients</w:t>
      </w:r>
    </w:p>
    <w:p w14:paraId="2D284025" w14:textId="77777777" w:rsidR="00464E54" w:rsidRPr="00464E54" w:rsidRDefault="00464E54" w:rsidP="00464E54">
      <w:r w:rsidRPr="00464E54">
        <w:t>• Help keep your customers’, partners’, patients’ and clients’ personal data private</w:t>
      </w:r>
    </w:p>
    <w:p w14:paraId="7C31874E" w14:textId="77777777" w:rsidR="00464E54" w:rsidRPr="00464E54" w:rsidRDefault="00464E54" w:rsidP="00464E54">
      <w:r w:rsidRPr="00464E54">
        <w:t>• Facilitate compliance with federal and state laws</w:t>
      </w:r>
    </w:p>
    <w:p w14:paraId="1320C090" w14:textId="77777777" w:rsidR="00464E54" w:rsidRPr="00464E54" w:rsidRDefault="00464E54" w:rsidP="00464E54">
      <w:r w:rsidRPr="00464E54">
        <w:t>• No disruptions to daily workflow</w:t>
      </w:r>
    </w:p>
    <w:p w14:paraId="6A88064A" w14:textId="77777777" w:rsidR="0004239F" w:rsidRPr="00464E54" w:rsidRDefault="00464E54" w:rsidP="00464E54">
      <w:r w:rsidRPr="00464E54">
        <w:t>• Scan email in the background without the need for additional software or plugins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24226F" w14:paraId="5272EE90" w14:textId="77777777" w:rsidTr="000F23DA">
        <w:tc>
          <w:tcPr>
            <w:tcW w:w="4788" w:type="dxa"/>
          </w:tcPr>
          <w:p w14:paraId="7F6624A3" w14:textId="77777777" w:rsidR="00717C6A" w:rsidRDefault="00717C6A" w:rsidP="00464E54">
            <w:pPr>
              <w:spacing w:before="200" w:after="200" w:line="276" w:lineRule="auto"/>
            </w:pPr>
          </w:p>
        </w:tc>
        <w:tc>
          <w:tcPr>
            <w:tcW w:w="4788" w:type="dxa"/>
          </w:tcPr>
          <w:p w14:paraId="0C9886AA" w14:textId="77777777" w:rsidR="0024226F" w:rsidRDefault="0024226F" w:rsidP="00464E54">
            <w:pPr>
              <w:spacing w:before="200" w:after="200" w:line="276" w:lineRule="auto"/>
            </w:pPr>
          </w:p>
        </w:tc>
      </w:tr>
    </w:tbl>
    <w:p w14:paraId="1E36FD1B" w14:textId="77777777" w:rsidR="00464E54" w:rsidRDefault="00464E54">
      <w:r>
        <w:br w:type="page"/>
      </w:r>
    </w:p>
    <w:p w14:paraId="3E98B2C6" w14:textId="77777777" w:rsidR="00464E54" w:rsidRPr="00711D27" w:rsidRDefault="00464E54" w:rsidP="00464E54">
      <w:pPr>
        <w:rPr>
          <w:b/>
          <w:caps/>
          <w:color w:val="7F7F7F" w:themeColor="text1" w:themeTint="80"/>
          <w:spacing w:val="10"/>
          <w:kern w:val="52"/>
          <w:sz w:val="36"/>
          <w:szCs w:val="52"/>
        </w:rPr>
      </w:pPr>
      <w:r w:rsidRPr="00711D27">
        <w:rPr>
          <w:b/>
          <w:caps/>
          <w:color w:val="7F7F7F" w:themeColor="text1" w:themeTint="80"/>
          <w:spacing w:val="10"/>
          <w:kern w:val="52"/>
          <w:sz w:val="36"/>
          <w:szCs w:val="52"/>
        </w:rPr>
        <w:lastRenderedPageBreak/>
        <w:t xml:space="preserve">Need improved security for your email? Policy-Based Email </w:t>
      </w:r>
      <w:r w:rsidR="0005077C">
        <w:rPr>
          <w:b/>
          <w:caps/>
          <w:color w:val="7F7F7F" w:themeColor="text1" w:themeTint="80"/>
          <w:spacing w:val="10"/>
          <w:kern w:val="52"/>
          <w:sz w:val="36"/>
          <w:szCs w:val="52"/>
        </w:rPr>
        <w:t xml:space="preserve">ENCRYPTION </w:t>
      </w:r>
      <w:r w:rsidRPr="00711D27">
        <w:rPr>
          <w:b/>
          <w:caps/>
          <w:color w:val="7F7F7F" w:themeColor="text1" w:themeTint="80"/>
          <w:spacing w:val="10"/>
          <w:kern w:val="52"/>
          <w:sz w:val="36"/>
          <w:szCs w:val="52"/>
        </w:rPr>
        <w:t>can help.</w:t>
      </w:r>
    </w:p>
    <w:p w14:paraId="030F3817" w14:textId="77777777" w:rsidR="00464E54" w:rsidRPr="00711D27" w:rsidRDefault="00464E54" w:rsidP="00711D27">
      <w:pPr>
        <w:rPr>
          <w:b/>
          <w:sz w:val="24"/>
          <w:szCs w:val="24"/>
        </w:rPr>
      </w:pPr>
      <w:r w:rsidRPr="00711D27">
        <w:rPr>
          <w:b/>
          <w:sz w:val="24"/>
          <w:szCs w:val="24"/>
        </w:rPr>
        <w:t>Facilitate compliance with federal and</w:t>
      </w:r>
      <w:r w:rsidR="00711D27" w:rsidRPr="00711D27">
        <w:rPr>
          <w:b/>
          <w:sz w:val="24"/>
          <w:szCs w:val="24"/>
        </w:rPr>
        <w:t xml:space="preserve"> </w:t>
      </w:r>
      <w:r w:rsidRPr="00711D27">
        <w:rPr>
          <w:b/>
          <w:sz w:val="24"/>
          <w:szCs w:val="24"/>
        </w:rPr>
        <w:t>state laws, including:</w:t>
      </w:r>
    </w:p>
    <w:p w14:paraId="79E77BE1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Health Insurance Portability and Accountability Act (HIPAA)</w:t>
      </w:r>
    </w:p>
    <w:p w14:paraId="4088696A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Sarbanes-Oxley Act (SOX)</w:t>
      </w:r>
    </w:p>
    <w:p w14:paraId="4C40F008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Gramm-Leach-Bliley Act (GLBA)</w:t>
      </w:r>
    </w:p>
    <w:p w14:paraId="72454BA7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California Security Breach Notification Act (SB 1386)</w:t>
      </w:r>
    </w:p>
    <w:p w14:paraId="67744352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Payment Card Industry Data Security Standards (PCI DSS)</w:t>
      </w:r>
    </w:p>
    <w:p w14:paraId="72479227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Personal Information Protection and Electronic</w:t>
      </w:r>
    </w:p>
    <w:p w14:paraId="3EBEDB8D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Documents Act (PIPEDA)</w:t>
      </w:r>
    </w:p>
    <w:p w14:paraId="3AF993F4" w14:textId="77777777" w:rsidR="00464E54" w:rsidRPr="00711D27" w:rsidRDefault="00464E54" w:rsidP="00711D2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</w:pPr>
      <w:r w:rsidRPr="00711D27">
        <w:t>EU Data Privacy Protection Directive</w:t>
      </w:r>
    </w:p>
    <w:p w14:paraId="13ADC86B" w14:textId="77777777" w:rsidR="00464E54" w:rsidRDefault="00464E54" w:rsidP="00464E54">
      <w:pPr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sz w:val="18"/>
          <w:szCs w:val="18"/>
          <w:lang w:bidi="ar-SA"/>
        </w:rPr>
      </w:pPr>
    </w:p>
    <w:p w14:paraId="0CEE5D02" w14:textId="77777777" w:rsidR="00464E54" w:rsidRPr="00711D27" w:rsidRDefault="00464E54" w:rsidP="00711D27">
      <w:pPr>
        <w:rPr>
          <w:b/>
          <w:sz w:val="24"/>
          <w:szCs w:val="24"/>
        </w:rPr>
      </w:pPr>
      <w:r w:rsidRPr="00711D27">
        <w:rPr>
          <w:b/>
          <w:sz w:val="24"/>
          <w:szCs w:val="24"/>
        </w:rPr>
        <w:t>Leverage industry trusted standards</w:t>
      </w:r>
    </w:p>
    <w:p w14:paraId="2F72C8AE" w14:textId="77777777" w:rsidR="00464E54" w:rsidRP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Our industry trusted encryption meets the National Institute</w:t>
      </w:r>
      <w:r w:rsidR="00711D27" w:rsidRPr="00711D27">
        <w:t xml:space="preserve"> </w:t>
      </w:r>
      <w:r w:rsidRPr="00711D27">
        <w:t>of Standards and Technology guidelines</w:t>
      </w:r>
    </w:p>
    <w:p w14:paraId="61898277" w14:textId="77777777" w:rsidR="00464E54" w:rsidRP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Standards-based technologies such as Public Key</w:t>
      </w:r>
    </w:p>
    <w:p w14:paraId="735F0577" w14:textId="77777777" w:rsidR="00464E54" w:rsidRP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Infrastructure (PKI), S/MIME and X.509 certificates are</w:t>
      </w:r>
      <w:r w:rsidR="00711D27" w:rsidRPr="00711D27">
        <w:t xml:space="preserve"> </w:t>
      </w:r>
      <w:r w:rsidRPr="00711D27">
        <w:t>used to establish confidentiality, message integrity and</w:t>
      </w:r>
      <w:r w:rsidR="00711D27" w:rsidRPr="00711D27">
        <w:t xml:space="preserve"> </w:t>
      </w:r>
      <w:r w:rsidRPr="00711D27">
        <w:t>user authentication</w:t>
      </w:r>
    </w:p>
    <w:p w14:paraId="1F619833" w14:textId="77777777" w:rsidR="00464E54" w:rsidRDefault="00464E54" w:rsidP="00464E54">
      <w:pPr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sz w:val="18"/>
          <w:szCs w:val="18"/>
          <w:lang w:bidi="ar-SA"/>
        </w:rPr>
      </w:pPr>
    </w:p>
    <w:p w14:paraId="7E189AA4" w14:textId="77777777" w:rsidR="00464E54" w:rsidRDefault="00464E54" w:rsidP="00464E54">
      <w:pPr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sz w:val="18"/>
          <w:szCs w:val="18"/>
          <w:lang w:bidi="ar-SA"/>
        </w:rPr>
      </w:pPr>
    </w:p>
    <w:p w14:paraId="10F175AD" w14:textId="77777777" w:rsidR="00464E54" w:rsidRPr="00711D27" w:rsidRDefault="00464E54" w:rsidP="00464E54">
      <w:pPr>
        <w:autoSpaceDE w:val="0"/>
        <w:autoSpaceDN w:val="0"/>
        <w:adjustRightInd w:val="0"/>
        <w:spacing w:before="0" w:after="0" w:line="240" w:lineRule="auto"/>
        <w:rPr>
          <w:b/>
          <w:sz w:val="24"/>
          <w:szCs w:val="24"/>
        </w:rPr>
      </w:pPr>
      <w:r w:rsidRPr="00711D27">
        <w:rPr>
          <w:b/>
          <w:sz w:val="24"/>
          <w:szCs w:val="24"/>
        </w:rPr>
        <w:t>Simple to manage and easy to deploy</w:t>
      </w:r>
    </w:p>
    <w:p w14:paraId="1A3C1723" w14:textId="77777777" w:rsidR="00711D27" w:rsidRDefault="00711D27" w:rsidP="00464E54">
      <w:pPr>
        <w:autoSpaceDE w:val="0"/>
        <w:autoSpaceDN w:val="0"/>
        <w:adjustRightInd w:val="0"/>
        <w:spacing w:before="0" w:after="0" w:line="240" w:lineRule="auto"/>
        <w:rPr>
          <w:rFonts w:ascii="DINOT-Bold" w:eastAsiaTheme="minorEastAsia" w:hAnsi="DINOT-Bold" w:cs="DINOT-Bold"/>
          <w:b/>
          <w:bCs/>
          <w:color w:val="000000"/>
          <w:sz w:val="26"/>
          <w:szCs w:val="26"/>
          <w:lang w:bidi="ar-SA"/>
        </w:rPr>
      </w:pPr>
    </w:p>
    <w:p w14:paraId="0E50506A" w14:textId="77777777" w:rsidR="00464E54" w:rsidRP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Policies are set through an easy-to-use web interface</w:t>
      </w:r>
    </w:p>
    <w:p w14:paraId="3A29BCEA" w14:textId="77777777" w:rsidR="00464E54" w:rsidRP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Emails and attachments are scanned automatically</w:t>
      </w:r>
    </w:p>
    <w:p w14:paraId="6E411EA4" w14:textId="77777777" w:rsidR="00711D27" w:rsidRDefault="00464E54" w:rsidP="00711D27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after="0" w:line="240" w:lineRule="auto"/>
      </w:pPr>
      <w:r w:rsidRPr="00711D27">
        <w:t>Track email activity and run detailed searchable</w:t>
      </w:r>
      <w:r w:rsidR="00711D27" w:rsidRPr="00711D27">
        <w:t xml:space="preserve"> </w:t>
      </w:r>
      <w:r w:rsidRPr="00711D27">
        <w:t>reports any time</w:t>
      </w:r>
    </w:p>
    <w:p w14:paraId="53417E46" w14:textId="77777777" w:rsidR="00711D27" w:rsidRDefault="00711D27" w:rsidP="00711D27">
      <w:pPr>
        <w:pStyle w:val="ListParagraph"/>
        <w:autoSpaceDE w:val="0"/>
        <w:autoSpaceDN w:val="0"/>
        <w:adjustRightInd w:val="0"/>
        <w:spacing w:before="0" w:after="0" w:line="240" w:lineRule="auto"/>
      </w:pPr>
    </w:p>
    <w:p w14:paraId="129637A6" w14:textId="77777777" w:rsidR="00711D27" w:rsidRPr="00711D27" w:rsidRDefault="00711D27" w:rsidP="00711D27">
      <w:pPr>
        <w:rPr>
          <w:b/>
          <w:caps/>
          <w:color w:val="7F7F7F" w:themeColor="text1" w:themeTint="80"/>
          <w:spacing w:val="10"/>
          <w:kern w:val="52"/>
          <w:sz w:val="36"/>
          <w:szCs w:val="52"/>
        </w:rPr>
      </w:pPr>
      <w:r w:rsidRPr="00711D27">
        <w:rPr>
          <w:b/>
          <w:caps/>
          <w:color w:val="7F7F7F" w:themeColor="text1" w:themeTint="80"/>
          <w:spacing w:val="10"/>
          <w:kern w:val="52"/>
          <w:sz w:val="36"/>
          <w:szCs w:val="52"/>
        </w:rPr>
        <w:t>Who should encrypt email?</w:t>
      </w:r>
    </w:p>
    <w:p w14:paraId="27E18438" w14:textId="77777777" w:rsidR="00711D27" w:rsidRPr="00711D27" w:rsidRDefault="00711D27" w:rsidP="00711D27">
      <w:pPr>
        <w:autoSpaceDE w:val="0"/>
        <w:autoSpaceDN w:val="0"/>
        <w:adjustRightInd w:val="0"/>
        <w:spacing w:before="0" w:after="0" w:line="240" w:lineRule="auto"/>
      </w:pPr>
      <w:r w:rsidRPr="00711D27">
        <w:t>All businesses and their professional advisors, agents and clients should take steps to protect the privacy of their email. Businesses that need encrypted email include:</w:t>
      </w:r>
    </w:p>
    <w:p w14:paraId="119A1291" w14:textId="77777777" w:rsidR="00711D27" w:rsidRDefault="00711D27" w:rsidP="00711D27">
      <w:pPr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lang w:bidi="ar-SA"/>
        </w:rPr>
      </w:pPr>
    </w:p>
    <w:p w14:paraId="5EC6FD52" w14:textId="77777777" w:rsidR="00711D27" w:rsidRPr="00711D27" w:rsidRDefault="00711D27" w:rsidP="00711D2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</w:pPr>
      <w:r w:rsidRPr="00711D27">
        <w:rPr>
          <w:b/>
          <w:sz w:val="22"/>
          <w:szCs w:val="24"/>
        </w:rPr>
        <w:t>Financial Services</w:t>
      </w:r>
      <w:r w:rsidRPr="00711D27">
        <w:rPr>
          <w:rFonts w:ascii="DINOT-Bold" w:eastAsiaTheme="minorEastAsia" w:hAnsi="DINOT-Bold" w:cs="DINOT-Bold"/>
          <w:b/>
          <w:bCs/>
          <w:color w:val="000000"/>
          <w:sz w:val="16"/>
          <w:szCs w:val="18"/>
          <w:lang w:bidi="ar-SA"/>
        </w:rPr>
        <w:t xml:space="preserve"> </w:t>
      </w:r>
      <w:r w:rsidRPr="00711D27">
        <w:rPr>
          <w:rFonts w:ascii="DINOT" w:eastAsiaTheme="minorEastAsia" w:hAnsi="DINOT" w:cs="DINOT"/>
          <w:color w:val="000000"/>
          <w:sz w:val="18"/>
          <w:szCs w:val="18"/>
          <w:lang w:bidi="ar-SA"/>
        </w:rPr>
        <w:t xml:space="preserve">– </w:t>
      </w:r>
      <w:r w:rsidRPr="00711D27">
        <w:t>Banks, brokerages, insurance companies, wealth management, accountants, financial advisors</w:t>
      </w:r>
    </w:p>
    <w:p w14:paraId="12F118EB" w14:textId="77777777" w:rsidR="00711D27" w:rsidRPr="00711D27" w:rsidRDefault="00711D27" w:rsidP="00711D27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sz w:val="18"/>
          <w:szCs w:val="18"/>
          <w:lang w:bidi="ar-SA"/>
        </w:rPr>
      </w:pPr>
    </w:p>
    <w:p w14:paraId="4655B8F3" w14:textId="77777777" w:rsidR="00711D27" w:rsidRPr="00711D27" w:rsidRDefault="00711D27" w:rsidP="00711D2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</w:pPr>
      <w:r w:rsidRPr="00711D27">
        <w:rPr>
          <w:b/>
          <w:sz w:val="22"/>
          <w:szCs w:val="24"/>
        </w:rPr>
        <w:lastRenderedPageBreak/>
        <w:t xml:space="preserve">Healthcare </w:t>
      </w:r>
      <w:r w:rsidRPr="00711D27">
        <w:rPr>
          <w:rFonts w:ascii="DINOT" w:eastAsiaTheme="minorEastAsia" w:hAnsi="DINOT" w:cs="DINOT"/>
          <w:color w:val="000000"/>
          <w:sz w:val="18"/>
          <w:szCs w:val="18"/>
          <w:lang w:bidi="ar-SA"/>
        </w:rPr>
        <w:t xml:space="preserve">– </w:t>
      </w:r>
      <w:r w:rsidRPr="00711D27">
        <w:t>Physicians, clinics, health associations, health networks, hospitals, pharmacists, pharmaceutical companies</w:t>
      </w:r>
    </w:p>
    <w:p w14:paraId="61A52A5A" w14:textId="77777777" w:rsidR="00711D27" w:rsidRPr="00711D27" w:rsidRDefault="00711D27" w:rsidP="00711D27">
      <w:pPr>
        <w:autoSpaceDE w:val="0"/>
        <w:autoSpaceDN w:val="0"/>
        <w:adjustRightInd w:val="0"/>
        <w:spacing w:before="0" w:after="0" w:line="240" w:lineRule="auto"/>
        <w:rPr>
          <w:rFonts w:ascii="DINOT" w:eastAsiaTheme="minorEastAsia" w:hAnsi="DINOT" w:cs="DINOT"/>
          <w:color w:val="000000"/>
          <w:sz w:val="18"/>
          <w:szCs w:val="18"/>
          <w:lang w:bidi="ar-SA"/>
        </w:rPr>
      </w:pPr>
    </w:p>
    <w:p w14:paraId="1856A400" w14:textId="77777777" w:rsidR="00711D27" w:rsidRPr="00C82C75" w:rsidRDefault="00711D27" w:rsidP="00711D27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</w:pPr>
      <w:r w:rsidRPr="00711D27">
        <w:rPr>
          <w:b/>
          <w:sz w:val="22"/>
          <w:szCs w:val="24"/>
        </w:rPr>
        <w:t>Business Professionals</w:t>
      </w:r>
      <w:r w:rsidRPr="00711D27">
        <w:rPr>
          <w:rFonts w:ascii="DINOT-Bold" w:eastAsiaTheme="minorEastAsia" w:hAnsi="DINOT-Bold" w:cs="DINOT-Bold"/>
          <w:b/>
          <w:bCs/>
          <w:color w:val="000000"/>
          <w:sz w:val="18"/>
          <w:szCs w:val="18"/>
          <w:lang w:bidi="ar-SA"/>
        </w:rPr>
        <w:t xml:space="preserve"> </w:t>
      </w:r>
      <w:r w:rsidRPr="00711D27">
        <w:rPr>
          <w:rFonts w:ascii="DINOT" w:eastAsiaTheme="minorEastAsia" w:hAnsi="DINOT" w:cs="DINOT"/>
          <w:color w:val="000000"/>
          <w:sz w:val="18"/>
          <w:szCs w:val="18"/>
          <w:lang w:bidi="ar-SA"/>
        </w:rPr>
        <w:t xml:space="preserve">– </w:t>
      </w:r>
      <w:r w:rsidRPr="00711D27">
        <w:t>Lawyers, headhunters, investigators, consultants, human resource professionals, embassies</w:t>
      </w:r>
    </w:p>
    <w:sectPr w:rsidR="00711D27" w:rsidRPr="00C82C75" w:rsidSect="00711D27">
      <w:type w:val="continuous"/>
      <w:pgSz w:w="12240" w:h="15840"/>
      <w:pgMar w:top="12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94C6C" w14:textId="77777777" w:rsidR="00424F0D" w:rsidRDefault="00424F0D" w:rsidP="006C0C09">
      <w:r>
        <w:separator/>
      </w:r>
    </w:p>
  </w:endnote>
  <w:endnote w:type="continuationSeparator" w:id="0">
    <w:p w14:paraId="187FDAB0" w14:textId="77777777" w:rsidR="00424F0D" w:rsidRDefault="00424F0D" w:rsidP="006C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">
    <w:altName w:val="Segoe Script"/>
    <w:panose1 w:val="00000000000000000000"/>
    <w:charset w:val="00"/>
    <w:family w:val="swiss"/>
    <w:notTrueType/>
    <w:pitch w:val="variable"/>
    <w:sig w:usb0="800000AF" w:usb1="4000207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 O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altName w:val="Arial Black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91B9" w14:textId="77777777" w:rsidR="003A1D83" w:rsidRDefault="003A1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AEF55" w14:textId="77777777" w:rsidR="00D41E0B" w:rsidRDefault="00D41E0B" w:rsidP="00D41E0B">
    <w:pPr>
      <w:pStyle w:val="Foot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4"/>
      <w:gridCol w:w="4709"/>
      <w:gridCol w:w="1021"/>
      <w:gridCol w:w="766"/>
    </w:tblGrid>
    <w:tr w:rsidR="003A1D83" w:rsidRPr="000949F5" w14:paraId="62F1803F" w14:textId="77777777" w:rsidTr="00D41E0B">
      <w:trPr>
        <w:trHeight w:val="440"/>
      </w:trPr>
      <w:tc>
        <w:tcPr>
          <w:tcW w:w="3012" w:type="dxa"/>
          <w:vMerge w:val="restart"/>
        </w:tcPr>
        <w:p w14:paraId="75DC9699" w14:textId="77777777" w:rsidR="00D41E0B" w:rsidRDefault="00D41E0B" w:rsidP="00D41E0B">
          <w:pPr>
            <w:pStyle w:val="Footer"/>
            <w:rPr>
              <w:noProof/>
            </w:rPr>
          </w:pPr>
        </w:p>
        <w:p w14:paraId="2A8A5C33" w14:textId="43FE218F" w:rsidR="00D41E0B" w:rsidRPr="000949F5" w:rsidRDefault="003A1D83" w:rsidP="00D41E0B">
          <w:pPr>
            <w:pStyle w:val="Footer"/>
          </w:pPr>
          <w:bookmarkStart w:id="0" w:name="_GoBack"/>
          <w:r>
            <w:rPr>
              <w:noProof/>
            </w:rPr>
            <w:drawing>
              <wp:inline distT="0" distB="0" distL="0" distR="0" wp14:anchorId="1B35EA25" wp14:editId="16FC82EA">
                <wp:extent cx="1743075" cy="1017905"/>
                <wp:effectExtent l="0" t="0" r="9525" b="0"/>
                <wp:docPr id="16" name="Pictur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F5CA00-F59D-440B-AB80-44FCF4759F5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5">
                          <a:extLst>
                            <a:ext uri="{FF2B5EF4-FFF2-40B4-BE49-F238E27FC236}">
                              <a16:creationId xmlns:a16="http://schemas.microsoft.com/office/drawing/2014/main" id="{33F5CA00-F59D-440B-AB80-44FCF4759F5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440" cy="101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  <w:r w:rsidR="00D41E0B" w:rsidRPr="00D41E0B">
            <w:rPr>
              <w:noProof/>
              <w:highlight w:val="yellow"/>
            </w:rPr>
            <w:t xml:space="preserve"> </w:t>
          </w:r>
        </w:p>
      </w:tc>
      <w:tc>
        <w:tcPr>
          <w:tcW w:w="2748" w:type="dxa"/>
          <w:tcBorders>
            <w:top w:val="single" w:sz="8" w:space="0" w:color="BFBFBF" w:themeColor="background1" w:themeShade="BF"/>
          </w:tcBorders>
          <w:vAlign w:val="bottom"/>
        </w:tcPr>
        <w:p w14:paraId="6E22CE13" w14:textId="77777777" w:rsidR="00D41E0B" w:rsidRPr="003A1D83" w:rsidRDefault="003A1D83" w:rsidP="00D41E0B">
          <w:pPr>
            <w:pStyle w:val="Footer"/>
            <w:rPr>
              <w:b/>
              <w:sz w:val="28"/>
              <w:szCs w:val="28"/>
            </w:rPr>
          </w:pPr>
          <w:r w:rsidRPr="003A1D83">
            <w:rPr>
              <w:b/>
              <w:sz w:val="28"/>
              <w:szCs w:val="28"/>
            </w:rPr>
            <w:t>Call US AT 973 432 9837</w:t>
          </w:r>
        </w:p>
        <w:p w14:paraId="7564ED40" w14:textId="77777777" w:rsidR="003A1D83" w:rsidRDefault="003A1D83" w:rsidP="00D41E0B">
          <w:pPr>
            <w:pStyle w:val="Footer"/>
          </w:pPr>
        </w:p>
        <w:p w14:paraId="4D0B79DF" w14:textId="77777777" w:rsidR="003A1D83" w:rsidRDefault="003A1D83" w:rsidP="00D41E0B">
          <w:pPr>
            <w:pStyle w:val="Footer"/>
          </w:pPr>
        </w:p>
        <w:p w14:paraId="18FFEAAB" w14:textId="30BC69DC" w:rsidR="003A1D83" w:rsidRPr="003A1D83" w:rsidRDefault="003A1D83" w:rsidP="00D41E0B">
          <w:pPr>
            <w:pStyle w:val="Footer"/>
            <w:rPr>
              <w:b/>
              <w:sz w:val="28"/>
              <w:szCs w:val="28"/>
            </w:rPr>
          </w:pPr>
          <w:r w:rsidRPr="003A1D83">
            <w:rPr>
              <w:b/>
              <w:sz w:val="28"/>
              <w:szCs w:val="28"/>
            </w:rPr>
            <w:t>Email INFO@JJRCOMMUNICATIONS.COM</w:t>
          </w:r>
        </w:p>
      </w:tc>
      <w:tc>
        <w:tcPr>
          <w:tcW w:w="2470" w:type="dxa"/>
          <w:tcBorders>
            <w:top w:val="single" w:sz="8" w:space="0" w:color="BFBFBF" w:themeColor="background1" w:themeShade="BF"/>
          </w:tcBorders>
          <w:vAlign w:val="bottom"/>
        </w:tcPr>
        <w:p w14:paraId="7A264115" w14:textId="77777777" w:rsidR="00D41E0B" w:rsidRDefault="00D41E0B" w:rsidP="00D41E0B">
          <w:pPr>
            <w:pStyle w:val="Footer"/>
          </w:pPr>
        </w:p>
        <w:p w14:paraId="7718DEF4" w14:textId="77777777" w:rsidR="003A1D83" w:rsidRDefault="003A1D83" w:rsidP="00D41E0B">
          <w:pPr>
            <w:pStyle w:val="Footer"/>
          </w:pPr>
        </w:p>
        <w:p w14:paraId="2CDA694E" w14:textId="59735D59" w:rsidR="003A1D83" w:rsidRPr="000949F5" w:rsidRDefault="003A1D83" w:rsidP="00D41E0B">
          <w:pPr>
            <w:pStyle w:val="Footer"/>
          </w:pPr>
          <w:r>
            <w:t xml:space="preserve">  </w:t>
          </w:r>
        </w:p>
      </w:tc>
      <w:tc>
        <w:tcPr>
          <w:tcW w:w="1850" w:type="dxa"/>
          <w:tcBorders>
            <w:top w:val="single" w:sz="8" w:space="0" w:color="BFBFBF" w:themeColor="background1" w:themeShade="BF"/>
          </w:tcBorders>
          <w:vAlign w:val="bottom"/>
        </w:tcPr>
        <w:p w14:paraId="52069E3E" w14:textId="6D5B2AA0" w:rsidR="00D41E0B" w:rsidRPr="007973CB" w:rsidRDefault="00D41E0B" w:rsidP="00D41E0B">
          <w:pPr>
            <w:pStyle w:val="Footer"/>
          </w:pPr>
        </w:p>
      </w:tc>
    </w:tr>
    <w:tr w:rsidR="003A1D83" w:rsidRPr="000949F5" w14:paraId="52DE10BB" w14:textId="77777777" w:rsidTr="00D41E0B">
      <w:trPr>
        <w:trHeight w:val="440"/>
      </w:trPr>
      <w:tc>
        <w:tcPr>
          <w:tcW w:w="3012" w:type="dxa"/>
          <w:vMerge/>
        </w:tcPr>
        <w:p w14:paraId="65D1D4EA" w14:textId="77777777" w:rsidR="00D41E0B" w:rsidRPr="000949F5" w:rsidRDefault="00D41E0B" w:rsidP="00D41E0B">
          <w:pPr>
            <w:pStyle w:val="Footer"/>
          </w:pPr>
        </w:p>
      </w:tc>
      <w:tc>
        <w:tcPr>
          <w:tcW w:w="2748" w:type="dxa"/>
          <w:vAlign w:val="bottom"/>
        </w:tcPr>
        <w:p w14:paraId="3DE201A7" w14:textId="01423291" w:rsidR="00D41E0B" w:rsidRPr="003A1D83" w:rsidRDefault="003A1D83" w:rsidP="00D41E0B">
          <w:pPr>
            <w:pStyle w:val="Footer"/>
            <w:rPr>
              <w:b/>
              <w:sz w:val="28"/>
              <w:szCs w:val="28"/>
            </w:rPr>
          </w:pPr>
          <w:r w:rsidRPr="003A1D83">
            <w:rPr>
              <w:b/>
              <w:sz w:val="28"/>
              <w:szCs w:val="28"/>
            </w:rPr>
            <w:t>www.jjrcommunications.com</w:t>
          </w:r>
        </w:p>
      </w:tc>
      <w:tc>
        <w:tcPr>
          <w:tcW w:w="2470" w:type="dxa"/>
          <w:vAlign w:val="bottom"/>
        </w:tcPr>
        <w:p w14:paraId="22664C0C" w14:textId="5F8D6554" w:rsidR="00D41E0B" w:rsidRPr="007973CB" w:rsidRDefault="00D41E0B" w:rsidP="00D41E0B">
          <w:pPr>
            <w:pStyle w:val="Footer"/>
          </w:pPr>
        </w:p>
      </w:tc>
      <w:tc>
        <w:tcPr>
          <w:tcW w:w="1850" w:type="dxa"/>
          <w:vAlign w:val="bottom"/>
        </w:tcPr>
        <w:p w14:paraId="49801CCF" w14:textId="6122EBA8" w:rsidR="00D41E0B" w:rsidRPr="007973CB" w:rsidRDefault="00D41E0B" w:rsidP="00D41E0B">
          <w:pPr>
            <w:pStyle w:val="Footer"/>
          </w:pPr>
        </w:p>
      </w:tc>
    </w:tr>
  </w:tbl>
  <w:p w14:paraId="2C34C67A" w14:textId="77777777" w:rsidR="00D41E0B" w:rsidRDefault="00D41E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93D16" w14:textId="77777777" w:rsidR="003A1D83" w:rsidRDefault="003A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DF6E" w14:textId="77777777" w:rsidR="00424F0D" w:rsidRDefault="00424F0D" w:rsidP="006C0C09">
      <w:r>
        <w:separator/>
      </w:r>
    </w:p>
  </w:footnote>
  <w:footnote w:type="continuationSeparator" w:id="0">
    <w:p w14:paraId="7325270A" w14:textId="77777777" w:rsidR="00424F0D" w:rsidRDefault="00424F0D" w:rsidP="006C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B7CFD" w14:textId="77777777" w:rsidR="003A1D83" w:rsidRDefault="003A1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9CE7" w14:textId="77777777" w:rsidR="003A1D83" w:rsidRDefault="003A1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48D3" w14:textId="77777777" w:rsidR="003A1D83" w:rsidRDefault="003A1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6EE"/>
    <w:multiLevelType w:val="multilevel"/>
    <w:tmpl w:val="860E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4645F"/>
    <w:multiLevelType w:val="hybridMultilevel"/>
    <w:tmpl w:val="9EA01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B0E"/>
    <w:multiLevelType w:val="multilevel"/>
    <w:tmpl w:val="893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4F7A57"/>
    <w:multiLevelType w:val="hybridMultilevel"/>
    <w:tmpl w:val="4A54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132B"/>
    <w:multiLevelType w:val="hybridMultilevel"/>
    <w:tmpl w:val="13A4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70A4"/>
    <w:multiLevelType w:val="hybridMultilevel"/>
    <w:tmpl w:val="25F2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657BE"/>
    <w:multiLevelType w:val="hybridMultilevel"/>
    <w:tmpl w:val="5E207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3677D"/>
    <w:multiLevelType w:val="hybridMultilevel"/>
    <w:tmpl w:val="C82C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9665C"/>
    <w:multiLevelType w:val="hybridMultilevel"/>
    <w:tmpl w:val="F97CAAD6"/>
    <w:lvl w:ilvl="0" w:tplc="F0407ADE">
      <w:numFmt w:val="bullet"/>
      <w:lvlText w:val="•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E29E7"/>
    <w:multiLevelType w:val="hybridMultilevel"/>
    <w:tmpl w:val="62F49EB0"/>
    <w:lvl w:ilvl="0" w:tplc="C75CA012">
      <w:numFmt w:val="bullet"/>
      <w:lvlText w:val="•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918C7"/>
    <w:multiLevelType w:val="hybridMultilevel"/>
    <w:tmpl w:val="8C66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B2583"/>
    <w:multiLevelType w:val="hybridMultilevel"/>
    <w:tmpl w:val="7C3CA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470C"/>
    <w:multiLevelType w:val="hybridMultilevel"/>
    <w:tmpl w:val="9DB6C2AC"/>
    <w:lvl w:ilvl="0" w:tplc="D8F82C3C">
      <w:start w:val="1"/>
      <w:numFmt w:val="bullet"/>
      <w:lvlText w:val="•"/>
      <w:lvlJc w:val="left"/>
      <w:pPr>
        <w:ind w:left="1396" w:hanging="180"/>
      </w:pPr>
      <w:rPr>
        <w:rFonts w:ascii="DIN OT" w:eastAsia="DIN OT" w:hAnsi="DIN OT" w:hint="default"/>
        <w:color w:val="231F20"/>
        <w:sz w:val="18"/>
        <w:szCs w:val="18"/>
      </w:rPr>
    </w:lvl>
    <w:lvl w:ilvl="1" w:tplc="6A745E7C">
      <w:start w:val="1"/>
      <w:numFmt w:val="bullet"/>
      <w:lvlText w:val="•"/>
      <w:lvlJc w:val="left"/>
      <w:pPr>
        <w:ind w:left="1800" w:hanging="180"/>
      </w:pPr>
      <w:rPr>
        <w:rFonts w:hint="default"/>
      </w:rPr>
    </w:lvl>
    <w:lvl w:ilvl="2" w:tplc="2A22AE20">
      <w:start w:val="1"/>
      <w:numFmt w:val="bullet"/>
      <w:lvlText w:val="•"/>
      <w:lvlJc w:val="left"/>
      <w:pPr>
        <w:ind w:left="2204" w:hanging="180"/>
      </w:pPr>
      <w:rPr>
        <w:rFonts w:hint="default"/>
      </w:rPr>
    </w:lvl>
    <w:lvl w:ilvl="3" w:tplc="9A5679C2">
      <w:start w:val="1"/>
      <w:numFmt w:val="bullet"/>
      <w:lvlText w:val="•"/>
      <w:lvlJc w:val="left"/>
      <w:pPr>
        <w:ind w:left="2608" w:hanging="180"/>
      </w:pPr>
      <w:rPr>
        <w:rFonts w:hint="default"/>
      </w:rPr>
    </w:lvl>
    <w:lvl w:ilvl="4" w:tplc="93328086">
      <w:start w:val="1"/>
      <w:numFmt w:val="bullet"/>
      <w:lvlText w:val="•"/>
      <w:lvlJc w:val="left"/>
      <w:pPr>
        <w:ind w:left="3013" w:hanging="180"/>
      </w:pPr>
      <w:rPr>
        <w:rFonts w:hint="default"/>
      </w:rPr>
    </w:lvl>
    <w:lvl w:ilvl="5" w:tplc="365CBF78">
      <w:start w:val="1"/>
      <w:numFmt w:val="bullet"/>
      <w:lvlText w:val="•"/>
      <w:lvlJc w:val="left"/>
      <w:pPr>
        <w:ind w:left="3417" w:hanging="180"/>
      </w:pPr>
      <w:rPr>
        <w:rFonts w:hint="default"/>
      </w:rPr>
    </w:lvl>
    <w:lvl w:ilvl="6" w:tplc="D94001F0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7" w:tplc="B8984038">
      <w:start w:val="1"/>
      <w:numFmt w:val="bullet"/>
      <w:lvlText w:val="•"/>
      <w:lvlJc w:val="left"/>
      <w:pPr>
        <w:ind w:left="4226" w:hanging="180"/>
      </w:pPr>
      <w:rPr>
        <w:rFonts w:hint="default"/>
      </w:rPr>
    </w:lvl>
    <w:lvl w:ilvl="8" w:tplc="12BE7088">
      <w:start w:val="1"/>
      <w:numFmt w:val="bullet"/>
      <w:lvlText w:val="•"/>
      <w:lvlJc w:val="left"/>
      <w:pPr>
        <w:ind w:left="4630" w:hanging="180"/>
      </w:pPr>
      <w:rPr>
        <w:rFonts w:hint="default"/>
      </w:rPr>
    </w:lvl>
  </w:abstractNum>
  <w:abstractNum w:abstractNumId="13" w15:restartNumberingAfterBreak="0">
    <w:nsid w:val="262A61FE"/>
    <w:multiLevelType w:val="hybridMultilevel"/>
    <w:tmpl w:val="3AA2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3AAA"/>
    <w:multiLevelType w:val="hybridMultilevel"/>
    <w:tmpl w:val="8C62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01A44"/>
    <w:multiLevelType w:val="hybridMultilevel"/>
    <w:tmpl w:val="C62E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227B0"/>
    <w:multiLevelType w:val="hybridMultilevel"/>
    <w:tmpl w:val="7FB2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42836"/>
    <w:multiLevelType w:val="hybridMultilevel"/>
    <w:tmpl w:val="D35C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3B5D"/>
    <w:multiLevelType w:val="hybridMultilevel"/>
    <w:tmpl w:val="5ACC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21338"/>
    <w:multiLevelType w:val="hybridMultilevel"/>
    <w:tmpl w:val="EA8C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51D04"/>
    <w:multiLevelType w:val="hybridMultilevel"/>
    <w:tmpl w:val="CF50D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54B7"/>
    <w:multiLevelType w:val="hybridMultilevel"/>
    <w:tmpl w:val="2B2ED956"/>
    <w:lvl w:ilvl="0" w:tplc="AAE0E38C">
      <w:numFmt w:val="bullet"/>
      <w:lvlText w:val="•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4A91"/>
    <w:multiLevelType w:val="hybridMultilevel"/>
    <w:tmpl w:val="DF6A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D56F3"/>
    <w:multiLevelType w:val="hybridMultilevel"/>
    <w:tmpl w:val="C55E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20820"/>
    <w:multiLevelType w:val="hybridMultilevel"/>
    <w:tmpl w:val="CEAE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C742D"/>
    <w:multiLevelType w:val="hybridMultilevel"/>
    <w:tmpl w:val="7ABE2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FA79DE"/>
    <w:multiLevelType w:val="hybridMultilevel"/>
    <w:tmpl w:val="1E98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56687"/>
    <w:multiLevelType w:val="hybridMultilevel"/>
    <w:tmpl w:val="32AA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283A"/>
    <w:multiLevelType w:val="hybridMultilevel"/>
    <w:tmpl w:val="5120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7300F"/>
    <w:multiLevelType w:val="hybridMultilevel"/>
    <w:tmpl w:val="FB8E3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21A10"/>
    <w:multiLevelType w:val="hybridMultilevel"/>
    <w:tmpl w:val="F782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719C7"/>
    <w:multiLevelType w:val="hybridMultilevel"/>
    <w:tmpl w:val="522CF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65391"/>
    <w:multiLevelType w:val="hybridMultilevel"/>
    <w:tmpl w:val="72A2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81CAF"/>
    <w:multiLevelType w:val="hybridMultilevel"/>
    <w:tmpl w:val="1B0C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3122F"/>
    <w:multiLevelType w:val="hybridMultilevel"/>
    <w:tmpl w:val="B50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E375D"/>
    <w:multiLevelType w:val="hybridMultilevel"/>
    <w:tmpl w:val="6D664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3758DA"/>
    <w:multiLevelType w:val="hybridMultilevel"/>
    <w:tmpl w:val="D7F0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72981"/>
    <w:multiLevelType w:val="hybridMultilevel"/>
    <w:tmpl w:val="CA0A7288"/>
    <w:lvl w:ilvl="0" w:tplc="AAE0E38C">
      <w:numFmt w:val="bullet"/>
      <w:lvlText w:val="•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355D"/>
    <w:multiLevelType w:val="hybridMultilevel"/>
    <w:tmpl w:val="F4727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35B74"/>
    <w:multiLevelType w:val="hybridMultilevel"/>
    <w:tmpl w:val="9242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E5658"/>
    <w:multiLevelType w:val="hybridMultilevel"/>
    <w:tmpl w:val="50A2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F1E83"/>
    <w:multiLevelType w:val="hybridMultilevel"/>
    <w:tmpl w:val="6714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53AF0"/>
    <w:multiLevelType w:val="hybridMultilevel"/>
    <w:tmpl w:val="B0B0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23E73"/>
    <w:multiLevelType w:val="hybridMultilevel"/>
    <w:tmpl w:val="10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6793D"/>
    <w:multiLevelType w:val="hybridMultilevel"/>
    <w:tmpl w:val="9A44A960"/>
    <w:lvl w:ilvl="0" w:tplc="AAE0E38C">
      <w:numFmt w:val="bullet"/>
      <w:lvlText w:val="•"/>
      <w:lvlJc w:val="left"/>
      <w:pPr>
        <w:ind w:left="720" w:hanging="360"/>
      </w:pPr>
      <w:rPr>
        <w:rFonts w:ascii="DINOT" w:eastAsiaTheme="minorEastAsia" w:hAnsi="DINOT" w:cs="DIN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3"/>
  </w:num>
  <w:num w:numId="3">
    <w:abstractNumId w:val="34"/>
  </w:num>
  <w:num w:numId="4">
    <w:abstractNumId w:val="7"/>
  </w:num>
  <w:num w:numId="5">
    <w:abstractNumId w:val="33"/>
  </w:num>
  <w:num w:numId="6">
    <w:abstractNumId w:val="31"/>
  </w:num>
  <w:num w:numId="7">
    <w:abstractNumId w:val="27"/>
  </w:num>
  <w:num w:numId="8">
    <w:abstractNumId w:val="17"/>
  </w:num>
  <w:num w:numId="9">
    <w:abstractNumId w:val="23"/>
  </w:num>
  <w:num w:numId="10">
    <w:abstractNumId w:val="26"/>
  </w:num>
  <w:num w:numId="11">
    <w:abstractNumId w:val="36"/>
  </w:num>
  <w:num w:numId="12">
    <w:abstractNumId w:val="15"/>
  </w:num>
  <w:num w:numId="13">
    <w:abstractNumId w:val="42"/>
  </w:num>
  <w:num w:numId="14">
    <w:abstractNumId w:val="29"/>
  </w:num>
  <w:num w:numId="15">
    <w:abstractNumId w:val="14"/>
  </w:num>
  <w:num w:numId="16">
    <w:abstractNumId w:val="40"/>
  </w:num>
  <w:num w:numId="17">
    <w:abstractNumId w:val="16"/>
  </w:num>
  <w:num w:numId="18">
    <w:abstractNumId w:val="1"/>
  </w:num>
  <w:num w:numId="19">
    <w:abstractNumId w:val="18"/>
  </w:num>
  <w:num w:numId="20">
    <w:abstractNumId w:val="5"/>
  </w:num>
  <w:num w:numId="21">
    <w:abstractNumId w:val="28"/>
  </w:num>
  <w:num w:numId="22">
    <w:abstractNumId w:val="19"/>
  </w:num>
  <w:num w:numId="23">
    <w:abstractNumId w:val="22"/>
  </w:num>
  <w:num w:numId="24">
    <w:abstractNumId w:val="4"/>
  </w:num>
  <w:num w:numId="25">
    <w:abstractNumId w:val="41"/>
  </w:num>
  <w:num w:numId="26">
    <w:abstractNumId w:val="6"/>
  </w:num>
  <w:num w:numId="27">
    <w:abstractNumId w:val="20"/>
  </w:num>
  <w:num w:numId="28">
    <w:abstractNumId w:val="39"/>
  </w:num>
  <w:num w:numId="29">
    <w:abstractNumId w:val="2"/>
  </w:num>
  <w:num w:numId="30">
    <w:abstractNumId w:val="0"/>
  </w:num>
  <w:num w:numId="31">
    <w:abstractNumId w:val="12"/>
  </w:num>
  <w:num w:numId="32">
    <w:abstractNumId w:val="13"/>
  </w:num>
  <w:num w:numId="33">
    <w:abstractNumId w:val="32"/>
  </w:num>
  <w:num w:numId="34">
    <w:abstractNumId w:val="30"/>
  </w:num>
  <w:num w:numId="35">
    <w:abstractNumId w:val="10"/>
  </w:num>
  <w:num w:numId="36">
    <w:abstractNumId w:val="3"/>
  </w:num>
  <w:num w:numId="37">
    <w:abstractNumId w:val="25"/>
  </w:num>
  <w:num w:numId="38">
    <w:abstractNumId w:val="8"/>
  </w:num>
  <w:num w:numId="39">
    <w:abstractNumId w:val="11"/>
  </w:num>
  <w:num w:numId="40">
    <w:abstractNumId w:val="9"/>
  </w:num>
  <w:num w:numId="41">
    <w:abstractNumId w:val="35"/>
  </w:num>
  <w:num w:numId="42">
    <w:abstractNumId w:val="21"/>
  </w:num>
  <w:num w:numId="43">
    <w:abstractNumId w:val="37"/>
  </w:num>
  <w:num w:numId="44">
    <w:abstractNumId w:val="4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51"/>
    <w:rsid w:val="000033A6"/>
    <w:rsid w:val="0004239F"/>
    <w:rsid w:val="0005077C"/>
    <w:rsid w:val="000545F5"/>
    <w:rsid w:val="00065FCA"/>
    <w:rsid w:val="000804F3"/>
    <w:rsid w:val="00084934"/>
    <w:rsid w:val="000A0039"/>
    <w:rsid w:val="000C1BFF"/>
    <w:rsid w:val="000D4A8A"/>
    <w:rsid w:val="000E2AFC"/>
    <w:rsid w:val="000F23DA"/>
    <w:rsid w:val="00104FBE"/>
    <w:rsid w:val="001D57D4"/>
    <w:rsid w:val="001E2C79"/>
    <w:rsid w:val="001E7B69"/>
    <w:rsid w:val="00203659"/>
    <w:rsid w:val="0024226F"/>
    <w:rsid w:val="00244082"/>
    <w:rsid w:val="00281219"/>
    <w:rsid w:val="00285ACB"/>
    <w:rsid w:val="002C0F4D"/>
    <w:rsid w:val="00314751"/>
    <w:rsid w:val="00326511"/>
    <w:rsid w:val="003862EF"/>
    <w:rsid w:val="003A1D83"/>
    <w:rsid w:val="004010BF"/>
    <w:rsid w:val="00424F0D"/>
    <w:rsid w:val="004412F5"/>
    <w:rsid w:val="0044467A"/>
    <w:rsid w:val="004456E1"/>
    <w:rsid w:val="00464E54"/>
    <w:rsid w:val="004841CB"/>
    <w:rsid w:val="004B784B"/>
    <w:rsid w:val="004D49ED"/>
    <w:rsid w:val="00502310"/>
    <w:rsid w:val="00535C22"/>
    <w:rsid w:val="005538F1"/>
    <w:rsid w:val="00584701"/>
    <w:rsid w:val="00587380"/>
    <w:rsid w:val="005A542F"/>
    <w:rsid w:val="005B7D60"/>
    <w:rsid w:val="005D3A7F"/>
    <w:rsid w:val="005F3202"/>
    <w:rsid w:val="0064065E"/>
    <w:rsid w:val="00643CD7"/>
    <w:rsid w:val="00672F08"/>
    <w:rsid w:val="00674966"/>
    <w:rsid w:val="0067543C"/>
    <w:rsid w:val="00682255"/>
    <w:rsid w:val="00691986"/>
    <w:rsid w:val="006C0C09"/>
    <w:rsid w:val="006D60B8"/>
    <w:rsid w:val="006E450E"/>
    <w:rsid w:val="00711D27"/>
    <w:rsid w:val="00717C6A"/>
    <w:rsid w:val="00721EAA"/>
    <w:rsid w:val="00736312"/>
    <w:rsid w:val="00765089"/>
    <w:rsid w:val="008169DF"/>
    <w:rsid w:val="0083583F"/>
    <w:rsid w:val="0086458F"/>
    <w:rsid w:val="008665DC"/>
    <w:rsid w:val="008C02EC"/>
    <w:rsid w:val="008D2A8F"/>
    <w:rsid w:val="008E743F"/>
    <w:rsid w:val="00915A24"/>
    <w:rsid w:val="00923FE0"/>
    <w:rsid w:val="00963677"/>
    <w:rsid w:val="009C61A8"/>
    <w:rsid w:val="009E1E6D"/>
    <w:rsid w:val="009E5DE2"/>
    <w:rsid w:val="00A32356"/>
    <w:rsid w:val="00A62E1A"/>
    <w:rsid w:val="00A63DDC"/>
    <w:rsid w:val="00B070A2"/>
    <w:rsid w:val="00BD518C"/>
    <w:rsid w:val="00BE2D48"/>
    <w:rsid w:val="00C0430F"/>
    <w:rsid w:val="00C203E0"/>
    <w:rsid w:val="00C51899"/>
    <w:rsid w:val="00C82C75"/>
    <w:rsid w:val="00C8465E"/>
    <w:rsid w:val="00C87A1D"/>
    <w:rsid w:val="00D41E0B"/>
    <w:rsid w:val="00D4350A"/>
    <w:rsid w:val="00D515DC"/>
    <w:rsid w:val="00D62BFE"/>
    <w:rsid w:val="00DC7176"/>
    <w:rsid w:val="00DF1036"/>
    <w:rsid w:val="00E4793A"/>
    <w:rsid w:val="00E54DF4"/>
    <w:rsid w:val="00EA0BDF"/>
    <w:rsid w:val="00EE724A"/>
    <w:rsid w:val="00F362B0"/>
    <w:rsid w:val="00F4180D"/>
    <w:rsid w:val="00F6329D"/>
    <w:rsid w:val="00FB3EE2"/>
    <w:rsid w:val="00FD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F623A"/>
  <w15:docId w15:val="{A70105D0-ACAA-4E61-B180-247F8167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75"/>
    <w:rPr>
      <w:rFonts w:ascii="Century Gothic" w:eastAsia="Times New Roman" w:hAnsi="Century Gothic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C09"/>
    <w:pPr>
      <w:pBdr>
        <w:bottom w:val="single" w:sz="24" w:space="5" w:color="BFBFBF" w:themeColor="background1" w:themeShade="BF"/>
      </w:pBdr>
      <w:shd w:val="clear" w:color="auto" w:fill="365F91" w:themeFill="accent1" w:themeFillShade="BF"/>
      <w:spacing w:before="240" w:after="0"/>
      <w:outlineLvl w:val="0"/>
    </w:pPr>
    <w:rPr>
      <w:rFonts w:eastAsiaTheme="minorEastAsia" w:cstheme="minorBidi"/>
      <w:b/>
      <w:bCs/>
      <w:caps/>
      <w:noProof/>
      <w:color w:val="FFFFFF" w:themeColor="background1"/>
      <w:spacing w:val="12"/>
      <w:position w:val="-6"/>
      <w:sz w:val="22"/>
      <w:szCs w:val="2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F0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F0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F0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F0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F0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F08"/>
    <w:p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F0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F0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751"/>
  </w:style>
  <w:style w:type="paragraph" w:styleId="Footer">
    <w:name w:val="footer"/>
    <w:basedOn w:val="Normal"/>
    <w:link w:val="FooterChar"/>
    <w:uiPriority w:val="99"/>
    <w:unhideWhenUsed/>
    <w:rsid w:val="0031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751"/>
  </w:style>
  <w:style w:type="paragraph" w:styleId="BalloonText">
    <w:name w:val="Balloon Text"/>
    <w:basedOn w:val="Normal"/>
    <w:link w:val="BalloonTextChar"/>
    <w:uiPriority w:val="99"/>
    <w:semiHidden/>
    <w:unhideWhenUsed/>
    <w:rsid w:val="0031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51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672F08"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0C09"/>
    <w:rPr>
      <w:rFonts w:ascii="Century Gothic" w:hAnsi="Century Gothic"/>
      <w:b/>
      <w:bCs/>
      <w:caps/>
      <w:noProof/>
      <w:color w:val="FFFFFF" w:themeColor="background1"/>
      <w:spacing w:val="12"/>
      <w:position w:val="-6"/>
      <w:shd w:val="clear" w:color="auto" w:fill="365F91" w:themeFill="accent1" w:themeFillShade="BF"/>
      <w:lang w:eastAsia="zh-TW"/>
    </w:rPr>
  </w:style>
  <w:style w:type="paragraph" w:styleId="ListParagraph">
    <w:name w:val="List Paragraph"/>
    <w:basedOn w:val="Normal"/>
    <w:uiPriority w:val="34"/>
    <w:qFormat/>
    <w:rsid w:val="00672F0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74966"/>
    <w:pPr>
      <w:spacing w:before="0" w:after="0" w:line="240" w:lineRule="auto"/>
    </w:pPr>
    <w:rPr>
      <w:caps/>
      <w:color w:val="7F7F7F" w:themeColor="text1" w:themeTint="80"/>
      <w:spacing w:val="10"/>
      <w:kern w:val="5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966"/>
    <w:rPr>
      <w:rFonts w:ascii="Century Gothic" w:eastAsia="Times New Roman" w:hAnsi="Century Gothic" w:cs="Times New Roman"/>
      <w:caps/>
      <w:color w:val="7F7F7F" w:themeColor="text1" w:themeTint="80"/>
      <w:spacing w:val="1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F0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F0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F0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F0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F0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F0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F0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F0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2F08"/>
    <w:rPr>
      <w:b/>
      <w:bCs/>
      <w:color w:val="365F91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F0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2F0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672F08"/>
    <w:rPr>
      <w:b/>
      <w:bCs/>
    </w:rPr>
  </w:style>
  <w:style w:type="character" w:styleId="Emphasis">
    <w:name w:val="Emphasis"/>
    <w:uiPriority w:val="20"/>
    <w:qFormat/>
    <w:rsid w:val="00672F08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672F0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72F0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2F0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F0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F0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672F0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672F0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672F0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672F0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672F0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2F08"/>
    <w:pPr>
      <w:outlineLvl w:val="9"/>
    </w:pPr>
  </w:style>
  <w:style w:type="paragraph" w:styleId="NormalWeb">
    <w:name w:val="Normal (Web)"/>
    <w:basedOn w:val="Normal"/>
    <w:rsid w:val="00F362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35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50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50A"/>
    <w:rPr>
      <w:rFonts w:ascii="Century Gothic" w:eastAsia="Times New Roman" w:hAnsi="Century Gothic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5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50A"/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350A"/>
    <w:pPr>
      <w:spacing w:before="0" w:after="0" w:line="240" w:lineRule="auto"/>
    </w:pPr>
    <w:rPr>
      <w:rFonts w:ascii="Century Gothic" w:eastAsia="Times New Roman" w:hAnsi="Century Gothic" w:cs="Times New Roman"/>
      <w:sz w:val="20"/>
      <w:szCs w:val="20"/>
    </w:rPr>
  </w:style>
  <w:style w:type="table" w:styleId="TableGrid">
    <w:name w:val="Table Grid"/>
    <w:basedOn w:val="TableNormal"/>
    <w:uiPriority w:val="59"/>
    <w:rsid w:val="0024226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4226F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226F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24226F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">
    <w:name w:val="Light List"/>
    <w:basedOn w:val="TableNormal"/>
    <w:uiPriority w:val="61"/>
    <w:rsid w:val="0024226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4226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24226F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24226F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24226F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rsid w:val="0024226F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24226F"/>
    <w:pPr>
      <w:widowControl w:val="0"/>
      <w:spacing w:before="98" w:after="0" w:line="240" w:lineRule="auto"/>
      <w:ind w:left="1396" w:hanging="180"/>
    </w:pPr>
    <w:rPr>
      <w:rFonts w:ascii="DIN OT" w:eastAsia="DIN OT" w:hAnsi="DIN OT" w:cstheme="minorBidi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4226F"/>
    <w:rPr>
      <w:rFonts w:ascii="DIN OT" w:eastAsia="DIN OT" w:hAnsi="DIN OT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EE41-9F9D-4EAA-8DEB-F0B3F2CE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Intermedia, Inc.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mhobby</dc:creator>
  <cp:lastModifiedBy>Stephen Roe</cp:lastModifiedBy>
  <cp:revision>2</cp:revision>
  <cp:lastPrinted>2010-05-18T15:16:00Z</cp:lastPrinted>
  <dcterms:created xsi:type="dcterms:W3CDTF">2018-04-18T14:09:00Z</dcterms:created>
  <dcterms:modified xsi:type="dcterms:W3CDTF">2018-04-18T14:09:00Z</dcterms:modified>
</cp:coreProperties>
</file>