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Fair Forests Consulting provides the following services for cities that would like to develop Urban Forest Management Plans (or similar plans). We are available for contracting to perform one service, several services, or the entire list.</w:t>
      </w:r>
      <w:r w:rsidDel="00000000" w:rsidR="00000000" w:rsidRPr="00000000">
        <w:rPr>
          <w:rtl w:val="0"/>
        </w:rPr>
      </w:r>
    </w:p>
    <w:p w:rsidR="00000000" w:rsidDel="00000000" w:rsidP="00000000" w:rsidRDefault="00000000" w:rsidRPr="00000000" w14:paraId="00000002">
      <w:pPr>
        <w:spacing w:after="180" w:line="240" w:lineRule="auto"/>
        <w:rPr>
          <w:rFonts w:ascii="Arial" w:cs="Arial" w:eastAsia="Arial" w:hAnsi="Arial"/>
          <w:sz w:val="24"/>
          <w:szCs w:val="24"/>
        </w:rPr>
      </w:pPr>
      <w:r w:rsidDel="00000000" w:rsidR="00000000" w:rsidRPr="00000000">
        <w:rPr>
          <w:rtl w:val="0"/>
        </w:rPr>
      </w:r>
    </w:p>
    <w:tbl>
      <w:tblPr>
        <w:tblStyle w:val="Table1"/>
        <w:tblW w:w="12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6945"/>
        <w:gridCol w:w="960"/>
        <w:gridCol w:w="1110"/>
        <w:tblGridChange w:id="0">
          <w:tblGrid>
            <w:gridCol w:w="3480"/>
            <w:gridCol w:w="6945"/>
            <w:gridCol w:w="960"/>
            <w:gridCol w:w="1110"/>
          </w:tblGrid>
        </w:tblGridChange>
      </w:tblGrid>
      <w:tr>
        <w:trPr>
          <w:cantSplit w:val="0"/>
          <w:tblHeader w:val="0"/>
        </w:trPr>
        <w:tc>
          <w:tcPr/>
          <w:p w:rsidR="00000000" w:rsidDel="00000000" w:rsidP="00000000" w:rsidRDefault="00000000" w:rsidRPr="00000000" w14:paraId="00000003">
            <w:pPr>
              <w:spacing w:after="1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Services</w:t>
            </w:r>
          </w:p>
        </w:tc>
        <w:tc>
          <w:tcPr/>
          <w:p w:rsidR="00000000" w:rsidDel="00000000" w:rsidP="00000000" w:rsidRDefault="00000000" w:rsidRPr="00000000" w14:paraId="00000004">
            <w:pPr>
              <w:spacing w:after="1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Description</w:t>
            </w:r>
          </w:p>
        </w:tc>
        <w:tc>
          <w:tcPr/>
          <w:p w:rsidR="00000000" w:rsidDel="00000000" w:rsidP="00000000" w:rsidRDefault="00000000" w:rsidRPr="00000000" w14:paraId="00000005">
            <w:pPr>
              <w:spacing w:after="1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Hours</w:t>
            </w:r>
          </w:p>
        </w:tc>
        <w:tc>
          <w:tcPr/>
          <w:p w:rsidR="00000000" w:rsidDel="00000000" w:rsidP="00000000" w:rsidRDefault="00000000" w:rsidRPr="00000000" w14:paraId="00000006">
            <w:pPr>
              <w:spacing w:after="1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Cost</w:t>
            </w:r>
          </w:p>
        </w:tc>
      </w:tr>
      <w:tr>
        <w:trPr>
          <w:cantSplit w:val="0"/>
          <w:trHeight w:val="2880" w:hRule="atLeast"/>
          <w:tblHeader w:val="0"/>
        </w:trPr>
        <w:tc>
          <w:tcPr/>
          <w:p w:rsidR="00000000" w:rsidDel="00000000" w:rsidP="00000000" w:rsidRDefault="00000000" w:rsidRPr="00000000" w14:paraId="00000007">
            <w:pPr>
              <w:numPr>
                <w:ilvl w:val="0"/>
                <w:numId w:val="4"/>
              </w:numPr>
              <w:spacing w:after="18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Review previous related plans and community engagement efforts</w:t>
            </w:r>
          </w:p>
        </w:tc>
        <w:tc>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Fair Forests will collect and review all plans that the municipality has created to date that are related to urban forestry (e.g. Climate Resilience Plans, Community Development Plans) to determine:</w:t>
            </w:r>
          </w:p>
          <w:p w:rsidR="00000000" w:rsidDel="00000000" w:rsidP="00000000" w:rsidRDefault="00000000" w:rsidRPr="00000000" w14:paraId="00000009">
            <w:pPr>
              <w:numPr>
                <w:ilvl w:val="0"/>
                <w:numId w:val="5"/>
              </w:numPr>
              <w:spacing w:before="20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Who they have engaged with in the past, and how equitable those engagement efforts have been. </w:t>
            </w:r>
          </w:p>
          <w:p w:rsidR="00000000" w:rsidDel="00000000" w:rsidP="00000000" w:rsidRDefault="00000000" w:rsidRPr="00000000" w14:paraId="0000000A">
            <w:pPr>
              <w:numPr>
                <w:ilvl w:val="0"/>
                <w:numId w:val="5"/>
              </w:numPr>
              <w:spacing w:before="20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Ways to build from previous plans and engagement efforts in the urban forestry planning process.</w:t>
            </w:r>
          </w:p>
        </w:tc>
        <w:tc>
          <w:tcPr/>
          <w:p w:rsidR="00000000" w:rsidDel="00000000" w:rsidP="00000000" w:rsidRDefault="00000000" w:rsidRPr="00000000" w14:paraId="0000000B">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p w:rsidR="00000000" w:rsidDel="00000000" w:rsidP="00000000" w:rsidRDefault="00000000" w:rsidRPr="00000000" w14:paraId="0000000C">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$5,000</w:t>
            </w:r>
          </w:p>
        </w:tc>
      </w:tr>
      <w:tr>
        <w:trPr>
          <w:cantSplit w:val="0"/>
          <w:trHeight w:val="1785" w:hRule="atLeast"/>
          <w:tblHeader w:val="0"/>
        </w:trPr>
        <w:tc>
          <w:tcPr/>
          <w:p w:rsidR="00000000" w:rsidDel="00000000" w:rsidP="00000000" w:rsidRDefault="00000000" w:rsidRPr="00000000" w14:paraId="0000000D">
            <w:pPr>
              <w:numPr>
                <w:ilvl w:val="0"/>
                <w:numId w:val="4"/>
              </w:numPr>
              <w:spacing w:after="18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Community relationship inventory</w:t>
            </w:r>
          </w:p>
        </w:tc>
        <w:tc>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Fair Forests will supplement this document review with interviews conducted with city staff who are leading urban forestry programs. These interviews will allow Fair Forests to understand existing community partnerships and make recommendations about how best to build from previous and ongoing community relationships.</w:t>
            </w:r>
          </w:p>
        </w:tc>
        <w:tc>
          <w:tcPr/>
          <w:p w:rsidR="00000000" w:rsidDel="00000000" w:rsidP="00000000" w:rsidRDefault="00000000" w:rsidRPr="00000000" w14:paraId="0000000F">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10">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$2,500</w:t>
            </w:r>
          </w:p>
        </w:tc>
      </w:tr>
      <w:tr>
        <w:trPr>
          <w:cantSplit w:val="0"/>
          <w:trHeight w:val="1935" w:hRule="atLeast"/>
          <w:tblHeader w:val="0"/>
        </w:trPr>
        <w:tc>
          <w:tcPr/>
          <w:p w:rsidR="00000000" w:rsidDel="00000000" w:rsidP="00000000" w:rsidRDefault="00000000" w:rsidRPr="00000000" w14:paraId="00000011">
            <w:pPr>
              <w:numPr>
                <w:ilvl w:val="0"/>
                <w:numId w:val="4"/>
              </w:numPr>
              <w:spacing w:after="18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 a community engagement plan and methods</w:t>
            </w:r>
          </w:p>
        </w:tc>
        <w:tc>
          <w:tcPr/>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Once the plans have been reviewed and community partners identified, Fair Forests will collaborate with the city and other contractors to develop a community engagement plan and methods. </w:t>
            </w:r>
          </w:p>
          <w:p w:rsidR="00000000" w:rsidDel="00000000" w:rsidP="00000000" w:rsidRDefault="00000000" w:rsidRPr="00000000" w14:paraId="00000013">
            <w:pPr>
              <w:numPr>
                <w:ilvl w:val="0"/>
                <w:numId w:val="2"/>
              </w:numPr>
              <w:spacing w:before="20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This will include the development of surveys and interview questions to ask residents</w:t>
            </w:r>
            <w:r w:rsidDel="00000000" w:rsidR="00000000" w:rsidRPr="00000000">
              <w:rPr>
                <w:rFonts w:ascii="Arial" w:cs="Arial" w:eastAsia="Arial" w:hAnsi="Arial"/>
                <w:sz w:val="24"/>
                <w:szCs w:val="24"/>
                <w:rtl w:val="0"/>
              </w:rPr>
              <w:t xml:space="preserve">. Fair Forests will apply an equity lens to this process that will help to engage diverse audiences and viewpoints. </w:t>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During this phase, Fair Forests will also develop and provide a presentation on Environmental Justice (EJ) and facilitate dialogue on EJ with the city and other contractors. </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presentation will include defining EJ, describing the history of EJ in the area, programs and initiatives, and how an Urban Forest Management Plan can address EJ. </w:t>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20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This step will include several meetings (virtual or in person). </w:t>
            </w:r>
            <w:r w:rsidDel="00000000" w:rsidR="00000000" w:rsidRPr="00000000">
              <w:rPr>
                <w:rtl w:val="0"/>
              </w:rPr>
            </w:r>
          </w:p>
        </w:tc>
        <w:tc>
          <w:tcPr/>
          <w:p w:rsidR="00000000" w:rsidDel="00000000" w:rsidP="00000000" w:rsidRDefault="00000000" w:rsidRPr="00000000" w14:paraId="0000001A">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p w:rsidR="00000000" w:rsidDel="00000000" w:rsidP="00000000" w:rsidRDefault="00000000" w:rsidRPr="00000000" w14:paraId="0000001B">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$7,500</w:t>
            </w:r>
          </w:p>
        </w:tc>
      </w:tr>
      <w:tr>
        <w:trPr>
          <w:cantSplit w:val="0"/>
          <w:trHeight w:val="1935" w:hRule="atLeast"/>
          <w:tblHeader w:val="0"/>
        </w:trPr>
        <w:tc>
          <w:tcPr/>
          <w:p w:rsidR="00000000" w:rsidDel="00000000" w:rsidP="00000000" w:rsidRDefault="00000000" w:rsidRPr="00000000" w14:paraId="0000001C">
            <w:pPr>
              <w:numPr>
                <w:ilvl w:val="0"/>
                <w:numId w:val="4"/>
              </w:numPr>
              <w:spacing w:after="18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Review and integrate</w:t>
            </w:r>
          </w:p>
        </w:tc>
        <w:tc>
          <w:tcPr/>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Fair Forests will review and analyze the feedback from the community and draft recommendations for the urban forest plan to integrate this feedback. </w:t>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numPr>
                <w:ilvl w:val="0"/>
                <w:numId w:val="6"/>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Recommendations will include next steps, best practices, ways to leverage and build from on-going environmental justice efforts, and measures of success. </w:t>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During this phase, Fair Forests will also write applicable portions of the Urban Forest Management Plan (UFMP) and review the proposed UFMP to ensure that EJ considerations are incorporated throughout it.</w:t>
            </w:r>
            <w:r w:rsidDel="00000000" w:rsidR="00000000" w:rsidRPr="00000000">
              <w:rPr>
                <w:rtl w:val="0"/>
              </w:rPr>
            </w:r>
          </w:p>
        </w:tc>
        <w:tc>
          <w:tcPr/>
          <w:p w:rsidR="00000000" w:rsidDel="00000000" w:rsidP="00000000" w:rsidRDefault="00000000" w:rsidRPr="00000000" w14:paraId="00000022">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23">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$6,250</w:t>
            </w:r>
          </w:p>
        </w:tc>
      </w:tr>
      <w:tr>
        <w:trPr>
          <w:cantSplit w:val="0"/>
          <w:trHeight w:val="1202" w:hRule="atLeast"/>
          <w:tblHeader w:val="0"/>
        </w:trPr>
        <w:tc>
          <w:tcPr/>
          <w:p w:rsidR="00000000" w:rsidDel="00000000" w:rsidP="00000000" w:rsidRDefault="00000000" w:rsidRPr="00000000" w14:paraId="00000024">
            <w:pPr>
              <w:numPr>
                <w:ilvl w:val="0"/>
                <w:numId w:val="4"/>
              </w:numPr>
              <w:spacing w:after="18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Follow-up coaching and advice</w:t>
            </w:r>
          </w:p>
        </w:tc>
        <w:tc>
          <w:tcPr/>
          <w:p w:rsidR="00000000" w:rsidDel="00000000" w:rsidP="00000000" w:rsidRDefault="00000000" w:rsidRPr="00000000" w14:paraId="00000025">
            <w:pPr>
              <w:spacing w:after="18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Once above tasks have been completed and deliverables achieved, Fair Forests will provide an additional 3 months of coaching directly with the municipality, via Zoom meetings and/or email communication.</w:t>
            </w:r>
            <w:r w:rsidDel="00000000" w:rsidR="00000000" w:rsidRPr="00000000">
              <w:rPr>
                <w:rtl w:val="0"/>
              </w:rPr>
            </w:r>
          </w:p>
        </w:tc>
        <w:tc>
          <w:tcPr/>
          <w:p w:rsidR="00000000" w:rsidDel="00000000" w:rsidP="00000000" w:rsidRDefault="00000000" w:rsidRPr="00000000" w14:paraId="00000026">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27">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$1,250</w:t>
            </w:r>
          </w:p>
        </w:tc>
      </w:tr>
      <w:tr>
        <w:trPr>
          <w:cantSplit w:val="0"/>
          <w:tblHeader w:val="0"/>
        </w:trPr>
        <w:tc>
          <w:tcPr/>
          <w:p w:rsidR="00000000" w:rsidDel="00000000" w:rsidP="00000000" w:rsidRDefault="00000000" w:rsidRPr="00000000" w14:paraId="00000028">
            <w:pPr>
              <w:spacing w:after="180"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9">
            <w:pPr>
              <w:spacing w:after="18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w:t>
            </w:r>
          </w:p>
        </w:tc>
        <w:tc>
          <w:tcPr/>
          <w:p w:rsidR="00000000" w:rsidDel="00000000" w:rsidP="00000000" w:rsidRDefault="00000000" w:rsidRPr="00000000" w14:paraId="0000002A">
            <w:pPr>
              <w:spacing w:after="1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90</w:t>
            </w:r>
          </w:p>
        </w:tc>
        <w:tc>
          <w:tcPr/>
          <w:p w:rsidR="00000000" w:rsidDel="00000000" w:rsidP="00000000" w:rsidRDefault="00000000" w:rsidRPr="00000000" w14:paraId="0000002B">
            <w:pPr>
              <w:spacing w:after="1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$22,500</w:t>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8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8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8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 for the delivery of the above services will be billed at a rate of $250 per hour. This includes time for two Fair Forests staff members. Travel will be billed at standard per diem rates per day and current air fare rates. Fair Forests Consulting, LLC will submit an invoice for these services upon completion of each task.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8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8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Background of Fair Forests Consulting, LLC</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8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 Christine Carmichael is the award-winning Founder and Principal of Fair Forests Consulting, LLC, which she began in July 2019. She holds a Ph.D. in Forestry with a Specialization in Gender, Justice, and Environmental Change and a Graduate Certificate in Community Engagement from Michigan State University. Dr. Carmichael has published research explaining why 25% of Detroit residents eligible to receive a free street tree between 2011-2014 chose to decline this offer. Her subsequent postdoctoral research at the University of Vermont explored the perspectives of residents in flood-prone and wildfire-affected neighborhoods on the health impacts of climate change and barriers to implementation of green infrastructure strategies to reduce those health impacts.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8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 its inception, Fair Forests Consulting, LLC has partnered with several U.S. cities and urban forestry organizations to develop strategies to achieve environmental justice goals and is well-positioned to maximize the success of these efforts for </w:t>
      </w:r>
      <w:r w:rsidDel="00000000" w:rsidR="00000000" w:rsidRPr="00000000">
        <w:rPr>
          <w:rFonts w:ascii="Arial" w:cs="Arial" w:eastAsia="Arial" w:hAnsi="Arial"/>
          <w:sz w:val="24"/>
          <w:szCs w:val="24"/>
          <w:rtl w:val="0"/>
        </w:rPr>
        <w:t xml:space="preserve">PlanIT Geo</w:t>
      </w:r>
      <w:r w:rsidDel="00000000" w:rsidR="00000000" w:rsidRPr="00000000">
        <w:rPr>
          <w:rFonts w:ascii="Arial" w:cs="Arial" w:eastAsia="Arial" w:hAnsi="Arial"/>
          <w:color w:val="000000"/>
          <w:sz w:val="24"/>
          <w:szCs w:val="24"/>
          <w:rtl w:val="0"/>
        </w:rPr>
        <w:t xml:space="preserve"> through this scope of work. Dr. Carmichael is also a skilled facilitator with expertise in strategic planning and ensuring productive dialogue among diverse groups who have a stake in environmental programs and policies.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80" w:line="240" w:lineRule="auto"/>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Additional information on previous projects completed by Fair Forests Consulting, LLC can be found here: </w:t>
      </w:r>
      <w:hyperlink r:id="rId7">
        <w:r w:rsidDel="00000000" w:rsidR="00000000" w:rsidRPr="00000000">
          <w:rPr>
            <w:rFonts w:ascii="Arial" w:cs="Arial" w:eastAsia="Arial" w:hAnsi="Arial"/>
            <w:color w:val="0563c1"/>
            <w:sz w:val="24"/>
            <w:szCs w:val="24"/>
            <w:u w:val="single"/>
            <w:rtl w:val="0"/>
          </w:rPr>
          <w:t xml:space="preserve">www.fairforests.com</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sectPr>
      <w:headerReference r:id="rId8" w:type="first"/>
      <w:footerReference r:id="rId9" w:type="default"/>
      <w:pgSz w:h="12240" w:w="15840"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tl w:val="0"/>
      </w:rPr>
      <w:t xml:space="preserve">www.fairforests.com</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drawing>
        <wp:inline distB="0" distT="0" distL="0" distR="0">
          <wp:extent cx="2619375" cy="13144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9375" cy="1314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8C3033"/>
    <w:rPr>
      <w:b w:val="1"/>
      <w:bCs w:val="1"/>
    </w:rPr>
  </w:style>
  <w:style w:type="character" w:styleId="CommentSubjectChar" w:customStyle="1">
    <w:name w:val="Comment Subject Char"/>
    <w:basedOn w:val="CommentTextChar"/>
    <w:link w:val="CommentSubject"/>
    <w:uiPriority w:val="99"/>
    <w:semiHidden w:val="1"/>
    <w:rsid w:val="008C3033"/>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airforest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UJpa/WlVZ1/oBbD3X1RCn5i8HA==">CgMxLjA4AHIhMWliN0FiRlZUQTdobkVFcUhQM2JubjF3Y2NnRjRVbEZO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2024-01-19T18:47:00Z</dcterms:created>
</cp:coreProperties>
</file>