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Calibri" w:hAnsi="Calibri"/>
          <w:b/>
          <w:color w:val="003366"/>
          <w:sz w:val="32"/>
        </w:rPr>
        <w:t>Penn Cove Water and Sewer District (#66950)</w:t>
      </w:r>
    </w:p>
    <w:p>
      <w:pPr>
        <w:spacing w:after="200"/>
        <w:jc w:val="center"/>
      </w:pPr>
      <w:r>
        <w:rPr>
          <w:rFonts w:ascii="Calibri" w:hAnsi="Calibri"/>
          <w:i/>
          <w:color w:val="333333"/>
          <w:sz w:val="24"/>
        </w:rPr>
        <w:t>2025 Water Quality Report / Consumer Confidence Report</w:t>
      </w:r>
    </w:p>
    <w:p>
      <w:pPr>
        <w:spacing w:before="120" w:after="60"/>
      </w:pPr>
      <w:r>
        <w:rPr>
          <w:rFonts w:ascii="Calibri" w:hAnsi="Calibri"/>
          <w:b/>
          <w:color w:val="003366"/>
          <w:sz w:val="22"/>
        </w:rPr>
        <w:t>📋 Water Quality Terminology</w:t>
      </w:r>
    </w:p>
    <w:p>
      <w:pPr>
        <w:spacing w:after="160" w:line="276" w:lineRule="auto"/>
      </w:pPr>
      <w:r>
        <w:rPr>
          <w:rFonts w:ascii="Calibri" w:hAnsi="Calibri"/>
          <w:b/>
          <w:color w:val="333333"/>
          <w:sz w:val="19"/>
        </w:rPr>
        <w:t>• MCLG (Maximum Contaminant Level Goal):</w:t>
      </w:r>
      <w:r>
        <w:rPr>
          <w:rFonts w:ascii="Calibri" w:hAnsi="Calibri"/>
          <w:color w:val="333333"/>
          <w:sz w:val="19"/>
        </w:rPr>
        <w:t xml:space="preserve"> Level with no known health risk.</w:t>
      </w:r>
      <w:r>
        <w:rPr>
          <w:rFonts w:ascii="Calibri" w:hAnsi="Calibri"/>
        </w:rPr>
        <w:br/>
      </w:r>
      <w:r>
        <w:rPr>
          <w:rFonts w:ascii="Calibri" w:hAnsi="Calibri"/>
          <w:b/>
          <w:color w:val="333333"/>
          <w:sz w:val="19"/>
        </w:rPr>
        <w:t>• MCL (Maximum Contaminant Level):</w:t>
      </w:r>
      <w:r>
        <w:rPr>
          <w:rFonts w:ascii="Calibri" w:hAnsi="Calibri"/>
          <w:color w:val="333333"/>
          <w:sz w:val="19"/>
        </w:rPr>
        <w:t xml:space="preserve"> Highest level allowed in drinking water.</w:t>
      </w:r>
      <w:r>
        <w:rPr>
          <w:rFonts w:ascii="Calibri" w:hAnsi="Calibri"/>
        </w:rPr>
        <w:br/>
      </w:r>
      <w:r>
        <w:rPr>
          <w:rFonts w:ascii="Calibri" w:hAnsi="Calibri"/>
          <w:b/>
          <w:color w:val="333333"/>
          <w:sz w:val="19"/>
        </w:rPr>
        <w:t>• AL (Action Level):</w:t>
      </w:r>
      <w:r>
        <w:rPr>
          <w:rFonts w:ascii="Calibri" w:hAnsi="Calibri"/>
          <w:color w:val="333333"/>
          <w:sz w:val="19"/>
        </w:rPr>
        <w:t xml:space="preserve"> Triggers treatment requirements.</w:t>
      </w:r>
      <w:r>
        <w:rPr>
          <w:rFonts w:ascii="Calibri" w:hAnsi="Calibri"/>
        </w:rPr>
        <w:br/>
      </w:r>
      <w:r>
        <w:rPr>
          <w:rFonts w:ascii="Calibri" w:hAnsi="Calibri"/>
          <w:b/>
          <w:color w:val="333333"/>
          <w:sz w:val="19"/>
        </w:rPr>
        <w:t>• Units:</w:t>
      </w:r>
      <w:r>
        <w:rPr>
          <w:rFonts w:ascii="Calibri" w:hAnsi="Calibri"/>
          <w:color w:val="333333"/>
          <w:sz w:val="19"/>
        </w:rPr>
        <w:t xml:space="preserve"> ppm/mg/L (milligrams/liter) | ppb/µg/L (micrograms/liter) | ppt/ng/L (nanograms/liter).</w:t>
      </w:r>
    </w:p>
    <w:p>
      <w:pPr>
        <w:spacing w:before="120" w:after="80"/>
      </w:pPr>
      <w:r>
        <w:rPr>
          <w:rFonts w:ascii="Calibri" w:hAnsi="Calibri"/>
          <w:b/>
          <w:color w:val="003366"/>
          <w:sz w:val="22"/>
        </w:rPr>
        <w:t>⚠️ 2025 Violations &amp; Exceedances</w:t>
      </w:r>
    </w:p>
    <w:tbl>
      <w:tblPr>
        <w:tblW w:type="auto" w:w="0"/>
        <w:jc w:val="center"/>
        <w:tblLook w:firstColumn="1" w:firstRow="1" w:lastColumn="0" w:lastRow="0" w:noHBand="0" w:noVBand="1" w:val="04A0"/>
        <w:tblBorders>
          <w:top w:val="single" w:sz="4" w:space="0" w:color="CCCCCC"/>
          <w:bottom w:val="single" w:sz="6" w:space="0" w:color="CCCCCC"/>
          <w:left w:val="none"/>
          <w:right w:val="none"/>
          <w:insideH w:val="single" w:sz="4" w:space="0" w:color="CCCCCC"/>
          <w:insideV w:val="none"/>
        </w:tblBorders>
      </w:tblPr>
      <w:tblGrid>
        <w:gridCol w:w="2700"/>
        <w:gridCol w:w="2700"/>
        <w:gridCol w:w="2700"/>
        <w:gridCol w:w="2700"/>
      </w:tblGrid>
      <w:tr>
        <w:tc>
          <w:tcPr>
            <w:tcW w:type="dxa" w:w="2592"/>
            <w:shd w:fill="003366"/>
            <w:tcMar>
              <w:top w:w="80" w:type="dxa"/>
              <w:bottom w:w="80" w:type="dxa"/>
              <w:left w:w="100" w:type="dxa"/>
              <w:right w:w="100" w:type="dxa"/>
            </w:tcMar>
          </w:tcPr>
          <w:p>
            <w:pPr>
              <w:jc w:val="left"/>
            </w:pPr>
            <w:r>
              <w:rPr>
                <w:rFonts w:ascii="Calibri" w:hAnsi="Calibri"/>
                <w:b/>
                <w:color w:val="FFFFFF"/>
                <w:sz w:val="19"/>
              </w:rPr>
              <w:t>Contaminant</w:t>
            </w:r>
          </w:p>
        </w:tc>
        <w:tc>
          <w:tcPr>
            <w:tcW w:type="dxa" w:w="1584"/>
            <w:shd w:fill="003366"/>
            <w:tcMar>
              <w:top w:w="80" w:type="dxa"/>
              <w:bottom w:w="80" w:type="dxa"/>
              <w:left w:w="100" w:type="dxa"/>
              <w:right w:w="100" w:type="dxa"/>
            </w:tcMar>
          </w:tcPr>
          <w:p>
            <w:pPr>
              <w:jc w:val="right"/>
            </w:pPr>
            <w:r>
              <w:rPr>
                <w:rFonts w:ascii="Calibri" w:hAnsi="Calibri"/>
                <w:b/>
                <w:color w:val="FFFFFF"/>
                <w:sz w:val="19"/>
              </w:rPr>
              <w:t>Limit (MCL)</w:t>
            </w:r>
          </w:p>
        </w:tc>
        <w:tc>
          <w:tcPr>
            <w:tcW w:type="dxa" w:w="3168"/>
            <w:shd w:fill="003366"/>
            <w:tcMar>
              <w:top w:w="80" w:type="dxa"/>
              <w:bottom w:w="80" w:type="dxa"/>
              <w:left w:w="100" w:type="dxa"/>
              <w:right w:w="100" w:type="dxa"/>
            </w:tcMar>
          </w:tcPr>
          <w:p>
            <w:pPr>
              <w:jc w:val="left"/>
            </w:pPr>
            <w:r>
              <w:rPr>
                <w:rFonts w:ascii="Calibri" w:hAnsi="Calibri"/>
                <w:b/>
                <w:color w:val="FFFFFF"/>
                <w:sz w:val="19"/>
              </w:rPr>
              <w:t>2025 Test Results</w:t>
            </w:r>
          </w:p>
        </w:tc>
        <w:tc>
          <w:tcPr>
            <w:tcW w:type="dxa" w:w="3456"/>
            <w:shd w:fill="003366"/>
            <w:tcMar>
              <w:top w:w="80" w:type="dxa"/>
              <w:bottom w:w="80" w:type="dxa"/>
              <w:left w:w="100" w:type="dxa"/>
              <w:right w:w="100" w:type="dxa"/>
            </w:tcMar>
          </w:tcPr>
          <w:p>
            <w:pPr>
              <w:jc w:val="left"/>
            </w:pPr>
            <w:r>
              <w:rPr>
                <w:rFonts w:ascii="Calibri" w:hAnsi="Calibri"/>
                <w:b/>
                <w:color w:val="FFFFFF"/>
                <w:sz w:val="19"/>
              </w:rPr>
              <w:t>Health &amp; Aesthetic Effects</w:t>
            </w:r>
          </w:p>
        </w:tc>
      </w:tr>
      <w:tr>
        <w:tc>
          <w:tcPr>
            <w:tcW w:type="dxa" w:w="2592"/>
            <w:tcMar>
              <w:top w:w="80" w:type="dxa"/>
              <w:bottom w:w="80" w:type="dxa"/>
              <w:left w:w="100" w:type="dxa"/>
              <w:right w:w="100" w:type="dxa"/>
            </w:tcMar>
          </w:tcPr>
          <w:p>
            <w:pPr>
              <w:spacing w:line="264" w:lineRule="auto"/>
              <w:jc w:val="left"/>
            </w:pPr>
            <w:r>
              <w:rPr>
                <w:rFonts w:ascii="Calibri" w:hAnsi="Calibri"/>
                <w:b/>
                <w:color w:val="333333"/>
                <w:sz w:val="18"/>
              </w:rPr>
              <w:t>Total Trihalomethanes</w:t>
              <w:br/>
              <w:t>(TTHM)</w:t>
            </w:r>
          </w:p>
        </w:tc>
        <w:tc>
          <w:tcPr>
            <w:tcW w:type="dxa" w:w="1584"/>
            <w:tcMar>
              <w:top w:w="80" w:type="dxa"/>
              <w:bottom w:w="80" w:type="dxa"/>
              <w:left w:w="100" w:type="dxa"/>
              <w:right w:w="100" w:type="dxa"/>
            </w:tcMar>
          </w:tcPr>
          <w:p>
            <w:pPr>
              <w:spacing w:line="264" w:lineRule="auto"/>
              <w:jc w:val="right"/>
            </w:pPr>
            <w:r>
              <w:rPr>
                <w:rFonts w:ascii="Calibri" w:hAnsi="Calibri"/>
                <w:color w:val="333333"/>
                <w:sz w:val="18"/>
              </w:rPr>
              <w:t>80 µg/L</w:t>
            </w:r>
          </w:p>
        </w:tc>
        <w:tc>
          <w:tcPr>
            <w:tcW w:type="dxa" w:w="3168"/>
            <w:tcMar>
              <w:top w:w="80" w:type="dxa"/>
              <w:bottom w:w="80" w:type="dxa"/>
              <w:left w:w="100" w:type="dxa"/>
              <w:right w:w="100" w:type="dxa"/>
            </w:tcMar>
          </w:tcPr>
          <w:p>
            <w:pPr>
              <w:spacing w:line="264" w:lineRule="auto"/>
              <w:jc w:val="left"/>
            </w:pPr>
            <w:r>
              <w:rPr>
                <w:rFonts w:ascii="Calibri" w:hAnsi="Calibri"/>
                <w:color w:val="333333"/>
                <w:sz w:val="18"/>
              </w:rPr>
              <w:t>• Mar 11: 143 µg/L</w:t>
              <w:br/>
              <w:t>• May 13: 117.1 µg/L</w:t>
              <w:br/>
              <w:t>• Aug 12: 103.2 µg/L</w:t>
              <w:br/>
              <w:t>• Nov 18: 103.7 µg/L</w:t>
            </w:r>
          </w:p>
        </w:tc>
        <w:tc>
          <w:tcPr>
            <w:tcW w:type="dxa" w:w="3456"/>
            <w:tcMar>
              <w:top w:w="80" w:type="dxa"/>
              <w:bottom w:w="80" w:type="dxa"/>
              <w:left w:w="100" w:type="dxa"/>
              <w:right w:w="100" w:type="dxa"/>
            </w:tcMar>
          </w:tcPr>
          <w:p>
            <w:pPr>
              <w:spacing w:line="264" w:lineRule="auto"/>
              <w:jc w:val="left"/>
            </w:pPr>
            <w:r>
              <w:rPr>
                <w:rFonts w:ascii="Calibri" w:hAnsi="Calibri"/>
                <w:color w:val="333333"/>
                <w:sz w:val="18"/>
              </w:rPr>
              <w:t>Violation: Yes. Long-term exposure above MCL may cause liver, kidney, or central nervous system problems, and increased cancer risk.</w:t>
            </w:r>
          </w:p>
        </w:tc>
      </w:tr>
      <w:tr>
        <w:tc>
          <w:tcPr>
            <w:tcW w:type="dxa" w:w="2592"/>
            <w:shd w:fill="F9F9F9"/>
            <w:tcMar>
              <w:top w:w="80" w:type="dxa"/>
              <w:bottom w:w="80" w:type="dxa"/>
              <w:left w:w="100" w:type="dxa"/>
              <w:right w:w="100" w:type="dxa"/>
            </w:tcMar>
          </w:tcPr>
          <w:p>
            <w:pPr>
              <w:spacing w:line="264" w:lineRule="auto"/>
              <w:jc w:val="left"/>
            </w:pPr>
            <w:r>
              <w:rPr>
                <w:rFonts w:ascii="Calibri" w:hAnsi="Calibri"/>
                <w:b/>
                <w:color w:val="333333"/>
                <w:sz w:val="18"/>
              </w:rPr>
              <w:t>Conductivity</w:t>
            </w:r>
          </w:p>
        </w:tc>
        <w:tc>
          <w:tcPr>
            <w:tcW w:type="dxa" w:w="1584"/>
            <w:shd w:fill="F9F9F9"/>
            <w:tcMar>
              <w:top w:w="80" w:type="dxa"/>
              <w:bottom w:w="80" w:type="dxa"/>
              <w:left w:w="100" w:type="dxa"/>
              <w:right w:w="100" w:type="dxa"/>
            </w:tcMar>
          </w:tcPr>
          <w:p>
            <w:pPr>
              <w:spacing w:line="264" w:lineRule="auto"/>
              <w:jc w:val="right"/>
            </w:pPr>
            <w:r>
              <w:rPr>
                <w:rFonts w:ascii="Calibri" w:hAnsi="Calibri"/>
                <w:color w:val="333333"/>
                <w:sz w:val="18"/>
              </w:rPr>
              <w:t>700 µmhos/cm</w:t>
              <w:br/>
              <w:t>(Secondary)</w:t>
            </w:r>
          </w:p>
        </w:tc>
        <w:tc>
          <w:tcPr>
            <w:tcW w:type="dxa" w:w="3168"/>
            <w:shd w:fill="F9F9F9"/>
            <w:tcMar>
              <w:top w:w="80" w:type="dxa"/>
              <w:bottom w:w="80" w:type="dxa"/>
              <w:left w:w="100" w:type="dxa"/>
              <w:right w:w="100" w:type="dxa"/>
            </w:tcMar>
          </w:tcPr>
          <w:p>
            <w:pPr>
              <w:spacing w:line="264" w:lineRule="auto"/>
              <w:jc w:val="left"/>
            </w:pPr>
            <w:r>
              <w:rPr>
                <w:rFonts w:ascii="Calibri" w:hAnsi="Calibri"/>
                <w:color w:val="333333"/>
                <w:sz w:val="18"/>
              </w:rPr>
              <w:t>• Well 2: Apr 848 / Aug 900 µmhos/cm</w:t>
              <w:br/>
              <w:t>• Well 3: Apr 1027 / Aug 1100 µmhos/cm</w:t>
            </w:r>
          </w:p>
        </w:tc>
        <w:tc>
          <w:tcPr>
            <w:tcW w:type="dxa" w:w="3456"/>
            <w:shd w:fill="F9F9F9"/>
            <w:tcMar>
              <w:top w:w="80" w:type="dxa"/>
              <w:bottom w:w="80" w:type="dxa"/>
              <w:left w:w="100" w:type="dxa"/>
              <w:right w:w="100" w:type="dxa"/>
            </w:tcMar>
          </w:tcPr>
          <w:p>
            <w:pPr>
              <w:spacing w:line="264" w:lineRule="auto"/>
              <w:jc w:val="left"/>
            </w:pPr>
            <w:r>
              <w:rPr>
                <w:rFonts w:ascii="Calibri" w:hAnsi="Calibri"/>
                <w:color w:val="333333"/>
                <w:sz w:val="18"/>
              </w:rPr>
              <w:t>Violation: Yes. Aesthetic only; poses no health risk.</w:t>
            </w:r>
          </w:p>
        </w:tc>
      </w:tr>
      <w:tr>
        <w:tc>
          <w:tcPr>
            <w:tcW w:type="dxa" w:w="2592"/>
            <w:tcMar>
              <w:top w:w="80" w:type="dxa"/>
              <w:bottom w:w="80" w:type="dxa"/>
              <w:left w:w="100" w:type="dxa"/>
              <w:right w:w="100" w:type="dxa"/>
            </w:tcMar>
          </w:tcPr>
          <w:p>
            <w:pPr>
              <w:spacing w:line="264" w:lineRule="auto"/>
              <w:jc w:val="left"/>
            </w:pPr>
            <w:r>
              <w:rPr>
                <w:rFonts w:ascii="Calibri" w:hAnsi="Calibri"/>
                <w:b/>
                <w:color w:val="333333"/>
                <w:sz w:val="18"/>
              </w:rPr>
              <w:t>Total Dissolved Solids</w:t>
              <w:br/>
              <w:t>(TDS)</w:t>
            </w:r>
          </w:p>
        </w:tc>
        <w:tc>
          <w:tcPr>
            <w:tcW w:type="dxa" w:w="1584"/>
            <w:tcMar>
              <w:top w:w="80" w:type="dxa"/>
              <w:bottom w:w="80" w:type="dxa"/>
              <w:left w:w="100" w:type="dxa"/>
              <w:right w:w="100" w:type="dxa"/>
            </w:tcMar>
          </w:tcPr>
          <w:p>
            <w:pPr>
              <w:spacing w:line="264" w:lineRule="auto"/>
              <w:jc w:val="right"/>
            </w:pPr>
            <w:r>
              <w:rPr>
                <w:rFonts w:ascii="Calibri" w:hAnsi="Calibri"/>
                <w:color w:val="333333"/>
                <w:sz w:val="18"/>
              </w:rPr>
              <w:t>500 mg/L</w:t>
              <w:br/>
              <w:t>(Secondary)</w:t>
            </w:r>
          </w:p>
        </w:tc>
        <w:tc>
          <w:tcPr>
            <w:tcW w:type="dxa" w:w="3168"/>
            <w:tcMar>
              <w:top w:w="80" w:type="dxa"/>
              <w:bottom w:w="80" w:type="dxa"/>
              <w:left w:w="100" w:type="dxa"/>
              <w:right w:w="100" w:type="dxa"/>
            </w:tcMar>
          </w:tcPr>
          <w:p>
            <w:pPr>
              <w:spacing w:line="264" w:lineRule="auto"/>
              <w:jc w:val="left"/>
            </w:pPr>
            <w:r>
              <w:rPr>
                <w:rFonts w:ascii="Calibri" w:hAnsi="Calibri"/>
                <w:color w:val="333333"/>
                <w:sz w:val="18"/>
              </w:rPr>
              <w:t>• Aug 12: 510 mg/L</w:t>
            </w:r>
          </w:p>
        </w:tc>
        <w:tc>
          <w:tcPr>
            <w:tcW w:type="dxa" w:w="3456"/>
            <w:tcMar>
              <w:top w:w="80" w:type="dxa"/>
              <w:bottom w:w="80" w:type="dxa"/>
              <w:left w:w="100" w:type="dxa"/>
              <w:right w:w="100" w:type="dxa"/>
            </w:tcMar>
          </w:tcPr>
          <w:p>
            <w:pPr>
              <w:spacing w:line="264" w:lineRule="auto"/>
              <w:jc w:val="left"/>
            </w:pPr>
            <w:r>
              <w:rPr>
                <w:rFonts w:ascii="Calibri" w:hAnsi="Calibri"/>
                <w:color w:val="333333"/>
                <w:sz w:val="18"/>
              </w:rPr>
              <w:t>Violation: Yes. Aesthetic only; poses no health risk.</w:t>
            </w:r>
          </w:p>
        </w:tc>
      </w:tr>
    </w:tbl>
    <w:p>
      <w:pPr>
        <w:spacing w:before="80"/>
      </w:pPr>
    </w:p>
    <w:p>
      <w:pPr>
        <w:spacing w:before="80" w:after="60"/>
      </w:pPr>
      <w:r>
        <w:rPr>
          <w:rFonts w:ascii="Calibri" w:hAnsi="Calibri"/>
          <w:b/>
          <w:color w:val="003366"/>
          <w:sz w:val="22"/>
        </w:rPr>
        <w:t>✅ 2025 Tests Passed</w:t>
      </w:r>
    </w:p>
    <w:p>
      <w:pPr>
        <w:spacing w:after="160" w:line="276" w:lineRule="auto"/>
      </w:pPr>
      <w:r>
        <w:rPr>
          <w:rFonts w:ascii="Calibri" w:hAnsi="Calibri"/>
          <w:b/>
          <w:color w:val="333333"/>
          <w:sz w:val="19"/>
        </w:rPr>
        <w:t>• Total Coliform (MCL: 0 positive samples/month) | Violation: No</w:t>
        <w:br/>
      </w:r>
      <w:r>
        <w:rPr>
          <w:rFonts w:ascii="Calibri" w:hAnsi="Calibri"/>
          <w:i/>
          <w:color w:val="333333"/>
          <w:sz w:val="18"/>
        </w:rPr>
        <w:t xml:space="preserve">  All monthly samples: Absent /100ml</w:t>
        <w:br/>
      </w:r>
      <w:r>
        <w:rPr>
          <w:rFonts w:ascii="Calibri" w:hAnsi="Calibri"/>
          <w:b/>
          <w:color w:val="333333"/>
          <w:sz w:val="19"/>
        </w:rPr>
        <w:t>• Haloacetic Acids (HAA5) (MCL: 60 µg/L) | Violation: No</w:t>
        <w:br/>
      </w:r>
      <w:r>
        <w:rPr>
          <w:rFonts w:ascii="Calibri" w:hAnsi="Calibri"/>
          <w:i/>
          <w:color w:val="333333"/>
          <w:sz w:val="18"/>
        </w:rPr>
        <w:t xml:space="preserve">  Mar 11: 42.5 µg/L  |  May 13: 38.6 µg/L  |  Aug 12: 42.6 µg/L  |  Nov 18: 5.3 µg/L</w:t>
      </w:r>
    </w:p>
    <w:p>
      <w:pPr>
        <w:spacing w:before="80" w:after="60"/>
      </w:pPr>
      <w:r>
        <w:rPr>
          <w:rFonts w:ascii="Calibri" w:hAnsi="Calibri"/>
          <w:b/>
          <w:color w:val="003366"/>
          <w:sz w:val="22"/>
        </w:rPr>
        <w:t>ℹ️ Important Health Information</w:t>
      </w:r>
    </w:p>
    <w:p>
      <w:pPr>
        <w:spacing w:after="160" w:line="276" w:lineRule="auto"/>
      </w:pPr>
      <w:r>
        <w:rPr>
          <w:rFonts w:ascii="Calibri" w:hAnsi="Calibri"/>
          <w:b/>
          <w:color w:val="333333"/>
          <w:sz w:val="19"/>
        </w:rPr>
        <w:t xml:space="preserve">Vulnerable Populations: </w:t>
      </w:r>
      <w:r>
        <w:rPr>
          <w:rFonts w:ascii="Calibri" w:hAnsi="Calibri"/>
          <w:color w:val="333333"/>
          <w:sz w:val="19"/>
        </w:rPr>
        <w:t xml:space="preserve">Some people may be more vulnerable to contaminants in drinking water than the general population (including immunocompromised individuals, the elderly, and infants). Please seek advice from your health care provider. </w:t>
      </w:r>
      <w:r>
        <w:rPr>
          <w:rFonts w:ascii="Calibri" w:hAnsi="Calibri"/>
          <w:b/>
          <w:color w:val="003366"/>
          <w:sz w:val="19"/>
        </w:rPr>
        <w:t>Safe Drinking Water Hotline: 800-426-4791.</w:t>
        <w:br/>
        <w:br/>
      </w:r>
      <w:r>
        <w:rPr>
          <w:rFonts w:ascii="Calibri" w:hAnsi="Calibri"/>
          <w:b/>
          <w:color w:val="333333"/>
          <w:sz w:val="19"/>
        </w:rPr>
        <w:t xml:space="preserve">Lead and Copper: </w:t>
      </w:r>
      <w:r>
        <w:rPr>
          <w:rFonts w:ascii="Calibri" w:hAnsi="Calibri"/>
          <w:color w:val="333333"/>
          <w:sz w:val="19"/>
        </w:rPr>
        <w:t xml:space="preserve">Elevated lead levels can cause serious health problems, especially for pregnant women and young children. If water has sat in your pipes for several hours, flush your tap for 30 seconds to 2 minutes before drinking. More information: </w:t>
      </w:r>
      <w:r>
        <w:rPr>
          <w:rFonts w:ascii="Calibri" w:hAnsi="Calibri"/>
          <w:color w:val="003366"/>
          <w:sz w:val="19"/>
          <w:u w:val="single"/>
        </w:rPr>
        <w:t>epa.gov/safewater/lead</w:t>
      </w:r>
    </w:p>
    <w:p>
      <w:pPr>
        <w:spacing w:before="120" w:after="60"/>
      </w:pPr>
      <w:r>
        <w:rPr>
          <w:rFonts w:ascii="Calibri" w:hAnsi="Calibri"/>
          <w:b/>
          <w:color w:val="003366"/>
          <w:sz w:val="22"/>
        </w:rPr>
        <w:t>📞 Contact &amp; Resources</w:t>
      </w:r>
    </w:p>
    <w:p>
      <w:pPr>
        <w:spacing w:after="0" w:line="276" w:lineRule="auto"/>
      </w:pPr>
      <w:r>
        <w:rPr>
          <w:rFonts w:ascii="Calibri" w:hAnsi="Calibri"/>
          <w:b/>
          <w:sz w:val="19"/>
        </w:rPr>
        <w:t xml:space="preserve">• Phone: </w:t>
      </w:r>
      <w:r>
        <w:rPr>
          <w:rFonts w:ascii="Calibri" w:hAnsi="Calibri"/>
          <w:sz w:val="19"/>
        </w:rPr>
        <w:t xml:space="preserve">360-679-4908  |  </w:t>
      </w:r>
      <w:r>
        <w:rPr>
          <w:rFonts w:ascii="Calibri" w:hAnsi="Calibri"/>
          <w:b/>
          <w:sz w:val="19"/>
        </w:rPr>
        <w:t xml:space="preserve">• Email: </w:t>
      </w:r>
      <w:r>
        <w:rPr>
          <w:rFonts w:ascii="Calibri" w:hAnsi="Calibri"/>
          <w:sz w:val="19"/>
        </w:rPr>
        <w:t>penncovewater@gmail.com</w:t>
        <w:br/>
      </w:r>
      <w:r>
        <w:rPr>
          <w:rFonts w:ascii="Calibri" w:hAnsi="Calibri"/>
          <w:b/>
          <w:sz w:val="19"/>
        </w:rPr>
        <w:t xml:space="preserve">• Official Lab Results Online: </w:t>
      </w:r>
      <w:r>
        <w:rPr>
          <w:rFonts w:ascii="Calibri" w:hAnsi="Calibri"/>
          <w:color w:val="003366"/>
          <w:sz w:val="19"/>
          <w:u w:val="single"/>
        </w:rPr>
        <w:t>https://fortress.wa.gov/doh/eh/portal/odw/si/Intro.aspx</w:t>
      </w:r>
      <w:r>
        <w:rPr>
          <w:rFonts w:ascii="Calibri" w:hAnsi="Calibri"/>
          <w:i/>
          <w:sz w:val="19"/>
        </w:rPr>
        <w:t xml:space="preserve"> (Search: "sentry doh")</w:t>
      </w:r>
    </w:p>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