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800" w:type="dxa"/>
        <w:jc w:val="left"/>
        <w:tblInd w:w="200" w:type="dxa"/>
        <w:tblLayout w:type="fixed"/>
        <w:tblCellMar>
          <w:top w:w="160" w:type="dxa"/>
          <w:left w:w="200" w:type="dxa"/>
          <w:bottom w:w="160" w:type="dxa"/>
          <w:right w:w="100" w:type="dxa"/>
        </w:tblCellMar>
      </w:tblPr>
      <w:tblGrid>
        <w:gridCol w:w="1398"/>
        <w:gridCol w:w="5900"/>
        <w:gridCol w:w="3502"/>
      </w:tblGrid>
      <w:tr>
        <w:trPr/>
        <w:tc>
          <w:tcPr>
            <w:tcW w:w="1398" w:type="dxa"/>
            <w:tcBorders/>
            <w:shd w:fill="1F4E79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644525" cy="60325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0" w:type="dxa"/>
            <w:tcBorders/>
            <w:shd w:fill="1F4E79" w:val="clear"/>
            <w:tcMar>
              <w:left w:w="100" w:type="dxa"/>
            </w:tcMar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FFFFFF"/>
                <w:sz w:val="34"/>
                <w:szCs w:val="34"/>
              </w:rPr>
              <w:t>ANOVIA ESTATES</w:t>
            </w:r>
          </w:p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i/>
                <w:iCs/>
                <w:color w:val="D7E0EA"/>
                <w:sz w:val="17"/>
                <w:szCs w:val="17"/>
              </w:rPr>
              <w:t>Real Estate Market Intelligence &amp; Federal Contracting</w:t>
            </w:r>
          </w:p>
        </w:tc>
        <w:tc>
          <w:tcPr>
            <w:tcW w:w="3502" w:type="dxa"/>
            <w:tcBorders/>
            <w:shd w:fill="1F4E79" w:val="clear"/>
            <w:tcMar>
              <w:left w:w="100" w:type="dxa"/>
              <w:right w:w="200" w:type="dxa"/>
            </w:tcMar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eastAsia="Calibri" w:cs="Calibri" w:ascii="Calibri" w:hAnsi="Calibri"/>
                <w:b/>
                <w:bCs/>
                <w:color w:val="FFFFFF"/>
                <w:sz w:val="20"/>
                <w:szCs w:val="20"/>
              </w:rPr>
              <w:t>CAPABILITY STATEMENT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tbl>
      <w:tblPr>
        <w:tblW w:w="10800" w:type="dxa"/>
        <w:jc w:val="left"/>
        <w:tblInd w:w="0" w:type="dxa"/>
        <w:tblLayout w:type="fixed"/>
        <w:tblCellMar>
          <w:top w:w="120" w:type="dxa"/>
          <w:left w:w="0" w:type="dxa"/>
          <w:bottom w:w="0" w:type="dxa"/>
          <w:right w:w="260" w:type="dxa"/>
        </w:tblCellMar>
      </w:tblPr>
      <w:tblGrid>
        <w:gridCol w:w="6298"/>
        <w:gridCol w:w="4502"/>
      </w:tblGrid>
      <w:tr>
        <w:trPr/>
        <w:tc>
          <w:tcPr>
            <w:tcW w:w="6298" w:type="dxa"/>
            <w:tcBorders/>
          </w:tcPr>
          <w:p>
            <w:pPr>
              <w:pStyle w:val="Normal"/>
              <w:pBdr>
                <w:bottom w:val="single" w:sz="6" w:space="4" w:color="1F4E79"/>
              </w:pBdr>
              <w:spacing w:before="220" w:after="100"/>
              <w:rPr/>
            </w:pPr>
            <w:r>
              <w:rPr>
                <w:rFonts w:eastAsia="Calibri" w:cs="Calibri" w:ascii="Calibri" w:hAnsi="Calibri"/>
                <w:b/>
                <w:bCs/>
                <w:color w:val="1F4E79"/>
                <w:sz w:val="20"/>
                <w:szCs w:val="20"/>
              </w:rPr>
              <w:t>ABOUT US</w:t>
            </w:r>
          </w:p>
          <w:p>
            <w:pPr>
              <w:pStyle w:val="Normal"/>
              <w:spacing w:lineRule="auto" w:line="264" w:before="0" w:after="14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Anovia Estates is an analytical consulting firm specializing in market intelligence, demographic assessment, and structured research reporting. The firm supports private-sector and public-sector clients by translating complex economic and market data into clear, decision-ready insight.</w:t>
            </w:r>
          </w:p>
          <w:p>
            <w:pPr>
              <w:pStyle w:val="Normal"/>
              <w:spacing w:lineRule="auto" w:line="264" w:before="0" w:after="14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Through disciplined research methodology and compliance-aware documentation practices, Anovia Estates delivers structured analytical products designed to support feasibility evaluation, expansion planning, and procurement decision-making. The firm operates with a lean, responsive model that prioritizes accuracy, clarity, and regulatory alignment.</w:t>
            </w:r>
          </w:p>
          <w:p>
            <w:pPr>
              <w:pStyle w:val="Normal"/>
              <w:pBdr>
                <w:bottom w:val="single" w:sz="6" w:space="4" w:color="1F4E79"/>
              </w:pBdr>
              <w:spacing w:before="220" w:after="100"/>
              <w:rPr/>
            </w:pPr>
            <w:r>
              <w:rPr>
                <w:rFonts w:eastAsia="Calibri" w:cs="Calibri" w:ascii="Calibri" w:hAnsi="Calibri"/>
                <w:b/>
                <w:bCs/>
                <w:color w:val="1F4E79"/>
                <w:sz w:val="20"/>
                <w:szCs w:val="20"/>
              </w:rPr>
              <w:t>CORE COMPETENCIES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7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Real Estate Data Analytics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7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Strategic Market Entry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7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Demographic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7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Agile Software Development</w:t>
            </w:r>
          </w:p>
          <w:p>
            <w:pPr>
              <w:pStyle w:val="Normal"/>
              <w:pBdr>
                <w:bottom w:val="single" w:sz="6" w:space="4" w:color="1F4E79"/>
              </w:pBdr>
              <w:spacing w:before="220" w:after="100"/>
              <w:rPr/>
            </w:pPr>
            <w:r>
              <w:rPr>
                <w:rFonts w:eastAsia="Calibri" w:cs="Calibri" w:ascii="Calibri" w:hAnsi="Calibri"/>
                <w:b/>
                <w:bCs/>
                <w:color w:val="1F4E79"/>
                <w:sz w:val="20"/>
                <w:szCs w:val="20"/>
              </w:rPr>
              <w:t>DIFFERENTIATORS</w:t>
            </w:r>
          </w:p>
          <w:p>
            <w:pPr>
              <w:pStyle w:val="Normal"/>
              <w:spacing w:before="10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16324F"/>
                <w:sz w:val="19"/>
                <w:szCs w:val="19"/>
              </w:rPr>
              <w:t>1. Structured Analytical Methodology</w:t>
            </w:r>
          </w:p>
          <w:p>
            <w:pPr>
              <w:pStyle w:val="Normal"/>
              <w:spacing w:lineRule="auto" w:line="252" w:before="0" w:after="60"/>
              <w:rPr/>
            </w:pP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Rather than relying on surface-level reporting, Anovia Estates utilizes a structured approach to demographic and economic synthesis that translates multi-source data into decision-ready outputs.</w:t>
            </w:r>
          </w:p>
          <w:p>
            <w:pPr>
              <w:pStyle w:val="Normal"/>
              <w:spacing w:before="10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16324F"/>
                <w:sz w:val="19"/>
                <w:szCs w:val="19"/>
              </w:rPr>
              <w:t>2. Low Overhead, High Responsiveness</w:t>
            </w:r>
          </w:p>
          <w:p>
            <w:pPr>
              <w:pStyle w:val="Normal"/>
              <w:spacing w:lineRule="auto" w:line="252" w:before="0" w:after="60"/>
              <w:rPr/>
            </w:pP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As a lean analytical operation, the firm can operate with minimal bureaucratic lag, allowing for agile response to RFQs and task-based requirements.</w:t>
            </w:r>
          </w:p>
          <w:p>
            <w:pPr>
              <w:pStyle w:val="Normal"/>
              <w:spacing w:before="10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16324F"/>
                <w:sz w:val="19"/>
                <w:szCs w:val="19"/>
              </w:rPr>
              <w:t>3. Government Procurement Literacy</w:t>
            </w:r>
          </w:p>
          <w:p>
            <w:pPr>
              <w:pStyle w:val="Normal"/>
              <w:spacing w:lineRule="auto" w:line="252" w:before="0" w:after="60"/>
              <w:rPr/>
            </w:pP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Active engagement in acquisition literacy training and structured understanding of FAR-based environments allows the firm to operate within compliance frameworks rather than learning through error.</w:t>
            </w:r>
          </w:p>
          <w:p>
            <w:pPr>
              <w:pStyle w:val="Normal"/>
              <w:spacing w:before="10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16324F"/>
                <w:sz w:val="19"/>
                <w:szCs w:val="19"/>
              </w:rPr>
              <w:t>4. Integrated Private and Public Sector Awareness</w:t>
            </w:r>
          </w:p>
          <w:p>
            <w:pPr>
              <w:pStyle w:val="Normal"/>
              <w:spacing w:lineRule="auto" w:line="252" w:before="0" w:after="60"/>
              <w:rPr/>
            </w:pP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Experience working in both investor-oriented and compliance-based environments allows the firm to translate analytical findings into formats suitable for procurement documentation and structured reporting.</w:t>
            </w:r>
          </w:p>
        </w:tc>
        <w:tc>
          <w:tcPr>
            <w:tcW w:w="4502" w:type="dxa"/>
            <w:tcBorders>
              <w:left w:val="single" w:sz="4" w:space="0" w:color="C9D3DC"/>
            </w:tcBorders>
            <w:tcMar>
              <w:left w:w="260" w:type="dxa"/>
              <w:right w:w="0" w:type="dxa"/>
            </w:tcMar>
          </w:tcPr>
          <w:p>
            <w:pPr>
              <w:pStyle w:val="Normal"/>
              <w:pBdr>
                <w:bottom w:val="single" w:sz="6" w:space="4" w:color="1F4E79"/>
              </w:pBdr>
              <w:spacing w:before="220" w:after="100"/>
              <w:rPr/>
            </w:pPr>
            <w:r>
              <w:rPr>
                <w:rFonts w:eastAsia="Calibri" w:cs="Calibri" w:ascii="Calibri" w:hAnsi="Calibri"/>
                <w:b/>
                <w:bCs/>
                <w:color w:val="1F4E79"/>
                <w:sz w:val="20"/>
                <w:szCs w:val="20"/>
              </w:rPr>
              <w:t>PAST PERFORMANCE</w:t>
            </w:r>
          </w:p>
          <w:p>
            <w:pPr>
              <w:pStyle w:val="Normal"/>
              <w:spacing w:lineRule="auto" w:line="264" w:before="0" w:after="140"/>
              <w:rPr/>
            </w:pPr>
            <w:r>
              <w:rPr>
                <w:rFonts w:eastAsia="Calibri" w:cs="Calibri" w:ascii="Calibri" w:hAnsi="Calibri"/>
                <w:color w:val="3B3B3B"/>
                <w:sz w:val="19"/>
                <w:szCs w:val="19"/>
              </w:rPr>
              <w:t>Anovia Estates has demonstrated experience within the private sector through structured demographic and market analysis assignments supporting independent contractors and commercial clients.</w:t>
            </w:r>
          </w:p>
          <w:p>
            <w:pPr>
              <w:pStyle w:val="Normal"/>
              <w:spacing w:before="80" w:after="20"/>
              <w:rPr/>
            </w:pPr>
            <w:r>
              <w:rPr>
                <w:rFonts w:eastAsia="Calibri" w:cs="Calibri" w:ascii="Calibri" w:hAnsi="Calibri"/>
                <w:b/>
                <w:bCs/>
                <w:color w:val="16324F"/>
                <w:sz w:val="18"/>
                <w:szCs w:val="18"/>
              </w:rPr>
              <w:t>3 Independent Commercial Development Contractor — Market Expansion Analysis</w:t>
            </w:r>
          </w:p>
          <w:p>
            <w:pPr>
              <w:pStyle w:val="Normal"/>
              <w:spacing w:lineRule="auto" w:line="250" w:before="0" w:after="60"/>
              <w:rPr/>
            </w:pPr>
            <w:r>
              <w:rPr>
                <w:rFonts w:eastAsia="Calibri" w:cs="Calibri" w:ascii="Calibri" w:hAnsi="Calibri"/>
                <w:b/>
                <w:bCs/>
                <w:color w:val="3B3B3B"/>
                <w:sz w:val="18"/>
                <w:szCs w:val="18"/>
              </w:rPr>
              <w:t xml:space="preserve">Type: </w:t>
            </w: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Commercial Engagement and Demographic Assessment Services</w:t>
            </w:r>
          </w:p>
          <w:p>
            <w:pPr>
              <w:pStyle w:val="Normal"/>
              <w:spacing w:lineRule="auto" w:line="250" w:before="0" w:after="60"/>
              <w:rPr/>
            </w:pPr>
            <w:r>
              <w:rPr>
                <w:rFonts w:eastAsia="Calibri" w:cs="Calibri" w:ascii="Calibri" w:hAnsi="Calibri"/>
                <w:b/>
                <w:bCs/>
                <w:color w:val="3B3B3B"/>
                <w:sz w:val="18"/>
                <w:szCs w:val="18"/>
              </w:rPr>
              <w:t xml:space="preserve">Scope: </w:t>
            </w: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Provided structured demographic and market analysis to support evaluation of expansion into a new geographic service area.</w:t>
            </w:r>
          </w:p>
          <w:p>
            <w:pPr>
              <w:pStyle w:val="Normal"/>
              <w:spacing w:lineRule="auto" w:line="250" w:before="0" w:after="200"/>
              <w:rPr/>
            </w:pPr>
            <w:r>
              <w:rPr>
                <w:rFonts w:eastAsia="Calibri" w:cs="Calibri" w:ascii="Calibri" w:hAnsi="Calibri"/>
                <w:b/>
                <w:bCs/>
                <w:color w:val="3B3B3B"/>
                <w:sz w:val="18"/>
                <w:szCs w:val="18"/>
              </w:rPr>
              <w:t xml:space="preserve">Performed: </w:t>
            </w:r>
            <w:r>
              <w:rPr>
                <w:rFonts w:eastAsia="Calibri" w:cs="Calibri" w:ascii="Calibri" w:hAnsi="Calibri"/>
                <w:color w:val="3B3B3B"/>
                <w:sz w:val="18"/>
                <w:szCs w:val="18"/>
              </w:rPr>
              <w:t>Conducted population trend analysis, economic indicator review, and market density evaluation. Synthesized publicly available data into a decision-ready assessment packet tailored to the client's operational objectives.</w:t>
            </w:r>
          </w:p>
          <w:tbl>
            <w:tblPr>
              <w:tblW w:w="3450" w:type="dxa"/>
              <w:jc w:val="left"/>
              <w:tblInd w:w="0" w:type="dxa"/>
              <w:tblLayout w:type="fixed"/>
              <w:tblCellMar>
                <w:top w:w="160" w:type="dxa"/>
                <w:left w:w="180" w:type="dxa"/>
                <w:bottom w:w="160" w:type="dxa"/>
                <w:right w:w="180" w:type="dxa"/>
              </w:tblCellMar>
            </w:tblPr>
            <w:tblGrid>
              <w:gridCol w:w="3450"/>
            </w:tblGrid>
            <w:tr>
              <w:trPr/>
              <w:tc>
                <w:tcPr>
                  <w:tcW w:w="3450" w:type="dxa"/>
                  <w:tcBorders>
                    <w:top w:val="single" w:sz="4" w:space="0" w:color="C9D3DC"/>
                    <w:left w:val="single" w:sz="4" w:space="0" w:color="C9D3DC"/>
                    <w:bottom w:val="single" w:sz="4" w:space="0" w:color="C9D3DC"/>
                    <w:right w:val="single" w:sz="4" w:space="0" w:color="C9D3DC"/>
                  </w:tcBorders>
                  <w:shd w:fill="F2F5F8" w:val="clear"/>
                </w:tcPr>
                <w:p>
                  <w:pPr>
                    <w:pStyle w:val="Normal"/>
                    <w:spacing w:before="0" w:after="100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F4E79"/>
                      <w:sz w:val="18"/>
                      <w:szCs w:val="18"/>
                    </w:rPr>
                    <w:t>COMPANY DATA</w:t>
                  </w:r>
                </w:p>
                <w:p>
                  <w:pPr>
                    <w:pStyle w:val="Normal"/>
                    <w:spacing w:before="0" w:after="60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CAGE Code: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18F23</w:t>
                  </w:r>
                </w:p>
                <w:p>
                  <w:pPr>
                    <w:pStyle w:val="Normal"/>
                    <w:spacing w:before="0" w:after="60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UEI: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LH8EZUKSYT96</w:t>
                  </w:r>
                </w:p>
                <w:p>
                  <w:pPr>
                    <w:pStyle w:val="Normal"/>
                    <w:spacing w:before="100" w:after="60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>NAICS Codes</w:t>
                  </w:r>
                </w:p>
                <w:p>
                  <w:pPr>
                    <w:pStyle w:val="Normal"/>
                    <w:spacing w:before="0" w:after="45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531390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– Other Activities Related to Real Estate</w:t>
                  </w:r>
                </w:p>
                <w:p>
                  <w:pPr>
                    <w:pStyle w:val="Normal"/>
                    <w:spacing w:before="0" w:after="45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541611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– Admin &amp; General Management Consulting</w:t>
                  </w:r>
                </w:p>
                <w:p>
                  <w:pPr>
                    <w:pStyle w:val="Normal"/>
                    <w:spacing w:before="0" w:after="45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541990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– All Other Professional &amp; Technical Services</w:t>
                  </w:r>
                </w:p>
                <w:p>
                  <w:pPr>
                    <w:pStyle w:val="Normal"/>
                    <w:spacing w:before="0" w:after="45"/>
                    <w:rPr/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 xml:space="preserve">541690 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– Other Scientific and Technical Consulting Services</w:t>
                  </w:r>
                </w:p>
                <w:p>
                  <w:pPr>
                    <w:pStyle w:val="Normal"/>
                    <w:spacing w:before="0" w:after="45"/>
                    <w:rPr>
                      <w:rFonts w:ascii="Calibri" w:hAnsi="Calibri" w:eastAsia="Calibri" w:cs="Calibri"/>
                      <w:color w:val="3B3B3B"/>
                      <w:sz w:val="18"/>
                      <w:szCs w:val="18"/>
                    </w:rPr>
                  </w:pP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>423850</w:t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>– Service Establishment Equipment and Supplies Merchant Wholesalers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16324F"/>
                      <w:sz w:val="18"/>
                      <w:szCs w:val="18"/>
                    </w:rPr>
                    <w:t>531311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Residential Property Managers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541612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Human Resources Consulting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541618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Other Management Consulting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561110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Office Administrative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561210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Facilities Support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561320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Temporary Help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561720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Janitorial Services</w:t>
                    <w:br/>
                  </w:r>
                  <w:r>
                    <w:rPr>
                      <w:rFonts w:eastAsia="Calibri" w:cs="Calibri" w:ascii="Calibri" w:hAnsi="Calibri"/>
                      <w:b/>
                      <w:bCs/>
                      <w:color w:val="3B3B3B"/>
                      <w:sz w:val="18"/>
                      <w:szCs w:val="18"/>
                    </w:rPr>
                    <w:t>561730</w:t>
                  </w:r>
                  <w:r>
                    <w:rPr>
                      <w:rFonts w:eastAsia="Calibri" w:cs="Calibri" w:ascii="Calibri" w:hAnsi="Calibri"/>
                      <w:color w:val="3B3B3B"/>
                      <w:sz w:val="18"/>
                      <w:szCs w:val="18"/>
                    </w:rPr>
                    <w:t xml:space="preserve"> – Landscaping Services 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160" w:after="0"/>
        <w:rPr/>
      </w:pPr>
      <w:r>
        <w:rPr/>
      </w:r>
    </w:p>
    <w:tbl>
      <w:tblPr>
        <w:tblW w:w="10800" w:type="dxa"/>
        <w:jc w:val="left"/>
        <w:tblInd w:w="200" w:type="dxa"/>
        <w:tblLayout w:type="fixed"/>
        <w:tblCellMar>
          <w:top w:w="140" w:type="dxa"/>
          <w:left w:w="200" w:type="dxa"/>
          <w:bottom w:w="140" w:type="dxa"/>
          <w:right w:w="100" w:type="dxa"/>
        </w:tblCellMar>
      </w:tblPr>
      <w:tblGrid>
        <w:gridCol w:w="5400"/>
        <w:gridCol w:w="5400"/>
      </w:tblGrid>
      <w:tr>
        <w:trPr/>
        <w:tc>
          <w:tcPr>
            <w:tcW w:w="5400" w:type="dxa"/>
            <w:tcBorders/>
            <w:shd w:fill="1F4E79" w:val="clear"/>
            <w:vAlign w:val="center"/>
          </w:tcPr>
          <w:p>
            <w:pPr>
              <w:pStyle w:val="Normal"/>
              <w:spacing w:before="0" w:after="30"/>
              <w:rPr/>
            </w:pPr>
            <w:r>
              <w:rPr>
                <w:rFonts w:eastAsia="Calibri" w:cs="Calibri" w:ascii="Calibri" w:hAnsi="Calibri"/>
                <w:b/>
                <w:bCs/>
                <w:color w:val="FFFFFF"/>
                <w:sz w:val="17"/>
                <w:szCs w:val="17"/>
              </w:rPr>
              <w:t>POINT OF CONTACT</w:t>
            </w:r>
          </w:p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color w:val="D7E0EA"/>
                <w:sz w:val="17"/>
                <w:szCs w:val="17"/>
              </w:rPr>
              <w:t xml:space="preserve">Howard E. Hansel, </w:t>
            </w:r>
            <w:r>
              <w:rPr>
                <w:rFonts w:eastAsia="Calibri" w:cs="Calibri" w:ascii="Calibri" w:hAnsi="Calibri"/>
                <w:color w:val="D7E0EA"/>
                <w:sz w:val="17"/>
                <w:szCs w:val="17"/>
              </w:rPr>
              <w:t>Director/Founder</w:t>
            </w:r>
          </w:p>
        </w:tc>
        <w:tc>
          <w:tcPr>
            <w:tcW w:w="5400" w:type="dxa"/>
            <w:tcBorders/>
            <w:shd w:fill="1F4E79" w:val="clear"/>
            <w:tcMar>
              <w:left w:w="100" w:type="dxa"/>
              <w:right w:w="200" w:type="dxa"/>
            </w:tcMar>
            <w:vAlign w:val="center"/>
          </w:tcPr>
          <w:p>
            <w:pPr>
              <w:pStyle w:val="Normal"/>
              <w:spacing w:before="0" w:after="30"/>
              <w:jc w:val="right"/>
              <w:rPr/>
            </w:pPr>
            <w:r>
              <w:rPr>
                <w:rFonts w:eastAsia="Calibri" w:cs="Calibri" w:ascii="Calibri" w:hAnsi="Calibri"/>
                <w:color w:val="D7E0EA"/>
                <w:sz w:val="17"/>
                <w:szCs w:val="17"/>
              </w:rPr>
              <w:t>(442) 866-4914   |   ceo.estates@anoviaestates.org</w:t>
            </w:r>
          </w:p>
          <w:p>
            <w:pPr>
              <w:pStyle w:val="Normal"/>
              <w:jc w:val="right"/>
              <w:rPr/>
            </w:pPr>
            <w:r>
              <w:rPr>
                <w:rFonts w:eastAsia="Calibri" w:cs="Calibri" w:ascii="Calibri" w:hAnsi="Calibri"/>
                <w:b/>
                <w:bCs/>
                <w:color w:val="FFFFFF"/>
                <w:sz w:val="17"/>
                <w:szCs w:val="17"/>
              </w:rPr>
              <w:t>www.anoviaestates.org</w:t>
            </w:r>
          </w:p>
        </w:tc>
      </w:tr>
    </w:tbl>
    <w:sectPr>
      <w:type w:val="nextPage"/>
      <w:pgSz w:w="12240" w:h="15840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260" w:hanging="190"/>
      </w:pPr>
      <w:rPr>
        <w:rFonts w:ascii="Symbol" w:hAnsi="Symbol" w:cs="Symbol" w:hint="default"/>
        <w:color w:val="1F4E79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260" w:hanging="190"/>
      </w:pPr>
      <w:rPr>
        <w:rFonts w:ascii="Symbol" w:hAnsi="Symbol" w:cs="Symbol" w:hint="default"/>
        <w:color w:val="1F4E79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LibreOffice/26.2.5.2$Windows_X86_64 LibreOffice_project/cd7284b4cbbfeb507e630c1aac019f4157393acb</Application>
  <AppVersion>15.0000</AppVersion>
  <Pages>1</Pages>
  <Words>394</Words>
  <Characters>2860</Characters>
  <CharactersWithSpaces>3236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2026-07-22T14:17:05Z</dcterms:created>
  <dc:creator>Un-named</dc:creator>
  <dc:description/>
  <dc:language>en-US</dc:language>
  <cp:lastModifiedBy/>
  <dcterms:modified xsi:type="dcterms:W3CDTF">2026-08-05T18:01:41Z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