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3016D" w14:textId="77777777" w:rsidR="00F46A4D" w:rsidRDefault="00000000">
      <w:pPr>
        <w:pStyle w:val="Heading1"/>
      </w:pPr>
      <w:bookmarkStart w:id="0" w:name="X5651125f8d26531122d98c93aa75d35285c30bc"/>
      <w:r>
        <w:t>Enterprise Risk Management in Condominium Association Management: Building Integrity Across the Organization</w:t>
      </w:r>
    </w:p>
    <w:p w14:paraId="69930A54" w14:textId="0EE9E2A2" w:rsidR="006C2774" w:rsidRDefault="006C2774" w:rsidP="006C2774">
      <w:pPr>
        <w:pStyle w:val="BodyText"/>
      </w:pPr>
      <w:r>
        <w:t>By R. Scott MacGregor</w:t>
      </w:r>
    </w:p>
    <w:p w14:paraId="3F6A7C2D" w14:textId="77777777" w:rsidR="00F46A4D" w:rsidRDefault="00000000">
      <w:pPr>
        <w:pStyle w:val="FirstParagraph"/>
      </w:pPr>
      <w:r>
        <w:t>Condominium association management companies operate at the intersection of property operations, fiduciary responsibility, financial stewardship, regulatory compliance, insurance, employment practices, and resident relations. This combination creates a risk environment that is both complex and highly interconnected. A breakdown in one area can quickly create consequences in several others. An operational failure may become an insurance claim. Weak banking controls may lead to fraud or loss of client funds. Inadequate human resources practices may expose the company and its clients to employment-related liability.</w:t>
      </w:r>
    </w:p>
    <w:p w14:paraId="732AB26C" w14:textId="77777777" w:rsidR="00F46A4D" w:rsidRDefault="00000000">
      <w:pPr>
        <w:pStyle w:val="BodyText"/>
      </w:pPr>
      <w:r>
        <w:t>For this reason, enterprise risk management should not be treated as a specialized function limited to insurance placement or regulatory compliance. It should be an organization-wide discipline that integrates insurance, operations, banking and treasury management, human resources, and client risk assessment into a unified system of accountability.</w:t>
      </w:r>
    </w:p>
    <w:p w14:paraId="480BBE8A" w14:textId="77777777" w:rsidR="00F46A4D" w:rsidRDefault="00000000">
      <w:pPr>
        <w:pStyle w:val="Heading2"/>
      </w:pPr>
      <w:bookmarkStart w:id="1" w:name="moving-beyond-siloed-risk-management"/>
      <w:r>
        <w:t>Moving Beyond Siloed Risk Management</w:t>
      </w:r>
    </w:p>
    <w:p w14:paraId="05997DCB" w14:textId="77777777" w:rsidR="00F46A4D" w:rsidRDefault="00000000">
      <w:pPr>
        <w:pStyle w:val="FirstParagraph"/>
      </w:pPr>
      <w:r>
        <w:t>Many management companies address risk through separate departments or vendors. Insurance professionals evaluate coverage, operations teams oversee properties, accounting departments manage funds, and human resources personnel administer employment policies. Each function may perform well independently, yet significant risk can remain if information is not shared and responsibilities are not coordinated.</w:t>
      </w:r>
    </w:p>
    <w:p w14:paraId="6C7B7710" w14:textId="77777777" w:rsidR="00F46A4D" w:rsidRDefault="00000000">
      <w:pPr>
        <w:pStyle w:val="BodyText"/>
      </w:pPr>
      <w:r>
        <w:t>Enterprise Risk Management, or ERM, provides a structure for identifying, assessing, controlling, and monitoring risks across the organization. The objective is not to eliminate all risk. That would be impossible in a business responsible for buildings, employees, contractors, resident safety, and substantial financial assets. Instead, ERM helps leadership determine which risks are acceptable, which require mitigation, and which should be transferred through insurance or contractual arrangements.</w:t>
      </w:r>
    </w:p>
    <w:p w14:paraId="579381FE" w14:textId="77777777" w:rsidR="00F46A4D" w:rsidRDefault="00000000">
      <w:pPr>
        <w:pStyle w:val="BodyText"/>
      </w:pPr>
      <w:r>
        <w:t>The strength of ERM lies in its ability to connect decisions that might otherwise be made in isolation. Insurance claims data can inform operational policies. Banking controls can be aligned with employee authority levels. Human resources procedures can reinforce ethical expectations and reporting requirements. Client risk evaluations can influence staffing, pricing, contract terms, and the scope of services provided.</w:t>
      </w:r>
    </w:p>
    <w:p w14:paraId="50EEDDBD" w14:textId="77777777" w:rsidR="00F46A4D" w:rsidRDefault="00000000">
      <w:pPr>
        <w:pStyle w:val="Heading2"/>
      </w:pPr>
      <w:bookmarkStart w:id="2" w:name="X52bbeb3b0e39281e6ab2235daf9bc47fee3e573"/>
      <w:bookmarkEnd w:id="1"/>
      <w:r>
        <w:lastRenderedPageBreak/>
        <w:t>Insurance as an Operational Feedback System</w:t>
      </w:r>
    </w:p>
    <w:p w14:paraId="76BD8E26" w14:textId="77777777" w:rsidR="00F46A4D" w:rsidRDefault="00000000">
      <w:pPr>
        <w:pStyle w:val="FirstParagraph"/>
      </w:pPr>
      <w:r>
        <w:t>Insurance is a central component of risk management, but it should not be viewed solely as a mechanism for paying claims. Coverage design, loss history, deductibles, exclusions, and claims trends provide valuable information about weaknesses in the organization.</w:t>
      </w:r>
    </w:p>
    <w:p w14:paraId="6103369F" w14:textId="77777777" w:rsidR="00F46A4D" w:rsidRDefault="00000000">
      <w:pPr>
        <w:pStyle w:val="BodyText"/>
      </w:pPr>
      <w:r>
        <w:t>For example, recurring water damage claims may indicate inadequate preventive maintenance, delayed reporting, or inconsistent inspection practices. Employment-related claims may point to gaps in supervisory training or documentation. Crime or fidelity losses may expose insufficient controls over payments, account access, or vendor approvals.</w:t>
      </w:r>
    </w:p>
    <w:p w14:paraId="5353647A" w14:textId="77777777" w:rsidR="00F46A4D" w:rsidRDefault="00000000">
      <w:pPr>
        <w:pStyle w:val="BodyText"/>
      </w:pPr>
      <w:r>
        <w:t>Management companies should regularly review claims and near-miss incidents with operational leaders. The goal should be to identify root causes and implement corrective action. Insurance should finance appropriate risks, while operations should reduce the frequency and severity of preventable losses.</w:t>
      </w:r>
    </w:p>
    <w:p w14:paraId="414279AE" w14:textId="77777777" w:rsidR="00F46A4D" w:rsidRDefault="00000000">
      <w:pPr>
        <w:pStyle w:val="BodyText"/>
      </w:pPr>
      <w:r>
        <w:t>The company must also evaluate whether its own policies align with the exposures created by the associations it manages. Professional liability, cyber liability, crime, employment practices liability, general liability, and directors and officers coverage may all play a role. Contractual indemnification provisions and insurance requirements should be reviewed carefully so that the management agreement does not create obligations that exceed available coverage.</w:t>
      </w:r>
    </w:p>
    <w:p w14:paraId="2E42EE7D" w14:textId="77777777" w:rsidR="00F46A4D" w:rsidRDefault="00000000">
      <w:pPr>
        <w:pStyle w:val="Heading2"/>
      </w:pPr>
      <w:bookmarkStart w:id="3" w:name="operations-and-consistent-controls"/>
      <w:bookmarkEnd w:id="2"/>
      <w:r>
        <w:t>Operations and Consistent Controls</w:t>
      </w:r>
    </w:p>
    <w:p w14:paraId="58C408ED" w14:textId="77777777" w:rsidR="00F46A4D" w:rsidRDefault="00000000">
      <w:pPr>
        <w:pStyle w:val="FirstParagraph"/>
      </w:pPr>
      <w:r>
        <w:t>Operational risk is especially significant in condominium management because managers oversee numerous properties with different physical conditions, governing documents, vendors, boards, and resident expectations. Without standardized procedures, control quality may depend too heavily on individual experience or judgment.</w:t>
      </w:r>
    </w:p>
    <w:p w14:paraId="73974BEE" w14:textId="77777777" w:rsidR="00F46A4D" w:rsidRDefault="00000000">
      <w:pPr>
        <w:pStyle w:val="BodyText"/>
      </w:pPr>
      <w:r>
        <w:t>ERM requires clear operating standards for inspections, maintenance requests, emergency response, vendor selection, contract approval, incident reporting, record retention, and regulatory compliance. These procedures should establish not only what must be done, but also who is authorized to act, who reviews the action, and how completion is documented.</w:t>
      </w:r>
    </w:p>
    <w:p w14:paraId="0E48CF84" w14:textId="77777777" w:rsidR="00F46A4D" w:rsidRDefault="00000000">
      <w:pPr>
        <w:pStyle w:val="BodyText"/>
      </w:pPr>
      <w:r>
        <w:t>Checks and balances are critical. The employee who initiates a transaction should not always be the person who approves it, processes payment, and reconciles the account. Vendor selection should include due diligence and conflict-of-interest disclosures. Emergency exceptions should be documented and reviewed after the fact.</w:t>
      </w:r>
    </w:p>
    <w:p w14:paraId="1A4DBDB8" w14:textId="77777777" w:rsidR="00F46A4D" w:rsidRDefault="00000000">
      <w:pPr>
        <w:pStyle w:val="BodyText"/>
      </w:pPr>
      <w:r>
        <w:t>Standardization does not mean ignoring the unique needs of each association. Rather, it creates a reliable control framework within which property-specific decisions can be made.</w:t>
      </w:r>
    </w:p>
    <w:p w14:paraId="3373E940" w14:textId="77777777" w:rsidR="00F46A4D" w:rsidRDefault="00000000">
      <w:pPr>
        <w:pStyle w:val="Heading2"/>
      </w:pPr>
      <w:bookmarkStart w:id="4" w:name="banking-and-treasury-management"/>
      <w:bookmarkEnd w:id="3"/>
      <w:r>
        <w:lastRenderedPageBreak/>
        <w:t>Banking and Treasury Management</w:t>
      </w:r>
    </w:p>
    <w:p w14:paraId="00C818F1" w14:textId="77777777" w:rsidR="00F46A4D" w:rsidRDefault="00000000">
      <w:pPr>
        <w:pStyle w:val="FirstParagraph"/>
      </w:pPr>
      <w:r>
        <w:t>Management companies frequently administer significant client funds, including operating cash, reserve balances, insurance proceeds, and special assessments. The handling of these funds creates fiduciary, fraud, cybersecurity, and liquidity risks.</w:t>
      </w:r>
    </w:p>
    <w:p w14:paraId="17717D1E" w14:textId="77777777" w:rsidR="00F46A4D" w:rsidRDefault="00000000">
      <w:pPr>
        <w:pStyle w:val="BodyText"/>
      </w:pPr>
      <w:r>
        <w:t>Effective treasury management begins with the segregation of client assets and clear authority over accounts. Access should be limited according to job responsibilities, and banking permissions should be reviewed when employees change roles or leave the company. Dual authorization should be required for significant transfers and payments. Bank reconciliations should be timely, independently reviewed, and supported by documentation.</w:t>
      </w:r>
    </w:p>
    <w:p w14:paraId="77D997C7" w14:textId="77777777" w:rsidR="00F46A4D" w:rsidRDefault="00000000">
      <w:pPr>
        <w:pStyle w:val="BodyText"/>
      </w:pPr>
      <w:r>
        <w:t>Companies should also establish policies addressing wire transfers, automated clearing house transactions, positive pay, account verification, investment of reserve funds, and protection against social engineering fraud. Verbal confirmation procedures should be used when payment instructions change, particularly when requests appear to come from board members, executives, vendors, or attorneys.</w:t>
      </w:r>
    </w:p>
    <w:p w14:paraId="71A09541" w14:textId="77777777" w:rsidR="00F46A4D" w:rsidRDefault="00000000">
      <w:pPr>
        <w:pStyle w:val="BodyText"/>
      </w:pPr>
      <w:r>
        <w:t>Treasury controls must be coordinated with human resources and technology policies. A sound banking procedure can still fail if former employees retain system access or if staff members are not trained to recognize phishing and impersonation attempts.</w:t>
      </w:r>
    </w:p>
    <w:p w14:paraId="388ACCAF" w14:textId="77777777" w:rsidR="00F46A4D" w:rsidRDefault="00000000">
      <w:pPr>
        <w:pStyle w:val="Heading2"/>
      </w:pPr>
      <w:bookmarkStart w:id="5" w:name="Xb7c2b1d3d95f1b20325868d9e2c7eca83afe0f3"/>
      <w:bookmarkEnd w:id="4"/>
      <w:r>
        <w:t>Human Resources and Organizational Integrity</w:t>
      </w:r>
    </w:p>
    <w:p w14:paraId="3FDB28F8" w14:textId="77777777" w:rsidR="00F46A4D" w:rsidRDefault="00000000">
      <w:pPr>
        <w:pStyle w:val="FirstParagraph"/>
      </w:pPr>
      <w:r>
        <w:t>Human resources policies are an essential part of ERM because employees operate the company’s controls. Hiring, training, supervision, compensation, performance management, and separation procedures directly affect operational integrity.</w:t>
      </w:r>
    </w:p>
    <w:p w14:paraId="55BF924D" w14:textId="77777777" w:rsidR="00F46A4D" w:rsidRDefault="00000000">
      <w:pPr>
        <w:pStyle w:val="BodyText"/>
      </w:pPr>
      <w:r>
        <w:t>Background screening should be appropriate to the employee’s responsibilities, particularly for positions involving financial access or entry into residential properties. Job descriptions should clearly define authority and accountability. Employees should receive training in ethics, conflicts of interest, data security, harassment prevention, incident escalation, and financial controls.</w:t>
      </w:r>
    </w:p>
    <w:p w14:paraId="315C7681" w14:textId="77777777" w:rsidR="00F46A4D" w:rsidRDefault="00000000">
      <w:pPr>
        <w:pStyle w:val="BodyText"/>
      </w:pPr>
      <w:r>
        <w:t>A strong reporting culture is equally important. Employees must be able to raise concerns without fear of retaliation. Whistleblower procedures, management escalation channels, and documented investigations help identify problems before they become significant losses.</w:t>
      </w:r>
    </w:p>
    <w:p w14:paraId="433B073C" w14:textId="77777777" w:rsidR="00F46A4D" w:rsidRDefault="00000000">
      <w:pPr>
        <w:pStyle w:val="BodyText"/>
      </w:pPr>
      <w:r>
        <w:t>Mandatory vacations, job rotation, and cross-training can also strengthen controls. These practices reduce dependence on one individual and may reveal irregularities that remain hidden when an employee maintains uninterrupted control over a process.</w:t>
      </w:r>
    </w:p>
    <w:p w14:paraId="4A915081" w14:textId="77777777" w:rsidR="00F46A4D" w:rsidRDefault="00000000">
      <w:pPr>
        <w:pStyle w:val="Heading2"/>
      </w:pPr>
      <w:bookmarkStart w:id="6" w:name="X474a8f9d909e91d20949bedf7a78d5b8cc3a873"/>
      <w:bookmarkEnd w:id="5"/>
      <w:r>
        <w:lastRenderedPageBreak/>
        <w:t>Integrating Client Risk Into the Company’s Self-Evaluation</w:t>
      </w:r>
    </w:p>
    <w:p w14:paraId="43CA382F" w14:textId="77777777" w:rsidR="00F46A4D" w:rsidRDefault="00000000">
      <w:pPr>
        <w:pStyle w:val="FirstParagraph"/>
      </w:pPr>
      <w:r>
        <w:t>A management company’s risk profile is inseparable from the risk profiles of its clients. An association with aging infrastructure, underfunded reserves, active litigation, weak governance, inadequate insurance, or recurring code violations can create substantial exposure for its manager.</w:t>
      </w:r>
    </w:p>
    <w:p w14:paraId="3FDA3C50" w14:textId="77777777" w:rsidR="00F46A4D" w:rsidRDefault="00000000">
      <w:pPr>
        <w:pStyle w:val="BodyText"/>
      </w:pPr>
      <w:r>
        <w:t>Client risk evaluation should therefore begin before engagement and continue throughout the relationship. The management company should assess the association’s financial condition, insurance program, reserve funding, physical assets, governance practices, legal disputes, vendor relationships, and willingness to follow professional recommendations.</w:t>
      </w:r>
    </w:p>
    <w:p w14:paraId="3248AFB7" w14:textId="77777777" w:rsidR="00F46A4D" w:rsidRDefault="00000000">
      <w:pPr>
        <w:pStyle w:val="BodyText"/>
      </w:pPr>
      <w:r>
        <w:t>These findings should feed into the management company’s own ERM process. A high-risk client may require additional staffing, more frequent inspections, enhanced reporting, specialized expertise, different contract provisions, or higher fees. In some cases, the company may determine that the risk cannot be responsibly managed without corrective action by the board.</w:t>
      </w:r>
    </w:p>
    <w:p w14:paraId="2989D37A" w14:textId="77777777" w:rsidR="00F46A4D" w:rsidRDefault="00000000">
      <w:pPr>
        <w:pStyle w:val="BodyText"/>
      </w:pPr>
      <w:r>
        <w:t>This integrated approach benefits both parties. The association receives clearer guidance and more appropriate controls, while the management company avoids accepting unmanaged exposures that could harm its employees, finances, reputation, or insurance program.</w:t>
      </w:r>
    </w:p>
    <w:p w14:paraId="2782BA8D" w14:textId="77777777" w:rsidR="00F46A4D" w:rsidRDefault="00000000">
      <w:pPr>
        <w:pStyle w:val="BodyText"/>
      </w:pPr>
      <w:r>
        <w:t>Enterprise Risk Management ultimately supports trust. By integrating insurance, operations, treasury, human resources, and client risk assessment, condominium association management companies can create stronger checks and balances, improve decision-making, and protect the interests of both the manager and the communities it serves.</w:t>
      </w:r>
      <w:bookmarkEnd w:id="0"/>
      <w:bookmarkEnd w:id="6"/>
    </w:p>
    <w:sectPr w:rsidR="00F46A4D" w:rsidSect="00C74AD7">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2240" w:h="15840"/>
      <w:pgMar w:top="1440" w:right="1440" w:bottom="1440" w:left="1440" w:header="720" w:footer="3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C57CA" w14:textId="77777777" w:rsidR="009613B1" w:rsidRDefault="009613B1" w:rsidP="006C2774">
      <w:pPr>
        <w:spacing w:after="0"/>
      </w:pPr>
      <w:r>
        <w:separator/>
      </w:r>
    </w:p>
  </w:endnote>
  <w:endnote w:type="continuationSeparator" w:id="0">
    <w:p w14:paraId="61494DC9" w14:textId="77777777" w:rsidR="009613B1" w:rsidRDefault="009613B1" w:rsidP="006C27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147E" w14:textId="77777777" w:rsidR="00C74AD7" w:rsidRDefault="00C74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05BF" w14:textId="77777777" w:rsidR="00C74AD7" w:rsidRDefault="00C74AD7">
    <w:pPr>
      <w:pStyle w:val="Footer"/>
      <w:rPr>
        <w:sz w:val="20"/>
        <w:szCs w:val="20"/>
      </w:rPr>
    </w:pPr>
    <w:r>
      <w:rPr>
        <w:sz w:val="20"/>
        <w:szCs w:val="20"/>
      </w:rPr>
      <w:t>© 2026 RS MacGregor  All Rights Reserved</w:t>
    </w:r>
    <w:r w:rsidRPr="00C74AD7">
      <w:rPr>
        <w:sz w:val="20"/>
        <w:szCs w:val="20"/>
      </w:rPr>
      <w:ptab w:relativeTo="margin" w:alignment="center" w:leader="none"/>
    </w:r>
    <w:r w:rsidRPr="00C74AD7">
      <w:rPr>
        <w:sz w:val="20"/>
        <w:szCs w:val="20"/>
      </w:rPr>
      <w:fldChar w:fldCharType="begin"/>
    </w:r>
    <w:r w:rsidRPr="00C74AD7">
      <w:rPr>
        <w:sz w:val="20"/>
        <w:szCs w:val="20"/>
      </w:rPr>
      <w:instrText xml:space="preserve"> PAGE   \* MERGEFORMAT </w:instrText>
    </w:r>
    <w:r w:rsidRPr="00C74AD7">
      <w:rPr>
        <w:sz w:val="20"/>
        <w:szCs w:val="20"/>
      </w:rPr>
      <w:fldChar w:fldCharType="separate"/>
    </w:r>
    <w:r w:rsidRPr="00C74AD7">
      <w:rPr>
        <w:noProof/>
        <w:sz w:val="20"/>
        <w:szCs w:val="20"/>
      </w:rPr>
      <w:t>1</w:t>
    </w:r>
    <w:r w:rsidRPr="00C74AD7">
      <w:rPr>
        <w:noProof/>
        <w:sz w:val="20"/>
        <w:szCs w:val="20"/>
      </w:rPr>
      <w:fldChar w:fldCharType="end"/>
    </w:r>
    <w:r w:rsidRPr="00C74AD7">
      <w:rPr>
        <w:sz w:val="20"/>
        <w:szCs w:val="20"/>
      </w:rPr>
      <w:ptab w:relativeTo="margin" w:alignment="right" w:leader="none"/>
    </w:r>
    <w:r>
      <w:rPr>
        <w:sz w:val="20"/>
        <w:szCs w:val="20"/>
      </w:rPr>
      <w:t xml:space="preserve">This document was created in part   </w:t>
    </w:r>
  </w:p>
  <w:p w14:paraId="027F9D77" w14:textId="45A3724B" w:rsidR="00C74AD7" w:rsidRPr="00C74AD7" w:rsidRDefault="00C74AD7">
    <w:pPr>
      <w:pStyle w:val="Footer"/>
      <w:rPr>
        <w:sz w:val="20"/>
        <w:szCs w:val="20"/>
      </w:rPr>
    </w:pPr>
    <w:r>
      <w:rPr>
        <w:sz w:val="20"/>
        <w:szCs w:val="20"/>
      </w:rPr>
      <w:tab/>
    </w:r>
    <w:r>
      <w:rPr>
        <w:sz w:val="20"/>
        <w:szCs w:val="20"/>
      </w:rPr>
      <w:tab/>
      <w:t>using AI and edited by humans.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F1D1" w14:textId="77777777" w:rsidR="00C74AD7" w:rsidRDefault="00C74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BD78B" w14:textId="77777777" w:rsidR="009613B1" w:rsidRDefault="009613B1" w:rsidP="006C2774">
      <w:pPr>
        <w:spacing w:after="0"/>
      </w:pPr>
      <w:r>
        <w:separator/>
      </w:r>
    </w:p>
  </w:footnote>
  <w:footnote w:type="continuationSeparator" w:id="0">
    <w:p w14:paraId="0B44FA1F" w14:textId="77777777" w:rsidR="009613B1" w:rsidRDefault="009613B1" w:rsidP="006C277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9878" w14:textId="77777777" w:rsidR="00C74AD7" w:rsidRDefault="00C74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4C09" w14:textId="77777777" w:rsidR="00C74AD7" w:rsidRDefault="00C74A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9A3B" w14:textId="77777777" w:rsidR="00C74AD7" w:rsidRDefault="00C74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5B0E47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648316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46A4D"/>
    <w:rsid w:val="003A27F3"/>
    <w:rsid w:val="006C2774"/>
    <w:rsid w:val="009613B1"/>
    <w:rsid w:val="00B424F4"/>
    <w:rsid w:val="00C74AD7"/>
    <w:rsid w:val="00E90F22"/>
    <w:rsid w:val="00F46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89F22"/>
  <w15:docId w15:val="{41EC7D35-1553-4F64-B575-09B905280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6C2774"/>
    <w:pPr>
      <w:tabs>
        <w:tab w:val="center" w:pos="4680"/>
        <w:tab w:val="right" w:pos="9360"/>
      </w:tabs>
      <w:spacing w:after="0"/>
    </w:pPr>
  </w:style>
  <w:style w:type="character" w:customStyle="1" w:styleId="HeaderChar">
    <w:name w:val="Header Char"/>
    <w:basedOn w:val="DefaultParagraphFont"/>
    <w:link w:val="Header"/>
    <w:rsid w:val="006C2774"/>
  </w:style>
  <w:style w:type="paragraph" w:styleId="Footer">
    <w:name w:val="footer"/>
    <w:basedOn w:val="Normal"/>
    <w:link w:val="FooterChar"/>
    <w:rsid w:val="006C2774"/>
    <w:pPr>
      <w:tabs>
        <w:tab w:val="center" w:pos="4680"/>
        <w:tab w:val="right" w:pos="9360"/>
      </w:tabs>
      <w:spacing w:after="0"/>
    </w:pPr>
  </w:style>
  <w:style w:type="character" w:customStyle="1" w:styleId="FooterChar">
    <w:name w:val="Footer Char"/>
    <w:basedOn w:val="DefaultParagraphFont"/>
    <w:link w:val="Footer"/>
    <w:rsid w:val="006C2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1209</Words>
  <Characters>8126</Characters>
  <Application>Microsoft Office Word</Application>
  <DocSecurity>0</DocSecurity>
  <Lines>126</Lines>
  <Paragraphs>38</Paragraphs>
  <ScaleCrop>false</ScaleCrop>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Scott MacGregor</cp:lastModifiedBy>
  <cp:revision>3</cp:revision>
  <dcterms:created xsi:type="dcterms:W3CDTF">1970-01-01T00:00:00Z</dcterms:created>
  <dcterms:modified xsi:type="dcterms:W3CDTF">2026-09-15T17:54:00Z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dd5994ba-4d0c-4da4-bd20-ad6e0d935012</vt:lpwstr>
  </property>
</Properties>
</file>