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4522" w14:textId="4F0528CA" w:rsidR="00CC65C0" w:rsidRPr="00DF5A71" w:rsidRDefault="00DF5A71">
      <w:pPr>
        <w:pStyle w:val="Title"/>
        <w:rPr>
          <w:u w:val="single"/>
        </w:rPr>
      </w:pPr>
      <w:r w:rsidRPr="00DF5A71">
        <w:rPr>
          <w:u w:val="single"/>
        </w:rPr>
        <w:t>PUBLIC NOTICE</w:t>
      </w:r>
    </w:p>
    <w:p w14:paraId="3EB44523" w14:textId="77777777" w:rsidR="00CC65C0" w:rsidRDefault="00CC65C0">
      <w:pPr>
        <w:pStyle w:val="BodyText"/>
        <w:spacing w:before="2"/>
        <w:rPr>
          <w:b/>
          <w:sz w:val="32"/>
        </w:rPr>
      </w:pPr>
    </w:p>
    <w:p w14:paraId="3EB44524" w14:textId="77777777" w:rsidR="00CC65C0" w:rsidRDefault="00E96DCB">
      <w:pPr>
        <w:spacing w:line="322" w:lineRule="exact"/>
        <w:ind w:left="20"/>
        <w:jc w:val="center"/>
        <w:rPr>
          <w:b/>
          <w:sz w:val="28"/>
        </w:rPr>
      </w:pPr>
      <w:r>
        <w:rPr>
          <w:b/>
          <w:sz w:val="28"/>
        </w:rPr>
        <w:t>Notice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Rate</w:t>
      </w:r>
      <w:r>
        <w:rPr>
          <w:b/>
          <w:spacing w:val="-2"/>
          <w:sz w:val="28"/>
        </w:rPr>
        <w:t xml:space="preserve"> Increase</w:t>
      </w:r>
    </w:p>
    <w:p w14:paraId="3EB44525" w14:textId="6222B5AB" w:rsidR="00CC65C0" w:rsidRDefault="00755D93">
      <w:pPr>
        <w:ind w:left="20" w:right="5"/>
        <w:jc w:val="center"/>
        <w:rPr>
          <w:b/>
          <w:sz w:val="28"/>
        </w:rPr>
      </w:pPr>
      <w:r>
        <w:rPr>
          <w:b/>
          <w:sz w:val="28"/>
        </w:rPr>
        <w:t>To all</w:t>
      </w:r>
      <w:r w:rsidR="00E96DCB">
        <w:rPr>
          <w:b/>
          <w:spacing w:val="-6"/>
          <w:sz w:val="28"/>
        </w:rPr>
        <w:t xml:space="preserve"> </w:t>
      </w:r>
      <w:r w:rsidR="00E96DCB">
        <w:rPr>
          <w:b/>
          <w:sz w:val="28"/>
        </w:rPr>
        <w:t>Customers</w:t>
      </w:r>
      <w:r w:rsidR="00E96DCB">
        <w:rPr>
          <w:b/>
          <w:spacing w:val="-2"/>
          <w:sz w:val="28"/>
        </w:rPr>
        <w:t xml:space="preserve"> </w:t>
      </w:r>
      <w:r w:rsidR="00E96DCB">
        <w:rPr>
          <w:b/>
          <w:sz w:val="28"/>
        </w:rPr>
        <w:t>of</w:t>
      </w:r>
      <w:r w:rsidR="00E96DCB">
        <w:rPr>
          <w:b/>
          <w:spacing w:val="-6"/>
          <w:sz w:val="28"/>
        </w:rPr>
        <w:t xml:space="preserve"> </w:t>
      </w:r>
      <w:r w:rsidR="00E96DCB">
        <w:rPr>
          <w:b/>
          <w:sz w:val="28"/>
        </w:rPr>
        <w:t>the</w:t>
      </w:r>
      <w:r w:rsidR="00E96DCB">
        <w:rPr>
          <w:b/>
          <w:spacing w:val="-4"/>
          <w:sz w:val="28"/>
        </w:rPr>
        <w:t xml:space="preserve"> </w:t>
      </w:r>
      <w:r w:rsidR="00E96DCB">
        <w:rPr>
          <w:b/>
          <w:sz w:val="28"/>
        </w:rPr>
        <w:t>Village</w:t>
      </w:r>
      <w:r w:rsidR="00E96DCB">
        <w:rPr>
          <w:b/>
          <w:spacing w:val="-6"/>
          <w:sz w:val="28"/>
        </w:rPr>
        <w:t xml:space="preserve"> </w:t>
      </w:r>
      <w:r w:rsidR="00E96DCB">
        <w:rPr>
          <w:b/>
          <w:sz w:val="28"/>
        </w:rPr>
        <w:t>of</w:t>
      </w:r>
      <w:r w:rsidR="00E96DCB">
        <w:rPr>
          <w:b/>
          <w:spacing w:val="-4"/>
          <w:sz w:val="28"/>
        </w:rPr>
        <w:t xml:space="preserve"> </w:t>
      </w:r>
      <w:r w:rsidR="007010F4">
        <w:rPr>
          <w:b/>
          <w:sz w:val="28"/>
        </w:rPr>
        <w:t>Bloomington</w:t>
      </w:r>
      <w:r w:rsidR="00E96DCB">
        <w:rPr>
          <w:b/>
          <w:spacing w:val="-2"/>
          <w:sz w:val="28"/>
        </w:rPr>
        <w:t xml:space="preserve"> </w:t>
      </w:r>
      <w:r w:rsidR="00E96DCB">
        <w:rPr>
          <w:b/>
          <w:sz w:val="28"/>
        </w:rPr>
        <w:t>Sewer</w:t>
      </w:r>
      <w:r w:rsidR="00E96DCB">
        <w:rPr>
          <w:b/>
          <w:spacing w:val="-3"/>
          <w:sz w:val="28"/>
        </w:rPr>
        <w:t xml:space="preserve"> </w:t>
      </w:r>
      <w:r w:rsidR="00E96DCB">
        <w:rPr>
          <w:b/>
          <w:spacing w:val="-2"/>
          <w:sz w:val="28"/>
        </w:rPr>
        <w:t>Utility</w:t>
      </w:r>
    </w:p>
    <w:p w14:paraId="3EB44526" w14:textId="77777777" w:rsidR="00CC65C0" w:rsidRDefault="00CC65C0">
      <w:pPr>
        <w:pStyle w:val="BodyText"/>
        <w:spacing w:before="228"/>
        <w:rPr>
          <w:b/>
          <w:sz w:val="28"/>
        </w:rPr>
      </w:pPr>
    </w:p>
    <w:p w14:paraId="3EB44528" w14:textId="71082EF1" w:rsidR="00CC65C0" w:rsidRDefault="00C815B4">
      <w:pPr>
        <w:pStyle w:val="BodyText"/>
        <w:ind w:left="100"/>
      </w:pPr>
      <w:r>
        <w:t xml:space="preserve">On </w:t>
      </w:r>
      <w:r w:rsidR="007A5E24">
        <w:t>December 1, 2025</w:t>
      </w:r>
      <w:r>
        <w:t xml:space="preserve">, the Village Board of the Village of Bloomington </w:t>
      </w:r>
      <w:r w:rsidR="00117F74">
        <w:t xml:space="preserve">approved a </w:t>
      </w:r>
      <w:r w:rsidR="00E6014B">
        <w:t xml:space="preserve">Sewer Utility rate increase in order to </w:t>
      </w:r>
      <w:r w:rsidR="00150E93">
        <w:t xml:space="preserve">offset increases in operating expenses and to continue to </w:t>
      </w:r>
      <w:r w:rsidR="00AB0349">
        <w:t xml:space="preserve">provide </w:t>
      </w:r>
      <w:r w:rsidR="00E6014B">
        <w:t>adequat</w:t>
      </w:r>
      <w:r w:rsidR="00AB0349">
        <w:t>e</w:t>
      </w:r>
      <w:r w:rsidR="00E6014B">
        <w:t xml:space="preserve"> </w:t>
      </w:r>
      <w:r w:rsidR="003E5F9C">
        <w:t xml:space="preserve">wastewater services, meet current and future regulatory and capital </w:t>
      </w:r>
      <w:r w:rsidR="003C311B">
        <w:t xml:space="preserve">requirements, and minimize future debt issuance. </w:t>
      </w:r>
      <w:r w:rsidR="001049EE">
        <w:t xml:space="preserve">This increase </w:t>
      </w:r>
      <w:r w:rsidR="006F657B">
        <w:t xml:space="preserve">will include all Residential, Commercial, Industrial, and Public Authority customers in the Village of Bloomington. </w:t>
      </w:r>
      <w:r w:rsidR="005D6728">
        <w:t xml:space="preserve">The </w:t>
      </w:r>
      <w:r w:rsidR="00774850">
        <w:t xml:space="preserve">effect of the increase </w:t>
      </w:r>
      <w:proofErr w:type="gramStart"/>
      <w:r w:rsidR="00774850">
        <w:t>for</w:t>
      </w:r>
      <w:proofErr w:type="gramEnd"/>
      <w:r w:rsidR="00774850">
        <w:t xml:space="preserve"> some selected customers is shown below. </w:t>
      </w:r>
    </w:p>
    <w:p w14:paraId="0039BAF9" w14:textId="77777777" w:rsidR="00774850" w:rsidRDefault="00774850">
      <w:pPr>
        <w:pStyle w:val="BodyText"/>
        <w:ind w:left="100"/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209"/>
        <w:gridCol w:w="1282"/>
        <w:gridCol w:w="1724"/>
        <w:gridCol w:w="1747"/>
        <w:gridCol w:w="1748"/>
      </w:tblGrid>
      <w:tr w:rsidR="00B301F2" w14:paraId="61C74EE8" w14:textId="77777777" w:rsidTr="00B301F2">
        <w:tc>
          <w:tcPr>
            <w:tcW w:w="2258" w:type="dxa"/>
            <w:vAlign w:val="bottom"/>
          </w:tcPr>
          <w:p w14:paraId="07B4C96D" w14:textId="0DAA6C4A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Customer</w:t>
            </w:r>
          </w:p>
          <w:p w14:paraId="65312352" w14:textId="23047EA4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Classification</w:t>
            </w:r>
          </w:p>
        </w:tc>
        <w:tc>
          <w:tcPr>
            <w:tcW w:w="1318" w:type="dxa"/>
            <w:vAlign w:val="bottom"/>
          </w:tcPr>
          <w:p w14:paraId="13C0FD0F" w14:textId="5E090A67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Meter</w:t>
            </w:r>
          </w:p>
          <w:p w14:paraId="2924E964" w14:textId="0186C22F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Size</w:t>
            </w:r>
          </w:p>
        </w:tc>
        <w:tc>
          <w:tcPr>
            <w:tcW w:w="1783" w:type="dxa"/>
            <w:vAlign w:val="bottom"/>
          </w:tcPr>
          <w:p w14:paraId="081A6AB0" w14:textId="2716CD26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Gallons</w:t>
            </w:r>
          </w:p>
        </w:tc>
        <w:tc>
          <w:tcPr>
            <w:tcW w:w="1788" w:type="dxa"/>
            <w:vAlign w:val="bottom"/>
          </w:tcPr>
          <w:p w14:paraId="787B8EBE" w14:textId="163E104D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Existing Quarterly Rate</w:t>
            </w:r>
          </w:p>
        </w:tc>
        <w:tc>
          <w:tcPr>
            <w:tcW w:w="1789" w:type="dxa"/>
            <w:vAlign w:val="bottom"/>
          </w:tcPr>
          <w:p w14:paraId="372000B1" w14:textId="481FF943" w:rsidR="00B301F2" w:rsidRPr="00B301F2" w:rsidRDefault="00B301F2" w:rsidP="00B301F2">
            <w:pPr>
              <w:pStyle w:val="BodyText"/>
              <w:jc w:val="center"/>
              <w:rPr>
                <w:b/>
                <w:bCs/>
              </w:rPr>
            </w:pPr>
            <w:r w:rsidRPr="00B301F2">
              <w:rPr>
                <w:b/>
                <w:bCs/>
              </w:rPr>
              <w:t>Revised Quarterly Rate</w:t>
            </w:r>
          </w:p>
        </w:tc>
      </w:tr>
      <w:tr w:rsidR="00B301F2" w14:paraId="447AE81B" w14:textId="77777777" w:rsidTr="00B301F2">
        <w:tc>
          <w:tcPr>
            <w:tcW w:w="2258" w:type="dxa"/>
            <w:vAlign w:val="bottom"/>
          </w:tcPr>
          <w:p w14:paraId="362AF47F" w14:textId="511E27AC" w:rsidR="00B301F2" w:rsidRDefault="00B301F2" w:rsidP="00B301F2">
            <w:pPr>
              <w:pStyle w:val="BodyText"/>
              <w:jc w:val="center"/>
            </w:pPr>
            <w:r>
              <w:t>Average Residential</w:t>
            </w:r>
          </w:p>
        </w:tc>
        <w:tc>
          <w:tcPr>
            <w:tcW w:w="1318" w:type="dxa"/>
            <w:vAlign w:val="bottom"/>
          </w:tcPr>
          <w:p w14:paraId="28F27A4A" w14:textId="6E31B507" w:rsidR="00B301F2" w:rsidRDefault="00B301F2" w:rsidP="00B301F2">
            <w:pPr>
              <w:pStyle w:val="BodyText"/>
              <w:jc w:val="center"/>
            </w:pPr>
            <w:r>
              <w:t>5/8” – ¾”</w:t>
            </w:r>
          </w:p>
        </w:tc>
        <w:tc>
          <w:tcPr>
            <w:tcW w:w="1783" w:type="dxa"/>
            <w:vAlign w:val="bottom"/>
          </w:tcPr>
          <w:p w14:paraId="794A2DAA" w14:textId="636909E6" w:rsidR="00B301F2" w:rsidRDefault="00B301F2" w:rsidP="00B301F2">
            <w:pPr>
              <w:pStyle w:val="BodyText"/>
              <w:jc w:val="center"/>
            </w:pPr>
            <w:r>
              <w:t>1,000</w:t>
            </w:r>
          </w:p>
        </w:tc>
        <w:tc>
          <w:tcPr>
            <w:tcW w:w="1788" w:type="dxa"/>
            <w:vAlign w:val="bottom"/>
          </w:tcPr>
          <w:p w14:paraId="2DC6C939" w14:textId="5C08EB1F" w:rsidR="00A0490E" w:rsidRDefault="00B301F2" w:rsidP="00A0490E">
            <w:pPr>
              <w:pStyle w:val="BodyText"/>
              <w:jc w:val="center"/>
            </w:pPr>
            <w:r>
              <w:t>$</w:t>
            </w:r>
            <w:r w:rsidR="00A0490E">
              <w:t>6.73</w:t>
            </w:r>
          </w:p>
        </w:tc>
        <w:tc>
          <w:tcPr>
            <w:tcW w:w="1789" w:type="dxa"/>
            <w:vAlign w:val="bottom"/>
          </w:tcPr>
          <w:p w14:paraId="3E2249ED" w14:textId="5915E242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A0490E">
              <w:t>8.21</w:t>
            </w:r>
          </w:p>
        </w:tc>
      </w:tr>
      <w:tr w:rsidR="00B301F2" w14:paraId="077DFC58" w14:textId="77777777" w:rsidTr="00B301F2">
        <w:tc>
          <w:tcPr>
            <w:tcW w:w="2258" w:type="dxa"/>
            <w:vAlign w:val="bottom"/>
          </w:tcPr>
          <w:p w14:paraId="3A2739F0" w14:textId="13F58D62" w:rsidR="00B301F2" w:rsidRDefault="00B301F2" w:rsidP="00B301F2">
            <w:pPr>
              <w:pStyle w:val="BodyText"/>
              <w:jc w:val="center"/>
            </w:pPr>
            <w:r>
              <w:t>Public Authority</w:t>
            </w:r>
          </w:p>
        </w:tc>
        <w:tc>
          <w:tcPr>
            <w:tcW w:w="1318" w:type="dxa"/>
            <w:vAlign w:val="bottom"/>
          </w:tcPr>
          <w:p w14:paraId="0DE675C5" w14:textId="1EF2486B" w:rsidR="00B301F2" w:rsidRDefault="00B301F2" w:rsidP="00B301F2">
            <w:pPr>
              <w:pStyle w:val="BodyText"/>
              <w:jc w:val="center"/>
            </w:pPr>
            <w:r>
              <w:t>2”</w:t>
            </w:r>
          </w:p>
        </w:tc>
        <w:tc>
          <w:tcPr>
            <w:tcW w:w="1783" w:type="dxa"/>
            <w:vAlign w:val="bottom"/>
          </w:tcPr>
          <w:p w14:paraId="5D40C847" w14:textId="09745A00" w:rsidR="00B301F2" w:rsidRDefault="00B301F2" w:rsidP="00B301F2">
            <w:pPr>
              <w:pStyle w:val="BodyText"/>
              <w:jc w:val="center"/>
            </w:pPr>
            <w:r>
              <w:t>1,000</w:t>
            </w:r>
          </w:p>
        </w:tc>
        <w:tc>
          <w:tcPr>
            <w:tcW w:w="1788" w:type="dxa"/>
            <w:vAlign w:val="bottom"/>
          </w:tcPr>
          <w:p w14:paraId="19503119" w14:textId="7C8375E4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A0490E">
              <w:t>6.73</w:t>
            </w:r>
          </w:p>
        </w:tc>
        <w:tc>
          <w:tcPr>
            <w:tcW w:w="1789" w:type="dxa"/>
            <w:vAlign w:val="bottom"/>
          </w:tcPr>
          <w:p w14:paraId="347855BD" w14:textId="05E631A1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A0490E">
              <w:t>8.21</w:t>
            </w:r>
          </w:p>
        </w:tc>
      </w:tr>
      <w:tr w:rsidR="00B301F2" w14:paraId="3C0A7673" w14:textId="77777777" w:rsidTr="00B301F2">
        <w:tc>
          <w:tcPr>
            <w:tcW w:w="2258" w:type="dxa"/>
            <w:vAlign w:val="bottom"/>
          </w:tcPr>
          <w:p w14:paraId="074676CB" w14:textId="672D0CE4" w:rsidR="00B301F2" w:rsidRDefault="00B301F2" w:rsidP="00B301F2">
            <w:pPr>
              <w:pStyle w:val="BodyText"/>
              <w:jc w:val="center"/>
            </w:pPr>
            <w:r>
              <w:t>Industrial</w:t>
            </w:r>
          </w:p>
        </w:tc>
        <w:tc>
          <w:tcPr>
            <w:tcW w:w="1318" w:type="dxa"/>
            <w:vAlign w:val="bottom"/>
          </w:tcPr>
          <w:p w14:paraId="3547ED6A" w14:textId="35DB54EF" w:rsidR="00B301F2" w:rsidRDefault="00B301F2" w:rsidP="00B301F2">
            <w:pPr>
              <w:pStyle w:val="BodyText"/>
              <w:jc w:val="center"/>
            </w:pPr>
            <w:r>
              <w:t>2”</w:t>
            </w:r>
          </w:p>
        </w:tc>
        <w:tc>
          <w:tcPr>
            <w:tcW w:w="1783" w:type="dxa"/>
            <w:vAlign w:val="bottom"/>
          </w:tcPr>
          <w:p w14:paraId="236BC0AB" w14:textId="3C28C805" w:rsidR="00B301F2" w:rsidRDefault="00B301F2" w:rsidP="00B301F2">
            <w:pPr>
              <w:pStyle w:val="BodyText"/>
              <w:jc w:val="center"/>
            </w:pPr>
            <w:r>
              <w:t>1,000</w:t>
            </w:r>
          </w:p>
        </w:tc>
        <w:tc>
          <w:tcPr>
            <w:tcW w:w="1788" w:type="dxa"/>
            <w:vAlign w:val="bottom"/>
          </w:tcPr>
          <w:p w14:paraId="77CB2CB2" w14:textId="51160D2C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A0490E">
              <w:t>6.73</w:t>
            </w:r>
          </w:p>
        </w:tc>
        <w:tc>
          <w:tcPr>
            <w:tcW w:w="1789" w:type="dxa"/>
            <w:vAlign w:val="bottom"/>
          </w:tcPr>
          <w:p w14:paraId="487E9AEE" w14:textId="6641A3F0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A0490E">
              <w:t>8.21</w:t>
            </w:r>
          </w:p>
        </w:tc>
      </w:tr>
    </w:tbl>
    <w:p w14:paraId="3FDFB9E6" w14:textId="77777777" w:rsidR="00B301F2" w:rsidRDefault="00B301F2" w:rsidP="00B301F2">
      <w:pPr>
        <w:pStyle w:val="BodyText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1739"/>
        <w:gridCol w:w="1768"/>
        <w:gridCol w:w="1767"/>
        <w:gridCol w:w="1768"/>
      </w:tblGrid>
      <w:tr w:rsidR="00B301F2" w14:paraId="27A271F3" w14:textId="77777777" w:rsidTr="00B301F2">
        <w:tc>
          <w:tcPr>
            <w:tcW w:w="1699" w:type="dxa"/>
            <w:vAlign w:val="bottom"/>
          </w:tcPr>
          <w:p w14:paraId="2715E8CA" w14:textId="2A2B2905" w:rsidR="00B301F2" w:rsidRDefault="00B301F2" w:rsidP="00B301F2">
            <w:pPr>
              <w:pStyle w:val="BodyText"/>
              <w:jc w:val="center"/>
            </w:pPr>
            <w:r>
              <w:t>Base Increase</w:t>
            </w:r>
          </w:p>
        </w:tc>
        <w:tc>
          <w:tcPr>
            <w:tcW w:w="1807" w:type="dxa"/>
            <w:vAlign w:val="bottom"/>
          </w:tcPr>
          <w:p w14:paraId="0E905099" w14:textId="77777777" w:rsidR="00B301F2" w:rsidRDefault="00B301F2" w:rsidP="00B301F2">
            <w:pPr>
              <w:pStyle w:val="BodyText"/>
              <w:jc w:val="center"/>
            </w:pPr>
          </w:p>
        </w:tc>
        <w:tc>
          <w:tcPr>
            <w:tcW w:w="1807" w:type="dxa"/>
            <w:vAlign w:val="bottom"/>
          </w:tcPr>
          <w:p w14:paraId="5170AE6F" w14:textId="171C0E94" w:rsidR="00B301F2" w:rsidRDefault="00B301F2" w:rsidP="00B301F2">
            <w:pPr>
              <w:pStyle w:val="BodyText"/>
              <w:jc w:val="center"/>
            </w:pPr>
            <w:r>
              <w:t>Per quarter</w:t>
            </w:r>
          </w:p>
        </w:tc>
        <w:tc>
          <w:tcPr>
            <w:tcW w:w="1807" w:type="dxa"/>
            <w:vAlign w:val="bottom"/>
          </w:tcPr>
          <w:p w14:paraId="6AE0C2A5" w14:textId="59CE5406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A0490E">
              <w:t>61.58</w:t>
            </w:r>
          </w:p>
        </w:tc>
        <w:tc>
          <w:tcPr>
            <w:tcW w:w="1808" w:type="dxa"/>
            <w:vAlign w:val="bottom"/>
          </w:tcPr>
          <w:p w14:paraId="4B982A7A" w14:textId="67C8EF18" w:rsidR="00B301F2" w:rsidRDefault="00B301F2" w:rsidP="00B301F2">
            <w:pPr>
              <w:pStyle w:val="BodyText"/>
              <w:jc w:val="center"/>
            </w:pPr>
            <w:r>
              <w:t>$</w:t>
            </w:r>
            <w:r w:rsidR="00A0490E">
              <w:t>75.12</w:t>
            </w:r>
          </w:p>
        </w:tc>
      </w:tr>
    </w:tbl>
    <w:p w14:paraId="12CB562D" w14:textId="77777777" w:rsidR="00B301F2" w:rsidRDefault="00B301F2" w:rsidP="00B301F2">
      <w:pPr>
        <w:pStyle w:val="BodyText"/>
      </w:pPr>
    </w:p>
    <w:p w14:paraId="3EB4452E" w14:textId="227D295A" w:rsidR="00CC65C0" w:rsidRDefault="00E96DCB">
      <w:pPr>
        <w:pStyle w:val="BodyText"/>
        <w:spacing w:line="480" w:lineRule="auto"/>
        <w:ind w:left="100" w:right="88"/>
      </w:pPr>
      <w:r>
        <w:t xml:space="preserve">This rate increase will go into effect on </w:t>
      </w:r>
      <w:r w:rsidR="00A0490E">
        <w:t>January 1, 2026</w:t>
      </w:r>
      <w:r>
        <w:t>.</w:t>
      </w:r>
    </w:p>
    <w:p w14:paraId="3EB4452F" w14:textId="6569B539" w:rsidR="00CC65C0" w:rsidRDefault="00E96DCB">
      <w:pPr>
        <w:pStyle w:val="BodyText"/>
        <w:ind w:left="100" w:right="88"/>
      </w:pP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request,</w:t>
      </w:r>
      <w:r>
        <w:rPr>
          <w:spacing w:val="-3"/>
        </w:rPr>
        <w:t xml:space="preserve"> please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B301F2">
        <w:t>Bloomington Municipal Sewer Utility at (608) 994-3851.</w:t>
      </w:r>
    </w:p>
    <w:p w14:paraId="3EB44530" w14:textId="77777777" w:rsidR="00CC65C0" w:rsidRDefault="00CC65C0">
      <w:pPr>
        <w:pStyle w:val="BodyText"/>
      </w:pPr>
    </w:p>
    <w:p w14:paraId="3EB44531" w14:textId="77777777" w:rsidR="00CC65C0" w:rsidRDefault="00CC65C0">
      <w:pPr>
        <w:pStyle w:val="BodyText"/>
      </w:pPr>
    </w:p>
    <w:p w14:paraId="3EB44532" w14:textId="77777777" w:rsidR="00CC65C0" w:rsidRDefault="00CC65C0">
      <w:pPr>
        <w:pStyle w:val="BodyText"/>
        <w:spacing w:before="1"/>
      </w:pPr>
    </w:p>
    <w:p w14:paraId="53593795" w14:textId="0560ABE7" w:rsidR="00537A2E" w:rsidRPr="00537A2E" w:rsidRDefault="00537A2E" w:rsidP="00537A2E">
      <w:pPr>
        <w:spacing w:line="480" w:lineRule="auto"/>
        <w:ind w:left="90"/>
        <w:rPr>
          <w:sz w:val="24"/>
          <w:szCs w:val="24"/>
        </w:rPr>
      </w:pPr>
      <w:r w:rsidRPr="00537A2E">
        <w:rPr>
          <w:sz w:val="24"/>
          <w:szCs w:val="24"/>
        </w:rPr>
        <w:t xml:space="preserve">Date posted: </w:t>
      </w:r>
      <w:r w:rsidRPr="00537A2E">
        <w:rPr>
          <w:sz w:val="24"/>
          <w:szCs w:val="24"/>
        </w:rPr>
        <w:t>Tuesday, December 2, 2025</w:t>
      </w:r>
    </w:p>
    <w:p w14:paraId="583C0382" w14:textId="56C39E64" w:rsidR="00537A2E" w:rsidRDefault="00537A2E" w:rsidP="00537A2E">
      <w:pPr>
        <w:pStyle w:val="NoSpacing"/>
        <w:ind w:left="90"/>
        <w:rPr>
          <w:rFonts w:ascii="Times New Roman" w:hAnsi="Times New Roman"/>
          <w:u w:val="none"/>
        </w:rPr>
      </w:pPr>
      <w:r w:rsidRPr="00537A2E">
        <w:rPr>
          <w:rFonts w:ascii="Times New Roman" w:hAnsi="Times New Roman"/>
          <w:u w:val="none"/>
        </w:rPr>
        <w:t>Posted: Village Hall, U.S. Post Office, Peoples State Bank, and Clare Bank bulletin boards</w:t>
      </w:r>
      <w:r>
        <w:rPr>
          <w:rFonts w:ascii="Times New Roman" w:hAnsi="Times New Roman"/>
          <w:u w:val="none"/>
        </w:rPr>
        <w:t>,</w:t>
      </w:r>
      <w:r w:rsidRPr="00537A2E">
        <w:rPr>
          <w:rFonts w:ascii="Times New Roman" w:hAnsi="Times New Roman"/>
          <w:u w:val="none"/>
        </w:rPr>
        <w:t xml:space="preserve"> Village website</w:t>
      </w:r>
      <w:r>
        <w:rPr>
          <w:rFonts w:ascii="Times New Roman" w:hAnsi="Times New Roman"/>
          <w:u w:val="none"/>
        </w:rPr>
        <w:t xml:space="preserve">, and Grant County Herald </w:t>
      </w:r>
      <w:proofErr w:type="spellStart"/>
      <w:r>
        <w:rPr>
          <w:rFonts w:ascii="Times New Roman" w:hAnsi="Times New Roman"/>
          <w:u w:val="none"/>
        </w:rPr>
        <w:t>Indepent</w:t>
      </w:r>
      <w:proofErr w:type="spellEnd"/>
      <w:r>
        <w:rPr>
          <w:rFonts w:ascii="Times New Roman" w:hAnsi="Times New Roman"/>
          <w:u w:val="none"/>
        </w:rPr>
        <w:t xml:space="preserve"> (December 4, 2025)</w:t>
      </w:r>
    </w:p>
    <w:p w14:paraId="1836F205" w14:textId="5EA98B6E" w:rsidR="00537A2E" w:rsidRPr="00537A2E" w:rsidRDefault="00537A2E" w:rsidP="00537A2E">
      <w:pPr>
        <w:pStyle w:val="NoSpacing"/>
        <w:ind w:left="90"/>
        <w:rPr>
          <w:rFonts w:ascii="Times New Roman" w:hAnsi="Times New Roman"/>
          <w:u w:val="none"/>
        </w:rPr>
      </w:pPr>
    </w:p>
    <w:p w14:paraId="59BDA5CB" w14:textId="77777777" w:rsidR="00537A2E" w:rsidRDefault="00537A2E">
      <w:pPr>
        <w:pStyle w:val="BodyText"/>
        <w:spacing w:before="1"/>
      </w:pPr>
    </w:p>
    <w:p w14:paraId="3EB44533" w14:textId="1876D22B" w:rsidR="00CC65C0" w:rsidRDefault="00B301F2">
      <w:pPr>
        <w:pStyle w:val="BodyText"/>
        <w:ind w:left="100"/>
      </w:pPr>
      <w:r>
        <w:t>Shawna Atterbury</w:t>
      </w:r>
    </w:p>
    <w:p w14:paraId="3EB44534" w14:textId="77777777" w:rsidR="00CC65C0" w:rsidRDefault="00E96DCB">
      <w:pPr>
        <w:pStyle w:val="BodyText"/>
        <w:ind w:left="100"/>
      </w:pPr>
      <w:r>
        <w:t>Village</w:t>
      </w:r>
      <w:r>
        <w:rPr>
          <w:spacing w:val="-5"/>
        </w:rPr>
        <w:t xml:space="preserve"> </w:t>
      </w:r>
      <w:r>
        <w:rPr>
          <w:spacing w:val="-2"/>
        </w:rPr>
        <w:t>Clerk/Treasurer</w:t>
      </w:r>
    </w:p>
    <w:sectPr w:rsidR="00CC65C0"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C0"/>
    <w:rsid w:val="001049EE"/>
    <w:rsid w:val="00117F74"/>
    <w:rsid w:val="00150E93"/>
    <w:rsid w:val="003C311B"/>
    <w:rsid w:val="003E5F9C"/>
    <w:rsid w:val="0051365F"/>
    <w:rsid w:val="00537A2E"/>
    <w:rsid w:val="005556D7"/>
    <w:rsid w:val="005D6728"/>
    <w:rsid w:val="006F657B"/>
    <w:rsid w:val="007010F4"/>
    <w:rsid w:val="00755D93"/>
    <w:rsid w:val="00774850"/>
    <w:rsid w:val="007A5E24"/>
    <w:rsid w:val="00A0490E"/>
    <w:rsid w:val="00AB0349"/>
    <w:rsid w:val="00B301F2"/>
    <w:rsid w:val="00C815B4"/>
    <w:rsid w:val="00CC65C0"/>
    <w:rsid w:val="00DF5A71"/>
    <w:rsid w:val="00E15E48"/>
    <w:rsid w:val="00E6014B"/>
    <w:rsid w:val="00E96DCB"/>
    <w:rsid w:val="00F14318"/>
    <w:rsid w:val="00FA7170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4522"/>
  <w15:docId w15:val="{B36EFF6E-158A-464D-9435-116E4E5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0"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3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7A2E"/>
    <w:pPr>
      <w:widowControl/>
      <w:autoSpaceDE/>
      <w:autoSpaceDN/>
    </w:pPr>
    <w:rPr>
      <w:rFonts w:ascii="Comic Sans MS" w:eastAsia="Times New Roman" w:hAnsi="Comic Sans MS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VILLAGE OF ROBERTS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VILLAGE OF ROBERTS</dc:title>
  <dc:creator>Chris</dc:creator>
  <cp:lastModifiedBy>Shawna  Atterbury</cp:lastModifiedBy>
  <cp:revision>4</cp:revision>
  <cp:lastPrinted>2025-12-02T17:52:00Z</cp:lastPrinted>
  <dcterms:created xsi:type="dcterms:W3CDTF">2025-12-02T15:27:00Z</dcterms:created>
  <dcterms:modified xsi:type="dcterms:W3CDTF">2025-12-02T17:52:00Z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2016</vt:lpwstr>
  </property>
</Properties>
</file>