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B869" w14:textId="77777777" w:rsidR="00A263F5" w:rsidRPr="00A263F5" w:rsidRDefault="00A263F5" w:rsidP="00A263F5">
      <w:pPr>
        <w:rPr>
          <w:b/>
          <w:bCs/>
        </w:rPr>
      </w:pPr>
      <w:r w:rsidRPr="00A263F5">
        <w:rPr>
          <w:b/>
          <w:bCs/>
        </w:rPr>
        <w:t>Certified Residential Practicum Program (CRP) – FAQ</w:t>
      </w:r>
    </w:p>
    <w:p w14:paraId="133D4CF1" w14:textId="77777777" w:rsidR="00A263F5" w:rsidRPr="00A263F5" w:rsidRDefault="00A263F5" w:rsidP="00A263F5">
      <w:r w:rsidRPr="00A263F5">
        <w:rPr>
          <w:b/>
          <w:bCs/>
        </w:rPr>
        <w:t>Elite Appraisal Academy</w:t>
      </w:r>
    </w:p>
    <w:p w14:paraId="31BD8741" w14:textId="77777777" w:rsidR="00A263F5" w:rsidRPr="00A263F5" w:rsidRDefault="00224E1B" w:rsidP="00A263F5">
      <w:r>
        <w:pict w14:anchorId="1D06F4F6">
          <v:rect id="_x0000_i1025" style="width:0;height:1.5pt" o:hralign="center" o:hrstd="t" o:hr="t" fillcolor="#a0a0a0" stroked="f"/>
        </w:pict>
      </w:r>
    </w:p>
    <w:p w14:paraId="4EFA89F3" w14:textId="77777777" w:rsidR="00A263F5" w:rsidRPr="00A263F5" w:rsidRDefault="00A263F5" w:rsidP="00A263F5">
      <w:pPr>
        <w:rPr>
          <w:b/>
          <w:bCs/>
        </w:rPr>
      </w:pPr>
      <w:r w:rsidRPr="00A263F5">
        <w:rPr>
          <w:b/>
          <w:bCs/>
        </w:rPr>
        <w:t>What is the Certified Residential Practicum Program (CRP)?</w:t>
      </w:r>
    </w:p>
    <w:p w14:paraId="7C8B1819" w14:textId="77777777" w:rsidR="00A263F5" w:rsidRPr="00A263F5" w:rsidRDefault="00A263F5" w:rsidP="00A263F5">
      <w:r w:rsidRPr="00A263F5">
        <w:t xml:space="preserve">The Certified Residential Practicum Program (CRP) is a </w:t>
      </w:r>
      <w:r w:rsidRPr="00A263F5">
        <w:rPr>
          <w:b/>
          <w:bCs/>
        </w:rPr>
        <w:t>structured, supervised experience program</w:t>
      </w:r>
      <w:r w:rsidRPr="00A263F5">
        <w:t xml:space="preserve"> designed for Licensed Residential Appraisers who are pursuing </w:t>
      </w:r>
      <w:r w:rsidRPr="00A263F5">
        <w:rPr>
          <w:b/>
          <w:bCs/>
        </w:rPr>
        <w:t>Certified Residential</w:t>
      </w:r>
      <w:r w:rsidRPr="00A263F5">
        <w:t xml:space="preserve"> licensure.</w:t>
      </w:r>
      <w:r w:rsidRPr="00A263F5">
        <w:br/>
        <w:t xml:space="preserve">The program focuses on </w:t>
      </w:r>
      <w:r w:rsidRPr="00A263F5">
        <w:rPr>
          <w:b/>
          <w:bCs/>
        </w:rPr>
        <w:t>mentorship, competency development, and documented appraisal experience</w:t>
      </w:r>
      <w:r w:rsidRPr="00A263F5">
        <w:t xml:space="preserve"> consistent with AQB and USPAP expectations.</w:t>
      </w:r>
    </w:p>
    <w:p w14:paraId="7F287BB4" w14:textId="77777777" w:rsidR="00A263F5" w:rsidRPr="00A263F5" w:rsidRDefault="00224E1B" w:rsidP="00A263F5">
      <w:r>
        <w:pict w14:anchorId="2EF053F1">
          <v:rect id="_x0000_i1026" style="width:0;height:1.5pt" o:hralign="center" o:hrstd="t" o:hr="t" fillcolor="#a0a0a0" stroked="f"/>
        </w:pict>
      </w:r>
    </w:p>
    <w:p w14:paraId="4F1E95B6" w14:textId="77777777" w:rsidR="00A263F5" w:rsidRPr="00A263F5" w:rsidRDefault="00A263F5" w:rsidP="00A263F5">
      <w:pPr>
        <w:rPr>
          <w:b/>
          <w:bCs/>
        </w:rPr>
      </w:pPr>
      <w:r w:rsidRPr="00A263F5">
        <w:rPr>
          <w:b/>
          <w:bCs/>
        </w:rPr>
        <w:t>Does this program replace Qualifying Education (QE) or Continuing Education (CE)?</w:t>
      </w:r>
    </w:p>
    <w:p w14:paraId="6362418E" w14:textId="77777777" w:rsidR="00A263F5" w:rsidRPr="00A263F5" w:rsidRDefault="00A263F5" w:rsidP="00A263F5">
      <w:r w:rsidRPr="00A263F5">
        <w:rPr>
          <w:b/>
          <w:bCs/>
        </w:rPr>
        <w:t>No.</w:t>
      </w:r>
      <w:r w:rsidRPr="00A263F5">
        <w:br/>
        <w:t xml:space="preserve">All participants must complete </w:t>
      </w:r>
      <w:r w:rsidRPr="00A263F5">
        <w:rPr>
          <w:b/>
          <w:bCs/>
        </w:rPr>
        <w:t>all required QE and CE before entering the program</w:t>
      </w:r>
      <w:r w:rsidRPr="00A263F5">
        <w:t>.</w:t>
      </w:r>
      <w:r w:rsidRPr="00A263F5">
        <w:br/>
        <w:t xml:space="preserve">The CRP is strictly an </w:t>
      </w:r>
      <w:r w:rsidRPr="00A263F5">
        <w:rPr>
          <w:b/>
          <w:bCs/>
        </w:rPr>
        <w:t>experience and mentorship program</w:t>
      </w:r>
      <w:r w:rsidRPr="00A263F5">
        <w:t xml:space="preserve"> and does not substitute for education requirements.</w:t>
      </w:r>
    </w:p>
    <w:p w14:paraId="4B79C7A4" w14:textId="77777777" w:rsidR="00A263F5" w:rsidRPr="00A263F5" w:rsidRDefault="00224E1B" w:rsidP="00A263F5">
      <w:r>
        <w:pict w14:anchorId="54D0FE78">
          <v:rect id="_x0000_i1027" style="width:0;height:1.5pt" o:hralign="center" o:hrstd="t" o:hr="t" fillcolor="#a0a0a0" stroked="f"/>
        </w:pict>
      </w:r>
    </w:p>
    <w:p w14:paraId="19ECBD5D" w14:textId="77777777" w:rsidR="00A263F5" w:rsidRPr="00A263F5" w:rsidRDefault="00A263F5" w:rsidP="00A263F5">
      <w:pPr>
        <w:rPr>
          <w:b/>
          <w:bCs/>
        </w:rPr>
      </w:pPr>
      <w:r w:rsidRPr="00A263F5">
        <w:rPr>
          <w:b/>
          <w:bCs/>
        </w:rPr>
        <w:t>Who is eligible to enroll?</w:t>
      </w:r>
    </w:p>
    <w:p w14:paraId="2A296A02" w14:textId="77777777" w:rsidR="00A263F5" w:rsidRPr="00A263F5" w:rsidRDefault="00A263F5" w:rsidP="00A263F5">
      <w:r w:rsidRPr="00A263F5">
        <w:t>To be eligible, applicants must:</w:t>
      </w:r>
    </w:p>
    <w:p w14:paraId="11D4A4AC" w14:textId="77777777" w:rsidR="00A263F5" w:rsidRPr="00A263F5" w:rsidRDefault="00A263F5" w:rsidP="00A263F5">
      <w:pPr>
        <w:numPr>
          <w:ilvl w:val="0"/>
          <w:numId w:val="1"/>
        </w:numPr>
      </w:pPr>
      <w:r w:rsidRPr="00A263F5">
        <w:t xml:space="preserve">Hold an </w:t>
      </w:r>
      <w:r w:rsidRPr="00A263F5">
        <w:rPr>
          <w:b/>
          <w:bCs/>
        </w:rPr>
        <w:t>active Licensed Residential Appraiser license</w:t>
      </w:r>
    </w:p>
    <w:p w14:paraId="25BE1B13" w14:textId="77777777" w:rsidR="00A263F5" w:rsidRPr="00A263F5" w:rsidRDefault="00A263F5" w:rsidP="00A263F5">
      <w:pPr>
        <w:numPr>
          <w:ilvl w:val="0"/>
          <w:numId w:val="1"/>
        </w:numPr>
      </w:pPr>
      <w:r w:rsidRPr="00A263F5">
        <w:t xml:space="preserve">Have </w:t>
      </w:r>
      <w:r w:rsidRPr="00A263F5">
        <w:rPr>
          <w:b/>
          <w:bCs/>
        </w:rPr>
        <w:t>all AQB-required QE completed</w:t>
      </w:r>
      <w:r w:rsidRPr="00A263F5">
        <w:t xml:space="preserve"> for Certified Residential</w:t>
      </w:r>
    </w:p>
    <w:p w14:paraId="09217169" w14:textId="77777777" w:rsidR="00A263F5" w:rsidRPr="00A263F5" w:rsidRDefault="00A263F5" w:rsidP="00A263F5">
      <w:pPr>
        <w:numPr>
          <w:ilvl w:val="0"/>
          <w:numId w:val="1"/>
        </w:numPr>
      </w:pPr>
      <w:r w:rsidRPr="00A263F5">
        <w:t xml:space="preserve">Have </w:t>
      </w:r>
      <w:r w:rsidRPr="00A263F5">
        <w:rPr>
          <w:b/>
          <w:bCs/>
        </w:rPr>
        <w:t>all required CE completed and current</w:t>
      </w:r>
    </w:p>
    <w:p w14:paraId="630883E3" w14:textId="77777777" w:rsidR="00A263F5" w:rsidRPr="00A263F5" w:rsidRDefault="00A263F5" w:rsidP="00A263F5">
      <w:pPr>
        <w:numPr>
          <w:ilvl w:val="0"/>
          <w:numId w:val="1"/>
        </w:numPr>
      </w:pPr>
      <w:r w:rsidRPr="00A263F5">
        <w:t xml:space="preserve">Be eligible to accrue experience under their </w:t>
      </w:r>
      <w:r w:rsidRPr="00A263F5">
        <w:rPr>
          <w:b/>
          <w:bCs/>
        </w:rPr>
        <w:t>state appraisal board rules</w:t>
      </w:r>
    </w:p>
    <w:p w14:paraId="58B884E3" w14:textId="77777777" w:rsidR="00A263F5" w:rsidRPr="00A263F5" w:rsidRDefault="00A263F5" w:rsidP="00A263F5">
      <w:r w:rsidRPr="00A263F5">
        <w:t>Eligibility is verified prior to acceptance.</w:t>
      </w:r>
    </w:p>
    <w:p w14:paraId="39CEE81C" w14:textId="77777777" w:rsidR="00A263F5" w:rsidRPr="00A263F5" w:rsidRDefault="00224E1B" w:rsidP="00A263F5">
      <w:r>
        <w:pict w14:anchorId="70BF2B17">
          <v:rect id="_x0000_i1028" style="width:0;height:1.5pt" o:hralign="center" o:hrstd="t" o:hr="t" fillcolor="#a0a0a0" stroked="f"/>
        </w:pict>
      </w:r>
    </w:p>
    <w:p w14:paraId="51AB4660" w14:textId="77777777" w:rsidR="00A263F5" w:rsidRPr="00A263F5" w:rsidRDefault="00A263F5" w:rsidP="00A263F5">
      <w:pPr>
        <w:rPr>
          <w:b/>
          <w:bCs/>
        </w:rPr>
      </w:pPr>
      <w:r w:rsidRPr="00A263F5">
        <w:rPr>
          <w:b/>
          <w:bCs/>
        </w:rPr>
        <w:t>How long is the program?</w:t>
      </w:r>
    </w:p>
    <w:p w14:paraId="32B7A04D" w14:textId="77777777" w:rsidR="00A263F5" w:rsidRPr="00A263F5" w:rsidRDefault="00A263F5" w:rsidP="00A263F5">
      <w:pPr>
        <w:numPr>
          <w:ilvl w:val="0"/>
          <w:numId w:val="2"/>
        </w:numPr>
      </w:pPr>
      <w:r w:rsidRPr="00A263F5">
        <w:rPr>
          <w:b/>
          <w:bCs/>
        </w:rPr>
        <w:lastRenderedPageBreak/>
        <w:t>Minimum duration:</w:t>
      </w:r>
      <w:r w:rsidRPr="00A263F5">
        <w:t xml:space="preserve"> 6 months</w:t>
      </w:r>
      <w:r w:rsidRPr="00A263F5">
        <w:br/>
        <w:t xml:space="preserve">The program is </w:t>
      </w:r>
      <w:r w:rsidRPr="00A263F5">
        <w:rPr>
          <w:b/>
          <w:bCs/>
        </w:rPr>
        <w:t>competency-based</w:t>
      </w:r>
      <w:r w:rsidRPr="00A263F5">
        <w:t>, not time-rushed. Completion time may vary depending on assignment flow, performance, and state requirements.</w:t>
      </w:r>
    </w:p>
    <w:p w14:paraId="498D7221" w14:textId="77777777" w:rsidR="00A263F5" w:rsidRPr="00A263F5" w:rsidRDefault="00224E1B" w:rsidP="00A263F5">
      <w:r>
        <w:pict w14:anchorId="70E507F7">
          <v:rect id="_x0000_i1029" style="width:0;height:1.5pt" o:hralign="center" o:hrstd="t" o:hr="t" fillcolor="#a0a0a0" stroked="f"/>
        </w:pict>
      </w:r>
    </w:p>
    <w:p w14:paraId="526032C1" w14:textId="77777777" w:rsidR="00A263F5" w:rsidRPr="00A263F5" w:rsidRDefault="00A263F5" w:rsidP="00A263F5">
      <w:pPr>
        <w:rPr>
          <w:b/>
          <w:bCs/>
        </w:rPr>
      </w:pPr>
      <w:r w:rsidRPr="00A263F5">
        <w:rPr>
          <w:b/>
          <w:bCs/>
        </w:rPr>
        <w:t>How much does the program cost?</w:t>
      </w:r>
    </w:p>
    <w:p w14:paraId="4F87FCFD" w14:textId="53C92382" w:rsidR="00A263F5" w:rsidRPr="00A263F5" w:rsidRDefault="00A263F5" w:rsidP="00A263F5">
      <w:pPr>
        <w:numPr>
          <w:ilvl w:val="0"/>
          <w:numId w:val="3"/>
        </w:numPr>
      </w:pPr>
      <w:r w:rsidRPr="00A263F5">
        <w:rPr>
          <w:b/>
          <w:bCs/>
        </w:rPr>
        <w:t>Total Program Cost:</w:t>
      </w:r>
      <w:r w:rsidR="00506949">
        <w:t xml:space="preserve"> Depends on the months it runs</w:t>
      </w:r>
    </w:p>
    <w:p w14:paraId="2F015ED0" w14:textId="77777777" w:rsidR="00A263F5" w:rsidRPr="00A263F5" w:rsidRDefault="00A263F5" w:rsidP="00A263F5">
      <w:r w:rsidRPr="00A263F5">
        <w:t>Enrollment and payment details are provided after acceptance.</w:t>
      </w:r>
    </w:p>
    <w:p w14:paraId="629F106D" w14:textId="77777777" w:rsidR="00A263F5" w:rsidRPr="00A263F5" w:rsidRDefault="00224E1B" w:rsidP="00A263F5">
      <w:r>
        <w:pict w14:anchorId="1D6F7D41">
          <v:rect id="_x0000_i1030" style="width:0;height:1.5pt" o:hralign="center" o:hrstd="t" o:hr="t" fillcolor="#a0a0a0" stroked="f"/>
        </w:pict>
      </w:r>
    </w:p>
    <w:p w14:paraId="0B460EA7" w14:textId="77777777" w:rsidR="00A263F5" w:rsidRPr="00A263F5" w:rsidRDefault="00A263F5" w:rsidP="00A263F5">
      <w:pPr>
        <w:rPr>
          <w:b/>
          <w:bCs/>
        </w:rPr>
      </w:pPr>
      <w:r w:rsidRPr="00A263F5">
        <w:rPr>
          <w:b/>
          <w:bCs/>
        </w:rPr>
        <w:t>What types of appraisal assignments are included?</w:t>
      </w:r>
    </w:p>
    <w:p w14:paraId="19ACC31C" w14:textId="77777777" w:rsidR="00A263F5" w:rsidRPr="00A263F5" w:rsidRDefault="00A263F5" w:rsidP="00A263F5">
      <w:r w:rsidRPr="00A263F5">
        <w:t xml:space="preserve">Participants gain exposure to </w:t>
      </w:r>
      <w:r w:rsidRPr="00A263F5">
        <w:rPr>
          <w:b/>
          <w:bCs/>
        </w:rPr>
        <w:t>Certified Residential–level work</w:t>
      </w:r>
      <w:r w:rsidRPr="00A263F5">
        <w:t>, including:</w:t>
      </w:r>
    </w:p>
    <w:p w14:paraId="13C5C39E" w14:textId="77777777" w:rsidR="00A263F5" w:rsidRPr="00A263F5" w:rsidRDefault="00A263F5" w:rsidP="00A263F5">
      <w:pPr>
        <w:numPr>
          <w:ilvl w:val="0"/>
          <w:numId w:val="4"/>
        </w:numPr>
      </w:pPr>
      <w:r w:rsidRPr="00A263F5">
        <w:t>Complex single-family residences</w:t>
      </w:r>
    </w:p>
    <w:p w14:paraId="24EE51F4" w14:textId="77777777" w:rsidR="00A263F5" w:rsidRPr="00A263F5" w:rsidRDefault="00A263F5" w:rsidP="00A263F5">
      <w:pPr>
        <w:numPr>
          <w:ilvl w:val="0"/>
          <w:numId w:val="4"/>
        </w:numPr>
      </w:pPr>
      <w:r w:rsidRPr="00A263F5">
        <w:t>Rural and acreage properties</w:t>
      </w:r>
    </w:p>
    <w:p w14:paraId="65CAB10A" w14:textId="77777777" w:rsidR="00A263F5" w:rsidRPr="00A263F5" w:rsidRDefault="00A263F5" w:rsidP="00A263F5">
      <w:pPr>
        <w:numPr>
          <w:ilvl w:val="0"/>
          <w:numId w:val="4"/>
        </w:numPr>
      </w:pPr>
      <w:r w:rsidRPr="00A263F5">
        <w:t>Income-influenced residential properties</w:t>
      </w:r>
    </w:p>
    <w:p w14:paraId="2BF6BDB3" w14:textId="77777777" w:rsidR="00A263F5" w:rsidRPr="00A263F5" w:rsidRDefault="00A263F5" w:rsidP="00A263F5">
      <w:pPr>
        <w:numPr>
          <w:ilvl w:val="0"/>
          <w:numId w:val="4"/>
        </w:numPr>
      </w:pPr>
      <w:r w:rsidRPr="00A263F5">
        <w:t>Market analysis and highest &amp; best use</w:t>
      </w:r>
    </w:p>
    <w:p w14:paraId="33D8598A" w14:textId="77777777" w:rsidR="00A263F5" w:rsidRPr="00A263F5" w:rsidRDefault="00A263F5" w:rsidP="00A263F5">
      <w:pPr>
        <w:numPr>
          <w:ilvl w:val="0"/>
          <w:numId w:val="4"/>
        </w:numPr>
      </w:pPr>
      <w:r w:rsidRPr="00A263F5">
        <w:t>Paired sales, extraction, and reconciliation techniques</w:t>
      </w:r>
    </w:p>
    <w:p w14:paraId="0DEFD0FD" w14:textId="77777777" w:rsidR="00A263F5" w:rsidRPr="00A263F5" w:rsidRDefault="00A263F5" w:rsidP="00A263F5">
      <w:r w:rsidRPr="00A263F5">
        <w:t xml:space="preserve">All assignments are completed under </w:t>
      </w:r>
      <w:r w:rsidRPr="00A263F5">
        <w:rPr>
          <w:b/>
          <w:bCs/>
        </w:rPr>
        <w:t>direct supervisory oversight</w:t>
      </w:r>
      <w:r w:rsidRPr="00A263F5">
        <w:t>.</w:t>
      </w:r>
    </w:p>
    <w:p w14:paraId="443122D2" w14:textId="77777777" w:rsidR="00A263F5" w:rsidRPr="00A263F5" w:rsidRDefault="00224E1B" w:rsidP="00A263F5">
      <w:r>
        <w:pict w14:anchorId="5924D717">
          <v:rect id="_x0000_i1031" style="width:0;height:1.5pt" o:hralign="center" o:hrstd="t" o:hr="t" fillcolor="#a0a0a0" stroked="f"/>
        </w:pict>
      </w:r>
    </w:p>
    <w:p w14:paraId="2C11B2E0" w14:textId="77777777" w:rsidR="00A263F5" w:rsidRPr="00A263F5" w:rsidRDefault="00A263F5" w:rsidP="00A263F5">
      <w:pPr>
        <w:rPr>
          <w:b/>
          <w:bCs/>
        </w:rPr>
      </w:pPr>
      <w:r w:rsidRPr="00A263F5">
        <w:rPr>
          <w:b/>
          <w:bCs/>
        </w:rPr>
        <w:t>How are experience hours documented?</w:t>
      </w:r>
    </w:p>
    <w:p w14:paraId="3E07F405" w14:textId="77777777" w:rsidR="00A263F5" w:rsidRPr="00A263F5" w:rsidRDefault="00A263F5" w:rsidP="00A263F5">
      <w:r w:rsidRPr="00A263F5">
        <w:t>Experience is tracked using:</w:t>
      </w:r>
    </w:p>
    <w:p w14:paraId="522949F1" w14:textId="77777777" w:rsidR="00A263F5" w:rsidRPr="00A263F5" w:rsidRDefault="00A263F5" w:rsidP="00A263F5">
      <w:pPr>
        <w:numPr>
          <w:ilvl w:val="0"/>
          <w:numId w:val="5"/>
        </w:numPr>
      </w:pPr>
      <w:r w:rsidRPr="00A263F5">
        <w:t>State board–acceptable experience logs</w:t>
      </w:r>
    </w:p>
    <w:p w14:paraId="1506927F" w14:textId="77777777" w:rsidR="00A263F5" w:rsidRPr="00A263F5" w:rsidRDefault="00A263F5" w:rsidP="00A263F5">
      <w:pPr>
        <w:numPr>
          <w:ilvl w:val="0"/>
          <w:numId w:val="5"/>
        </w:numPr>
      </w:pPr>
      <w:r w:rsidRPr="00A263F5">
        <w:t xml:space="preserve">USPAP-compliant </w:t>
      </w:r>
      <w:proofErr w:type="spellStart"/>
      <w:r w:rsidRPr="00A263F5">
        <w:t>workfiles</w:t>
      </w:r>
      <w:proofErr w:type="spellEnd"/>
    </w:p>
    <w:p w14:paraId="382ED3DA" w14:textId="77777777" w:rsidR="00A263F5" w:rsidRPr="00A263F5" w:rsidRDefault="00A263F5" w:rsidP="00A263F5">
      <w:pPr>
        <w:numPr>
          <w:ilvl w:val="0"/>
          <w:numId w:val="5"/>
        </w:numPr>
      </w:pPr>
      <w:r w:rsidRPr="00A263F5">
        <w:t>Assignment-level competency checklists</w:t>
      </w:r>
    </w:p>
    <w:p w14:paraId="77821122" w14:textId="77777777" w:rsidR="00A263F5" w:rsidRPr="00A263F5" w:rsidRDefault="00A263F5" w:rsidP="00A263F5">
      <w:pPr>
        <w:numPr>
          <w:ilvl w:val="0"/>
          <w:numId w:val="5"/>
        </w:numPr>
      </w:pPr>
      <w:r w:rsidRPr="00A263F5">
        <w:t>Supervisory review and sign-off</w:t>
      </w:r>
    </w:p>
    <w:p w14:paraId="53D8355E" w14:textId="77777777" w:rsidR="00A263F5" w:rsidRPr="00A263F5" w:rsidRDefault="00A263F5" w:rsidP="00A263F5">
      <w:r w:rsidRPr="00A263F5">
        <w:t xml:space="preserve">Documentation is designed to be </w:t>
      </w:r>
      <w:proofErr w:type="spellStart"/>
      <w:proofErr w:type="gramStart"/>
      <w:r w:rsidRPr="00A263F5">
        <w:rPr>
          <w:b/>
          <w:bCs/>
        </w:rPr>
        <w:t>board</w:t>
      </w:r>
      <w:proofErr w:type="spellEnd"/>
      <w:r w:rsidRPr="00A263F5">
        <w:rPr>
          <w:b/>
          <w:bCs/>
        </w:rPr>
        <w:t>-ready</w:t>
      </w:r>
      <w:proofErr w:type="gramEnd"/>
      <w:r w:rsidRPr="00A263F5">
        <w:t>.</w:t>
      </w:r>
    </w:p>
    <w:p w14:paraId="28844645" w14:textId="77777777" w:rsidR="00A263F5" w:rsidRPr="00A263F5" w:rsidRDefault="00224E1B" w:rsidP="00A263F5">
      <w:r>
        <w:pict w14:anchorId="755C7B33">
          <v:rect id="_x0000_i1032" style="width:0;height:1.5pt" o:hralign="center" o:hrstd="t" o:hr="t" fillcolor="#a0a0a0" stroked="f"/>
        </w:pict>
      </w:r>
    </w:p>
    <w:p w14:paraId="758886DA" w14:textId="77777777" w:rsidR="00A263F5" w:rsidRPr="00A263F5" w:rsidRDefault="00A263F5" w:rsidP="00A263F5">
      <w:pPr>
        <w:rPr>
          <w:b/>
          <w:bCs/>
        </w:rPr>
      </w:pPr>
      <w:r w:rsidRPr="00A263F5">
        <w:rPr>
          <w:b/>
          <w:bCs/>
        </w:rPr>
        <w:lastRenderedPageBreak/>
        <w:t>Who provides supervision?</w:t>
      </w:r>
    </w:p>
    <w:p w14:paraId="11AA4578" w14:textId="77777777" w:rsidR="00A263F5" w:rsidRPr="00A263F5" w:rsidRDefault="00A263F5" w:rsidP="00A263F5">
      <w:r w:rsidRPr="00A263F5">
        <w:t xml:space="preserve">Supervision is provided by an </w:t>
      </w:r>
      <w:r w:rsidRPr="00A263F5">
        <w:rPr>
          <w:b/>
          <w:bCs/>
        </w:rPr>
        <w:t>active Certified Residential Appraiser</w:t>
      </w:r>
      <w:r w:rsidRPr="00A263F5">
        <w:t>, in compliance with state supervisory requirements.</w:t>
      </w:r>
      <w:r w:rsidRPr="00A263F5">
        <w:br/>
        <w:t xml:space="preserve">This program emphasizes </w:t>
      </w:r>
      <w:r w:rsidRPr="00A263F5">
        <w:rPr>
          <w:b/>
          <w:bCs/>
        </w:rPr>
        <w:t>education and mentorship</w:t>
      </w:r>
      <w:r w:rsidRPr="00A263F5">
        <w:t>, not signature-only supervision.</w:t>
      </w:r>
    </w:p>
    <w:p w14:paraId="4C37D234" w14:textId="77777777" w:rsidR="00A263F5" w:rsidRPr="00A263F5" w:rsidRDefault="00224E1B" w:rsidP="00A263F5">
      <w:r>
        <w:pict w14:anchorId="77EF384E">
          <v:rect id="_x0000_i1033" style="width:0;height:1.5pt" o:hralign="center" o:hrstd="t" o:hr="t" fillcolor="#a0a0a0" stroked="f"/>
        </w:pict>
      </w:r>
    </w:p>
    <w:p w14:paraId="1487E4EB" w14:textId="77777777" w:rsidR="00A263F5" w:rsidRPr="00A263F5" w:rsidRDefault="00A263F5" w:rsidP="00A263F5">
      <w:pPr>
        <w:rPr>
          <w:b/>
          <w:bCs/>
        </w:rPr>
      </w:pPr>
      <w:r w:rsidRPr="00A263F5">
        <w:rPr>
          <w:b/>
          <w:bCs/>
        </w:rPr>
        <w:t>Is this program approved by my state appraisal board?</w:t>
      </w:r>
    </w:p>
    <w:p w14:paraId="3C65BE8C" w14:textId="77777777" w:rsidR="00A263F5" w:rsidRPr="00A263F5" w:rsidRDefault="00A263F5" w:rsidP="00A263F5">
      <w:r w:rsidRPr="00A263F5">
        <w:t>State requirements vary.</w:t>
      </w:r>
      <w:r w:rsidRPr="00A263F5">
        <w:br/>
        <w:t xml:space="preserve">The CRP is designed to </w:t>
      </w:r>
      <w:r w:rsidRPr="00A263F5">
        <w:rPr>
          <w:b/>
          <w:bCs/>
        </w:rPr>
        <w:t>align with AQB standards and common state board expectations</w:t>
      </w:r>
      <w:r w:rsidRPr="00A263F5">
        <w:t xml:space="preserve">, but </w:t>
      </w:r>
      <w:r w:rsidRPr="00A263F5">
        <w:rPr>
          <w:b/>
          <w:bCs/>
        </w:rPr>
        <w:t>final acceptance of experience hours is determined by each individual state board</w:t>
      </w:r>
      <w:r w:rsidRPr="00A263F5">
        <w:t>.</w:t>
      </w:r>
    </w:p>
    <w:p w14:paraId="264BDD06" w14:textId="77777777" w:rsidR="00A263F5" w:rsidRPr="00A263F5" w:rsidRDefault="00A263F5" w:rsidP="00A263F5">
      <w:r w:rsidRPr="00A263F5">
        <w:t>Applicants are encouraged to confirm acceptance with their board prior to enrollment.</w:t>
      </w:r>
    </w:p>
    <w:p w14:paraId="476AF2B1" w14:textId="77777777" w:rsidR="00A263F5" w:rsidRPr="00A263F5" w:rsidRDefault="00224E1B" w:rsidP="00A263F5">
      <w:r>
        <w:pict w14:anchorId="2F4FEE04">
          <v:rect id="_x0000_i1034" style="width:0;height:1.5pt" o:hralign="center" o:hrstd="t" o:hr="t" fillcolor="#a0a0a0" stroked="f"/>
        </w:pict>
      </w:r>
    </w:p>
    <w:p w14:paraId="6CED3D06" w14:textId="77777777" w:rsidR="00A263F5" w:rsidRPr="00A263F5" w:rsidRDefault="00A263F5" w:rsidP="00A263F5">
      <w:pPr>
        <w:rPr>
          <w:b/>
          <w:bCs/>
        </w:rPr>
      </w:pPr>
      <w:r w:rsidRPr="00A263F5">
        <w:rPr>
          <w:b/>
          <w:bCs/>
        </w:rPr>
        <w:t>Does completing the program guarantee certification?</w:t>
      </w:r>
    </w:p>
    <w:p w14:paraId="644B0F61" w14:textId="77777777" w:rsidR="00A263F5" w:rsidRPr="00A263F5" w:rsidRDefault="00A263F5" w:rsidP="00A263F5">
      <w:r w:rsidRPr="00A263F5">
        <w:rPr>
          <w:b/>
          <w:bCs/>
        </w:rPr>
        <w:t>No.</w:t>
      </w:r>
      <w:r w:rsidRPr="00A263F5">
        <w:br/>
        <w:t>Completion of the program does not guarantee licensure or certification. Final approval rests with the applicable state appraisal board.</w:t>
      </w:r>
    </w:p>
    <w:p w14:paraId="2E99F45A" w14:textId="77777777" w:rsidR="00A263F5" w:rsidRPr="00A263F5" w:rsidRDefault="00224E1B" w:rsidP="00A263F5">
      <w:r>
        <w:pict w14:anchorId="286AD5AA">
          <v:rect id="_x0000_i1035" style="width:0;height:1.5pt" o:hralign="center" o:hrstd="t" o:hr="t" fillcolor="#a0a0a0" stroked="f"/>
        </w:pict>
      </w:r>
    </w:p>
    <w:p w14:paraId="633FDAB0" w14:textId="77777777" w:rsidR="00A263F5" w:rsidRPr="00A263F5" w:rsidRDefault="00A263F5" w:rsidP="00A263F5">
      <w:pPr>
        <w:rPr>
          <w:b/>
          <w:bCs/>
        </w:rPr>
      </w:pPr>
      <w:r w:rsidRPr="00A263F5">
        <w:rPr>
          <w:b/>
          <w:bCs/>
        </w:rPr>
        <w:t>Is enrollment limited?</w:t>
      </w:r>
    </w:p>
    <w:p w14:paraId="23B58268" w14:textId="77777777" w:rsidR="00A263F5" w:rsidRPr="00A263F5" w:rsidRDefault="00A263F5" w:rsidP="00A263F5">
      <w:r w:rsidRPr="00A263F5">
        <w:t xml:space="preserve">Yes. Enrollment is </w:t>
      </w:r>
      <w:r w:rsidRPr="00A263F5">
        <w:rPr>
          <w:b/>
          <w:bCs/>
        </w:rPr>
        <w:t>intentionally limited</w:t>
      </w:r>
      <w:r w:rsidRPr="00A263F5">
        <w:t xml:space="preserve"> to ensure:</w:t>
      </w:r>
    </w:p>
    <w:p w14:paraId="05589BEA" w14:textId="77777777" w:rsidR="00A263F5" w:rsidRPr="00A263F5" w:rsidRDefault="00A263F5" w:rsidP="00A263F5">
      <w:pPr>
        <w:numPr>
          <w:ilvl w:val="0"/>
          <w:numId w:val="6"/>
        </w:numPr>
      </w:pPr>
      <w:r w:rsidRPr="00A263F5">
        <w:t>Quality supervision</w:t>
      </w:r>
    </w:p>
    <w:p w14:paraId="3362021A" w14:textId="77777777" w:rsidR="00A263F5" w:rsidRPr="00A263F5" w:rsidRDefault="00A263F5" w:rsidP="00A263F5">
      <w:pPr>
        <w:numPr>
          <w:ilvl w:val="0"/>
          <w:numId w:val="6"/>
        </w:numPr>
      </w:pPr>
      <w:r w:rsidRPr="00A263F5">
        <w:t>Meaningful mentorship</w:t>
      </w:r>
    </w:p>
    <w:p w14:paraId="51F76BB9" w14:textId="77777777" w:rsidR="00A263F5" w:rsidRPr="00A263F5" w:rsidRDefault="00A263F5" w:rsidP="00A263F5">
      <w:pPr>
        <w:numPr>
          <w:ilvl w:val="0"/>
          <w:numId w:val="6"/>
        </w:numPr>
      </w:pPr>
      <w:r w:rsidRPr="00A263F5">
        <w:t>Compliance with regulatory standards</w:t>
      </w:r>
    </w:p>
    <w:p w14:paraId="1BEC6E9A" w14:textId="77777777" w:rsidR="00A263F5" w:rsidRPr="00A263F5" w:rsidRDefault="00A263F5" w:rsidP="00A263F5">
      <w:pPr>
        <w:numPr>
          <w:ilvl w:val="0"/>
          <w:numId w:val="6"/>
        </w:numPr>
      </w:pPr>
      <w:r w:rsidRPr="00A263F5">
        <w:t>Individualized feedback and review</w:t>
      </w:r>
    </w:p>
    <w:p w14:paraId="585BCDFB" w14:textId="77777777" w:rsidR="00A263F5" w:rsidRPr="00A263F5" w:rsidRDefault="00224E1B" w:rsidP="00A263F5">
      <w:r>
        <w:pict w14:anchorId="259395CE">
          <v:rect id="_x0000_i1036" style="width:0;height:1.5pt" o:hralign="center" o:hrstd="t" o:hr="t" fillcolor="#a0a0a0" stroked="f"/>
        </w:pict>
      </w:r>
    </w:p>
    <w:p w14:paraId="54F9ED53" w14:textId="77777777" w:rsidR="00A263F5" w:rsidRPr="00A263F5" w:rsidRDefault="00A263F5" w:rsidP="00A263F5">
      <w:pPr>
        <w:rPr>
          <w:b/>
          <w:bCs/>
        </w:rPr>
      </w:pPr>
      <w:r w:rsidRPr="00A263F5">
        <w:rPr>
          <w:b/>
          <w:bCs/>
        </w:rPr>
        <w:t>How do I get more information or apply?</w:t>
      </w:r>
    </w:p>
    <w:p w14:paraId="13126C83" w14:textId="77777777" w:rsidR="00A263F5" w:rsidRPr="00A263F5" w:rsidRDefault="00A263F5" w:rsidP="00A263F5">
      <w:r w:rsidRPr="00A263F5">
        <w:t>To request program details or begin the enrollment process, contact:</w:t>
      </w:r>
    </w:p>
    <w:p w14:paraId="44D98B85" w14:textId="77777777" w:rsidR="00A263F5" w:rsidRPr="00A263F5" w:rsidRDefault="00A263F5" w:rsidP="00A263F5">
      <w:r w:rsidRPr="00A263F5">
        <w:rPr>
          <w:b/>
          <w:bCs/>
        </w:rPr>
        <w:lastRenderedPageBreak/>
        <w:t>Elite Appraisal Academy</w:t>
      </w:r>
      <w:r w:rsidRPr="00A263F5">
        <w:br/>
      </w:r>
      <w:r w:rsidRPr="00A263F5">
        <w:rPr>
          <w:rFonts w:ascii="Segoe UI Emoji" w:hAnsi="Segoe UI Emoji" w:cs="Segoe UI Emoji"/>
        </w:rPr>
        <w:t>📧</w:t>
      </w:r>
      <w:r w:rsidRPr="00A263F5">
        <w:t xml:space="preserve"> </w:t>
      </w:r>
      <w:proofErr w:type="spellStart"/>
      <w:r w:rsidRPr="00A263F5">
        <w:rPr>
          <w:b/>
          <w:bCs/>
        </w:rPr>
        <w:t>linda@eas.home</w:t>
      </w:r>
      <w:proofErr w:type="spellEnd"/>
      <w:r w:rsidRPr="00A263F5">
        <w:br/>
      </w:r>
      <w:r w:rsidRPr="00A263F5">
        <w:rPr>
          <w:rFonts w:ascii="Segoe UI Emoji" w:hAnsi="Segoe UI Emoji" w:cs="Segoe UI Emoji"/>
        </w:rPr>
        <w:t>🌐</w:t>
      </w:r>
      <w:r w:rsidRPr="00A263F5">
        <w:t xml:space="preserve"> </w:t>
      </w:r>
      <w:hyperlink r:id="rId7" w:tgtFrame="_new" w:history="1">
        <w:r w:rsidRPr="00A263F5">
          <w:rPr>
            <w:rStyle w:val="Hyperlink"/>
            <w:b/>
            <w:bCs/>
          </w:rPr>
          <w:t>www.eliteappraisalservices.com</w:t>
        </w:r>
      </w:hyperlink>
    </w:p>
    <w:p w14:paraId="51DEC59E" w14:textId="77777777" w:rsidR="00796A19" w:rsidRDefault="00796A19"/>
    <w:sectPr w:rsidR="00796A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351E" w14:textId="77777777" w:rsidR="009B7356" w:rsidRDefault="009B7356" w:rsidP="009B7356">
      <w:pPr>
        <w:spacing w:after="0" w:line="240" w:lineRule="auto"/>
      </w:pPr>
      <w:r>
        <w:separator/>
      </w:r>
    </w:p>
  </w:endnote>
  <w:endnote w:type="continuationSeparator" w:id="0">
    <w:p w14:paraId="03F488C6" w14:textId="77777777" w:rsidR="009B7356" w:rsidRDefault="009B7356" w:rsidP="009B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49FA" w14:textId="77777777" w:rsidR="009B7356" w:rsidRDefault="009B7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82AC" w14:textId="77777777" w:rsidR="001F3BC0" w:rsidRPr="00B33021" w:rsidRDefault="001F3BC0" w:rsidP="001F3BC0">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E004" w14:textId="77777777" w:rsidR="009B7356" w:rsidRDefault="009B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11CE" w14:textId="77777777" w:rsidR="009B7356" w:rsidRDefault="009B7356" w:rsidP="009B7356">
      <w:pPr>
        <w:spacing w:after="0" w:line="240" w:lineRule="auto"/>
      </w:pPr>
      <w:r>
        <w:separator/>
      </w:r>
    </w:p>
  </w:footnote>
  <w:footnote w:type="continuationSeparator" w:id="0">
    <w:p w14:paraId="3ADCCFD5" w14:textId="77777777" w:rsidR="009B7356" w:rsidRDefault="009B7356" w:rsidP="009B7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7A87" w14:textId="77777777" w:rsidR="009B7356" w:rsidRDefault="009B7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5624" w14:textId="77777777" w:rsidR="009B7356" w:rsidRDefault="009B7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EA10" w14:textId="77777777" w:rsidR="009B7356" w:rsidRDefault="009B7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887"/>
    <w:multiLevelType w:val="multilevel"/>
    <w:tmpl w:val="44D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71AD"/>
    <w:multiLevelType w:val="multilevel"/>
    <w:tmpl w:val="944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373F2"/>
    <w:multiLevelType w:val="multilevel"/>
    <w:tmpl w:val="9DF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86E4E"/>
    <w:multiLevelType w:val="multilevel"/>
    <w:tmpl w:val="F01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C3638"/>
    <w:multiLevelType w:val="multilevel"/>
    <w:tmpl w:val="8E9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17270"/>
    <w:multiLevelType w:val="multilevel"/>
    <w:tmpl w:val="F48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55344">
    <w:abstractNumId w:val="2"/>
  </w:num>
  <w:num w:numId="2" w16cid:durableId="1272513873">
    <w:abstractNumId w:val="0"/>
  </w:num>
  <w:num w:numId="3" w16cid:durableId="1194223760">
    <w:abstractNumId w:val="3"/>
  </w:num>
  <w:num w:numId="4" w16cid:durableId="1516579507">
    <w:abstractNumId w:val="1"/>
  </w:num>
  <w:num w:numId="5" w16cid:durableId="888147026">
    <w:abstractNumId w:val="4"/>
  </w:num>
  <w:num w:numId="6" w16cid:durableId="134690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F5"/>
    <w:rsid w:val="00113622"/>
    <w:rsid w:val="001F3BC0"/>
    <w:rsid w:val="00224E1B"/>
    <w:rsid w:val="00506949"/>
    <w:rsid w:val="006A516E"/>
    <w:rsid w:val="00700453"/>
    <w:rsid w:val="00796A19"/>
    <w:rsid w:val="008F112E"/>
    <w:rsid w:val="009B7356"/>
    <w:rsid w:val="00A263F5"/>
    <w:rsid w:val="00BD4FCD"/>
    <w:rsid w:val="00C6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836F10D"/>
  <w15:chartTrackingRefBased/>
  <w15:docId w15:val="{5876D9DE-67B3-4C21-8501-F8B95234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3F5"/>
    <w:rPr>
      <w:rFonts w:eastAsiaTheme="majorEastAsia" w:cstheme="majorBidi"/>
      <w:color w:val="272727" w:themeColor="text1" w:themeTint="D8"/>
    </w:rPr>
  </w:style>
  <w:style w:type="paragraph" w:styleId="Title">
    <w:name w:val="Title"/>
    <w:basedOn w:val="Normal"/>
    <w:next w:val="Normal"/>
    <w:link w:val="TitleChar"/>
    <w:uiPriority w:val="10"/>
    <w:qFormat/>
    <w:rsid w:val="00A26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3F5"/>
    <w:pPr>
      <w:spacing w:before="160"/>
      <w:jc w:val="center"/>
    </w:pPr>
    <w:rPr>
      <w:i/>
      <w:iCs/>
      <w:color w:val="404040" w:themeColor="text1" w:themeTint="BF"/>
    </w:rPr>
  </w:style>
  <w:style w:type="character" w:customStyle="1" w:styleId="QuoteChar">
    <w:name w:val="Quote Char"/>
    <w:basedOn w:val="DefaultParagraphFont"/>
    <w:link w:val="Quote"/>
    <w:uiPriority w:val="29"/>
    <w:rsid w:val="00A263F5"/>
    <w:rPr>
      <w:i/>
      <w:iCs/>
      <w:color w:val="404040" w:themeColor="text1" w:themeTint="BF"/>
    </w:rPr>
  </w:style>
  <w:style w:type="paragraph" w:styleId="ListParagraph">
    <w:name w:val="List Paragraph"/>
    <w:basedOn w:val="Normal"/>
    <w:uiPriority w:val="34"/>
    <w:qFormat/>
    <w:rsid w:val="00A263F5"/>
    <w:pPr>
      <w:ind w:left="720"/>
      <w:contextualSpacing/>
    </w:pPr>
  </w:style>
  <w:style w:type="character" w:styleId="IntenseEmphasis">
    <w:name w:val="Intense Emphasis"/>
    <w:basedOn w:val="DefaultParagraphFont"/>
    <w:uiPriority w:val="21"/>
    <w:qFormat/>
    <w:rsid w:val="00A263F5"/>
    <w:rPr>
      <w:i/>
      <w:iCs/>
      <w:color w:val="0F4761" w:themeColor="accent1" w:themeShade="BF"/>
    </w:rPr>
  </w:style>
  <w:style w:type="paragraph" w:styleId="IntenseQuote">
    <w:name w:val="Intense Quote"/>
    <w:basedOn w:val="Normal"/>
    <w:next w:val="Normal"/>
    <w:link w:val="IntenseQuoteChar"/>
    <w:uiPriority w:val="30"/>
    <w:qFormat/>
    <w:rsid w:val="00A2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3F5"/>
    <w:rPr>
      <w:i/>
      <w:iCs/>
      <w:color w:val="0F4761" w:themeColor="accent1" w:themeShade="BF"/>
    </w:rPr>
  </w:style>
  <w:style w:type="character" w:styleId="IntenseReference">
    <w:name w:val="Intense Reference"/>
    <w:basedOn w:val="DefaultParagraphFont"/>
    <w:uiPriority w:val="32"/>
    <w:qFormat/>
    <w:rsid w:val="00A263F5"/>
    <w:rPr>
      <w:b/>
      <w:bCs/>
      <w:smallCaps/>
      <w:color w:val="0F4761" w:themeColor="accent1" w:themeShade="BF"/>
      <w:spacing w:val="5"/>
    </w:rPr>
  </w:style>
  <w:style w:type="character" w:styleId="Hyperlink">
    <w:name w:val="Hyperlink"/>
    <w:basedOn w:val="DefaultParagraphFont"/>
    <w:uiPriority w:val="99"/>
    <w:unhideWhenUsed/>
    <w:rsid w:val="00A263F5"/>
    <w:rPr>
      <w:color w:val="467886" w:themeColor="hyperlink"/>
      <w:u w:val="single"/>
    </w:rPr>
  </w:style>
  <w:style w:type="character" w:styleId="UnresolvedMention">
    <w:name w:val="Unresolved Mention"/>
    <w:basedOn w:val="DefaultParagraphFont"/>
    <w:uiPriority w:val="99"/>
    <w:semiHidden/>
    <w:unhideWhenUsed/>
    <w:rsid w:val="00A263F5"/>
    <w:rPr>
      <w:color w:val="605E5C"/>
      <w:shd w:val="clear" w:color="auto" w:fill="E1DFDD"/>
    </w:rPr>
  </w:style>
  <w:style w:type="paragraph" w:styleId="Header">
    <w:name w:val="header"/>
    <w:basedOn w:val="Normal"/>
    <w:link w:val="HeaderChar"/>
    <w:uiPriority w:val="99"/>
    <w:unhideWhenUsed/>
    <w:rsid w:val="009B7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56"/>
  </w:style>
  <w:style w:type="paragraph" w:styleId="Footer">
    <w:name w:val="footer"/>
    <w:basedOn w:val="Normal"/>
    <w:link w:val="FooterChar"/>
    <w:uiPriority w:val="99"/>
    <w:unhideWhenUsed/>
    <w:rsid w:val="009B7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iteappraisalserv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424</Words>
  <Characters>2782</Characters>
  <Application>Microsoft Office Word</Application>
  <DocSecurity>0</DocSecurity>
  <Lines>79</Lines>
  <Paragraphs>49</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7</cp:revision>
  <dcterms:created xsi:type="dcterms:W3CDTF">2026-01-07T15:21:00Z</dcterms:created>
  <dcterms:modified xsi:type="dcterms:W3CDTF">2026-01-08T14:37:00Z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7cb6ba89-150c-4c64-a13b-439529e61105</vt:lpwstr>
  </property>
</Properties>
</file>