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200" w:lineRule="auto"/>
        <w:rPr/>
      </w:pPr>
      <w:r w:rsidDel="00000000" w:rsidR="00000000" w:rsidRPr="00000000">
        <w:rPr>
          <w:rFonts w:ascii="Calibri" w:cs="Calibri" w:eastAsia="Calibri" w:hAnsi="Calibri"/>
          <w:b w:val="1"/>
          <w:bCs w:val="1"/>
          <w:i w:val="0"/>
          <w:iCs w:val="0"/>
          <w:color w:val="c8a951"/>
          <w:sz w:val="20"/>
          <w:szCs w:val="20"/>
          <w:rtl w:val="0"/>
        </w:rPr>
        <w:t xml:space="preserve">TOWN OF LYNNFIELD</w:t>
      </w:r>
      <w:r w:rsidDel="00000000" w:rsidR="00000000" w:rsidRPr="00000000">
        <w:rPr>
          <w:rtl w:val="0"/>
        </w:rPr>
      </w:r>
    </w:p>
    <w:p w:rsidR="00000000" w:rsidDel="00000000" w:rsidP="00000000" w:rsidRDefault="00000000" w:rsidRPr="00000000" w14:paraId="00000002">
      <w:pPr>
        <w:spacing w:after="80" w:lineRule="auto"/>
        <w:rPr/>
      </w:pPr>
      <w:r w:rsidDel="00000000" w:rsidR="00000000" w:rsidRPr="00000000">
        <w:rPr>
          <w:rFonts w:ascii="Calibri" w:cs="Calibri" w:eastAsia="Calibri" w:hAnsi="Calibri"/>
          <w:b w:val="1"/>
          <w:bCs w:val="1"/>
          <w:i w:val="0"/>
          <w:iCs w:val="0"/>
          <w:color w:val="17365d"/>
          <w:sz w:val="46"/>
          <w:szCs w:val="46"/>
          <w:rtl w:val="0"/>
        </w:rPr>
        <w:t xml:space="preserve">Anti-Hate Task Force Meeting Notes</w:t>
      </w:r>
      <w:r w:rsidDel="00000000" w:rsidR="00000000" w:rsidRPr="00000000">
        <w:rPr>
          <w:rtl w:val="0"/>
        </w:rPr>
      </w:r>
    </w:p>
    <w:p w:rsidR="00000000" w:rsidDel="00000000" w:rsidP="00000000" w:rsidRDefault="00000000" w:rsidRPr="00000000" w14:paraId="00000003">
      <w:pPr>
        <w:spacing w:after="40" w:lineRule="auto"/>
        <w:rPr/>
      </w:pPr>
      <w:r w:rsidDel="00000000" w:rsidR="00000000" w:rsidRPr="00000000">
        <w:rPr>
          <w:rFonts w:ascii="Calibri" w:cs="Calibri" w:eastAsia="Calibri" w:hAnsi="Calibri"/>
          <w:b w:val="0"/>
          <w:bCs w:val="0"/>
          <w:i w:val="0"/>
          <w:iCs w:val="0"/>
          <w:color w:val="2f5597"/>
          <w:sz w:val="26"/>
          <w:szCs w:val="26"/>
          <w:rtl w:val="0"/>
        </w:rPr>
        <w:t xml:space="preserve">Designing Lynnfield’s Community Infrastructure</w:t>
      </w:r>
      <w:r w:rsidDel="00000000" w:rsidR="00000000" w:rsidRPr="00000000">
        <w:rPr>
          <w:rtl w:val="0"/>
        </w:rPr>
      </w:r>
    </w:p>
    <w:p w:rsidR="00000000" w:rsidDel="00000000" w:rsidP="00000000" w:rsidRDefault="00000000" w:rsidRPr="00000000" w14:paraId="00000004">
      <w:pPr>
        <w:spacing w:after="260" w:lineRule="auto"/>
        <w:rPr/>
      </w:pPr>
      <w:r w:rsidDel="00000000" w:rsidR="00000000" w:rsidRPr="00000000">
        <w:rPr>
          <w:rFonts w:ascii="Calibri" w:cs="Calibri" w:eastAsia="Calibri" w:hAnsi="Calibri"/>
          <w:b w:val="1"/>
          <w:bCs w:val="1"/>
          <w:i w:val="0"/>
          <w:iCs w:val="0"/>
          <w:color w:val="5b6573"/>
          <w:sz w:val="19"/>
          <w:szCs w:val="19"/>
          <w:rtl w:val="0"/>
        </w:rPr>
        <w:t xml:space="preserve">Thursday, July 23, 2026 • 6:00 p.m. • Lynnfield Town Hall, Maney Room</w:t>
      </w:r>
      <w:r w:rsidDel="00000000" w:rsidR="00000000" w:rsidRPr="00000000">
        <w:rPr>
          <w:rtl w:val="0"/>
        </w:rPr>
      </w:r>
    </w:p>
    <w:p w:rsidR="00000000" w:rsidDel="00000000" w:rsidP="00000000" w:rsidRDefault="00000000" w:rsidRPr="00000000" w14:paraId="00000005">
      <w:pPr>
        <w:pBdr>
          <w:bottom w:color="c8a951" w:space="1" w:sz="18" w:val="single"/>
        </w:pBdr>
        <w:spacing w:after="200" w:lineRule="auto"/>
        <w:rPr/>
      </w:pPr>
      <w:r w:rsidDel="00000000" w:rsidR="00000000" w:rsidRPr="00000000">
        <w:rPr>
          <w:rtl w:val="0"/>
        </w:rPr>
      </w:r>
    </w:p>
    <w:tbl>
      <w:tblPr>
        <w:tblStyle w:val="Table1"/>
        <w:tblW w:w="9576.0" w:type="dxa"/>
        <w:jc w:val="center"/>
        <w:tblLayout w:type="fixed"/>
        <w:tblLook w:val="0400"/>
      </w:tblPr>
      <w:tblGrid>
        <w:gridCol w:w="9576"/>
        <w:tblGridChange w:id="0">
          <w:tblGrid>
            <w:gridCol w:w="9576"/>
          </w:tblGrid>
        </w:tblGridChange>
      </w:tblGrid>
      <w:tr>
        <w:trPr>
          <w:cantSplit w:val="0"/>
          <w:tblHeader w:val="0"/>
        </w:trPr>
        <w:tc>
          <w:tcPr>
            <w:shd w:fill="f5efd8" w:val="clear"/>
            <w:tcMar>
              <w:top w:w="130.0" w:type="dxa"/>
              <w:bottom w:w="130.0" w:type="dxa"/>
            </w:tcMar>
            <w:vAlign w:val="center"/>
          </w:tcPr>
          <w:p w:rsidR="00000000" w:rsidDel="00000000" w:rsidP="00000000" w:rsidRDefault="00000000" w:rsidRPr="00000000" w14:paraId="00000006">
            <w:pPr>
              <w:spacing w:after="40" w:lineRule="auto"/>
              <w:rPr/>
            </w:pPr>
            <w:r w:rsidDel="00000000" w:rsidR="00000000" w:rsidRPr="00000000">
              <w:rPr>
                <w:rFonts w:ascii="Calibri" w:cs="Calibri" w:eastAsia="Calibri" w:hAnsi="Calibri"/>
                <w:b w:val="1"/>
                <w:bCs w:val="1"/>
                <w:i w:val="0"/>
                <w:iCs w:val="0"/>
                <w:color w:val="17365d"/>
                <w:sz w:val="21"/>
                <w:szCs w:val="21"/>
                <w:rtl w:val="0"/>
              </w:rPr>
              <w:t xml:space="preserve">Status of these notes  </w:t>
            </w:r>
            <w:r w:rsidDel="00000000" w:rsidR="00000000" w:rsidRPr="00000000">
              <w:rPr>
                <w:rFonts w:ascii="Calibri" w:cs="Calibri" w:eastAsia="Calibri" w:hAnsi="Calibri"/>
                <w:b w:val="0"/>
                <w:bCs w:val="0"/>
                <w:i w:val="0"/>
                <w:iCs w:val="0"/>
                <w:color w:val="1f1f1f"/>
                <w:sz w:val="21"/>
                <w:szCs w:val="21"/>
                <w:rtl w:val="0"/>
              </w:rPr>
              <w:t xml:space="preserve">This document summarizes the July 23 discussion and written feedback for Task Force pre-work. It captures themes, emerging areas of agreement, questions, and requested revisions; it is not a verbatim transcript or a record of formal votes.</w:t>
            </w:r>
            <w:r w:rsidDel="00000000" w:rsidR="00000000" w:rsidRPr="00000000">
              <w:rPr>
                <w:rtl w:val="0"/>
              </w:rPr>
            </w:r>
          </w:p>
        </w:tc>
      </w:tr>
    </w:tbl>
    <w:p w:rsidR="00000000" w:rsidDel="00000000" w:rsidP="00000000" w:rsidRDefault="00000000" w:rsidRPr="00000000" w14:paraId="00000007">
      <w:pPr>
        <w:spacing w:after="20" w:lineRule="auto"/>
        <w:rPr/>
      </w:pPr>
      <w:r w:rsidDel="00000000" w:rsidR="00000000" w:rsidRPr="00000000">
        <w:rPr>
          <w:rtl w:val="0"/>
        </w:rPr>
      </w:r>
    </w:p>
    <w:p w:rsidR="00000000" w:rsidDel="00000000" w:rsidP="00000000" w:rsidRDefault="00000000" w:rsidRPr="00000000" w14:paraId="00000008">
      <w:pPr>
        <w:pStyle w:val="Heading1"/>
        <w:rPr/>
      </w:pPr>
      <w:r w:rsidDel="00000000" w:rsidR="00000000" w:rsidRPr="00000000">
        <w:rPr>
          <w:rtl w:val="0"/>
        </w:rPr>
        <w:t xml:space="preserve">Meeting Purpose</w:t>
      </w:r>
    </w:p>
    <w:p w:rsidR="00000000" w:rsidDel="00000000" w:rsidP="00000000" w:rsidRDefault="00000000" w:rsidRPr="00000000" w14:paraId="00000009">
      <w:pPr>
        <w:rPr/>
      </w:pPr>
      <w:r w:rsidDel="00000000" w:rsidR="00000000" w:rsidRPr="00000000">
        <w:rPr>
          <w:rtl w:val="0"/>
        </w:rPr>
        <w:t xml:space="preserve">The Task Force began moving from community listening toward the design of permanent community infrastructure. Members reviewed the proposed Human Relations Commission and Healing Council framework, focusing primarily on purpose, responsibilities, credibility, membership, and the conditions required for a sustainable launch.</w:t>
      </w:r>
    </w:p>
    <w:p w:rsidR="00000000" w:rsidDel="00000000" w:rsidP="00000000" w:rsidRDefault="00000000" w:rsidRPr="00000000" w14:paraId="0000000A">
      <w:pPr>
        <w:pStyle w:val="Heading1"/>
        <w:rPr/>
      </w:pPr>
      <w:r w:rsidDel="00000000" w:rsidR="00000000" w:rsidRPr="00000000">
        <w:rPr>
          <w:rtl w:val="0"/>
        </w:rPr>
        <w:t xml:space="preserve">Opening Reflection: What Does Sustainable Community Leadership Look Like?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A universal and understandable system that can serve the entire community.</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Visible support and commitment from town leadership.</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Consistency in action, responsiveness, and accountability.</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Broad representation and a meaningful range of perspectives.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A structure that residents can turn to when they feel unheard or have lost hope in existing pathways.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Leadership and membership transitions that bring fresh perspectives without losing institutional knowledge.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Measurable goals, public reporting, and communication that also celebrates positive progress.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A collaborative body rather than a structure dependent upon one dominant leader or expert.</w:t>
      </w:r>
    </w:p>
    <w:p w:rsidR="00000000" w:rsidDel="00000000" w:rsidP="00000000" w:rsidRDefault="00000000" w:rsidRPr="00000000" w14:paraId="00000013">
      <w:pPr>
        <w:pStyle w:val="Heading1"/>
        <w:rPr/>
      </w:pPr>
      <w:r w:rsidDel="00000000" w:rsidR="00000000" w:rsidRPr="00000000">
        <w:rPr>
          <w:rtl w:val="0"/>
        </w:rPr>
        <w:t xml:space="preserve">Major Themes from the Discussion</w:t>
      </w:r>
    </w:p>
    <w:p w:rsidR="00000000" w:rsidDel="00000000" w:rsidP="00000000" w:rsidRDefault="00000000" w:rsidRPr="00000000" w14:paraId="00000014">
      <w:pPr>
        <w:pStyle w:val="Heading2"/>
        <w:rPr/>
      </w:pPr>
      <w:r w:rsidDel="00000000" w:rsidR="00000000" w:rsidRPr="00000000">
        <w:rPr>
          <w:rtl w:val="0"/>
        </w:rPr>
        <w:t xml:space="preserve">1. Name the Work Clearly</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Several participants felt that “Human Relations Commission” sounded too much like a human-resources function and did not clearly communicate the proposed body’s purpose.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group discussed using “Human Rights Commission” to align with comparable commissions in other Massachusetts communities and to communicate the work directly.</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emphasized that a clear purpose statement must demonstrate that human rights concern the dignity, safety, belonging, and fair treatment of everyone—not only one identity group or type of incident.</w:t>
      </w:r>
    </w:p>
    <w:tbl>
      <w:tblPr>
        <w:tblStyle w:val="Table2"/>
        <w:tblW w:w="9576.0" w:type="dxa"/>
        <w:jc w:val="center"/>
        <w:tblLayout w:type="fixed"/>
        <w:tblLook w:val="0400"/>
      </w:tblPr>
      <w:tblGrid>
        <w:gridCol w:w="9576"/>
        <w:tblGridChange w:id="0">
          <w:tblGrid>
            <w:gridCol w:w="9576"/>
          </w:tblGrid>
        </w:tblGridChange>
      </w:tblGrid>
      <w:tr>
        <w:trPr>
          <w:cantSplit w:val="0"/>
          <w:tblHeader w:val="0"/>
        </w:trPr>
        <w:tc>
          <w:tcPr>
            <w:shd w:fill="eef4f9" w:val="clear"/>
            <w:tcMar>
              <w:top w:w="130.0" w:type="dxa"/>
              <w:bottom w:w="130.0" w:type="dxa"/>
            </w:tcMar>
            <w:vAlign w:val="center"/>
          </w:tcPr>
          <w:p w:rsidR="00000000" w:rsidDel="00000000" w:rsidP="00000000" w:rsidRDefault="00000000" w:rsidRPr="00000000" w14:paraId="00000018">
            <w:pPr>
              <w:spacing w:after="40" w:lineRule="auto"/>
              <w:rPr/>
            </w:pPr>
            <w:r w:rsidDel="00000000" w:rsidR="00000000" w:rsidRPr="00000000">
              <w:rPr>
                <w:rFonts w:ascii="Calibri" w:cs="Calibri" w:eastAsia="Calibri" w:hAnsi="Calibri"/>
                <w:b w:val="1"/>
                <w:bCs w:val="1"/>
                <w:i w:val="0"/>
                <w:iCs w:val="0"/>
                <w:color w:val="17365d"/>
                <w:sz w:val="21"/>
                <w:szCs w:val="21"/>
                <w:rtl w:val="0"/>
              </w:rPr>
              <w:t xml:space="preserve">Requested revision  </w:t>
            </w:r>
            <w:r w:rsidDel="00000000" w:rsidR="00000000" w:rsidRPr="00000000">
              <w:rPr>
                <w:rFonts w:ascii="Calibri" w:cs="Calibri" w:eastAsia="Calibri" w:hAnsi="Calibri"/>
                <w:b w:val="0"/>
                <w:bCs w:val="0"/>
                <w:i w:val="0"/>
                <w:iCs w:val="0"/>
                <w:color w:val="1f1f1f"/>
                <w:sz w:val="21"/>
                <w:szCs w:val="21"/>
                <w:rtl w:val="0"/>
              </w:rPr>
              <w:t xml:space="preserve">Use “Human Rights Commission” as the working name in the next draft while preserving the Task Force’s authority to make the final naming recommendation.</w:t>
            </w:r>
            <w:r w:rsidDel="00000000" w:rsidR="00000000" w:rsidRPr="00000000">
              <w:rPr>
                <w:rtl w:val="0"/>
              </w:rPr>
            </w:r>
          </w:p>
        </w:tc>
      </w:tr>
    </w:tbl>
    <w:p w:rsidR="00000000" w:rsidDel="00000000" w:rsidP="00000000" w:rsidRDefault="00000000" w:rsidRPr="00000000" w14:paraId="00000019">
      <w:pPr>
        <w:spacing w:after="20" w:lineRule="auto"/>
        <w:rPr/>
      </w:pPr>
      <w:r w:rsidDel="00000000" w:rsidR="00000000" w:rsidRPr="00000000">
        <w:rPr>
          <w:rtl w:val="0"/>
        </w:rPr>
      </w:r>
    </w:p>
    <w:p w:rsidR="00000000" w:rsidDel="00000000" w:rsidP="00000000" w:rsidRDefault="00000000" w:rsidRPr="00000000" w14:paraId="0000001A">
      <w:pPr>
        <w:pStyle w:val="Heading2"/>
        <w:rPr/>
      </w:pPr>
      <w:r w:rsidDel="00000000" w:rsidR="00000000" w:rsidRPr="00000000">
        <w:rPr>
          <w:rtl w:val="0"/>
        </w:rPr>
        <w:t xml:space="preserve">2. Trust, Safety, and Consistency Must Be Explicit</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Fostering trust was identified as a central responsibility, not merely an aspirational outcome.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Commission should validate community concerns and create a visible place where residents know they will be heard.</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Neutrality should be demonstrated through consistent treatment, fair listening, responsiveness, and access to resources across issues and groups.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wanted the Town to communicate openly about community challenges rather than treat incidents as isolated anomalies.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Accountability should include clear procedures, measurable priorities, and public communication about what the Commission is doing and learning.</w:t>
      </w:r>
    </w:p>
    <w:p w:rsidR="00000000" w:rsidDel="00000000" w:rsidP="00000000" w:rsidRDefault="00000000" w:rsidRPr="00000000" w14:paraId="00000020">
      <w:pPr>
        <w:pStyle w:val="Heading2"/>
        <w:rPr/>
      </w:pPr>
      <w:r w:rsidDel="00000000" w:rsidR="00000000" w:rsidRPr="00000000">
        <w:rPr>
          <w:rtl w:val="0"/>
        </w:rPr>
        <w:t xml:space="preserve">3. The Commission Should Listen, Connect, Advise, and Educate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Commission should be a trusted place for residents to raise concerns and learn what resources or pathways are available.</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It should identify recurring themes, communicate what it is hearing, and offer advisory recommendations to the appropriate town or school bodies.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Commission should connect residents and departments with existing local, regional, state, or third-party resources rather than attempt to solve every concern itself.</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Education should be proactive and should include learning from both difficult and positive events in Lynnfield and neighboring communities.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Commission should bring forward constructive recommendations and possible solutions, not only identify problems.</w:t>
      </w:r>
    </w:p>
    <w:p w:rsidR="00000000" w:rsidDel="00000000" w:rsidP="00000000" w:rsidRDefault="00000000" w:rsidRPr="00000000" w14:paraId="00000026">
      <w:pPr>
        <w:pStyle w:val="Heading2"/>
        <w:rPr/>
      </w:pPr>
      <w:r w:rsidDel="00000000" w:rsidR="00000000" w:rsidRPr="00000000">
        <w:rPr>
          <w:rtl w:val="0"/>
        </w:rPr>
        <w:t xml:space="preserve">4. Mediation Requires Clear Boundaries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initially discussed mediation as a possible function, particularly when residents feel unheard or experience conflict.</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conversation distinguished between possessing mediation-related skills and serving as the formal mediator in a dispute.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Members emphasized active listening, neutrality, critical thinking, and the ability to understand multiple viewpoints as essential competencies.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For matters involving municipal departments, schools, potential legal claims, or other formal processes, the Commission may be better positioned to provide a warm connection or referral to a qualified neutral third party.</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Commission’s role should not be confused with investigation, discipline, legal representation, or adjudication.</w:t>
      </w:r>
    </w:p>
    <w:tbl>
      <w:tblPr>
        <w:tblStyle w:val="Table3"/>
        <w:tblW w:w="9576.0" w:type="dxa"/>
        <w:jc w:val="center"/>
        <w:tblLayout w:type="fixed"/>
        <w:tblLook w:val="0400"/>
      </w:tblPr>
      <w:tblGrid>
        <w:gridCol w:w="9576"/>
        <w:tblGridChange w:id="0">
          <w:tblGrid>
            <w:gridCol w:w="9576"/>
          </w:tblGrid>
        </w:tblGridChange>
      </w:tblGrid>
      <w:tr>
        <w:trPr>
          <w:cantSplit w:val="0"/>
          <w:tblHeader w:val="0"/>
        </w:trPr>
        <w:tc>
          <w:tcPr>
            <w:shd w:fill="f5efd8" w:val="clear"/>
            <w:tcMar>
              <w:top w:w="130.0" w:type="dxa"/>
              <w:bottom w:w="130.0" w:type="dxa"/>
            </w:tcMar>
            <w:vAlign w:val="center"/>
          </w:tcPr>
          <w:p w:rsidR="00000000" w:rsidDel="00000000" w:rsidP="00000000" w:rsidRDefault="00000000" w:rsidRPr="00000000" w14:paraId="0000002C">
            <w:pPr>
              <w:spacing w:after="40" w:lineRule="auto"/>
              <w:rPr/>
            </w:pPr>
            <w:r w:rsidDel="00000000" w:rsidR="00000000" w:rsidRPr="00000000">
              <w:rPr>
                <w:rFonts w:ascii="Calibri" w:cs="Calibri" w:eastAsia="Calibri" w:hAnsi="Calibri"/>
                <w:b w:val="1"/>
                <w:bCs w:val="1"/>
                <w:i w:val="0"/>
                <w:iCs w:val="0"/>
                <w:color w:val="17365d"/>
                <w:sz w:val="21"/>
                <w:szCs w:val="21"/>
                <w:rtl w:val="0"/>
              </w:rPr>
              <w:t xml:space="preserve">Issue requiring </w:t>
            </w:r>
            <w:r w:rsidDel="00000000" w:rsidR="00000000" w:rsidRPr="00000000">
              <w:rPr>
                <w:b w:val="1"/>
                <w:bCs w:val="1"/>
                <w:color w:val="17365d"/>
                <w:rtl w:val="0"/>
              </w:rPr>
              <w:t xml:space="preserve">clarification: Define</w:t>
            </w:r>
            <w:r w:rsidDel="00000000" w:rsidR="00000000" w:rsidRPr="00000000">
              <w:rPr>
                <w:rFonts w:ascii="Calibri" w:cs="Calibri" w:eastAsia="Calibri" w:hAnsi="Calibri"/>
                <w:b w:val="0"/>
                <w:bCs w:val="0"/>
                <w:i w:val="0"/>
                <w:iCs w:val="0"/>
                <w:color w:val="1f1f1f"/>
                <w:sz w:val="21"/>
                <w:szCs w:val="21"/>
                <w:rtl w:val="0"/>
              </w:rPr>
              <w:t xml:space="preserve"> when the Commission listens, advises, facilitates dialogue, or refers to an external mediator—and make those boundaries understandable to residents.</w:t>
            </w:r>
            <w:r w:rsidDel="00000000" w:rsidR="00000000" w:rsidRPr="00000000">
              <w:rPr>
                <w:rtl w:val="0"/>
              </w:rPr>
            </w:r>
          </w:p>
        </w:tc>
      </w:tr>
    </w:tbl>
    <w:p w:rsidR="00000000" w:rsidDel="00000000" w:rsidP="00000000" w:rsidRDefault="00000000" w:rsidRPr="00000000" w14:paraId="0000002D">
      <w:pPr>
        <w:spacing w:after="20" w:lineRule="auto"/>
        <w:rPr/>
      </w:pPr>
      <w:r w:rsidDel="00000000" w:rsidR="00000000" w:rsidRPr="00000000">
        <w:rPr>
          <w:rtl w:val="0"/>
        </w:rPr>
      </w:r>
    </w:p>
    <w:p w:rsidR="00000000" w:rsidDel="00000000" w:rsidP="00000000" w:rsidRDefault="00000000" w:rsidRPr="00000000" w14:paraId="0000002E">
      <w:pPr>
        <w:pStyle w:val="Heading2"/>
        <w:rPr/>
      </w:pPr>
      <w:r w:rsidDel="00000000" w:rsidR="00000000" w:rsidRPr="00000000">
        <w:rPr>
          <w:rtl w:val="0"/>
        </w:rPr>
        <w:t xml:space="preserve">5. Town–School Collaboration Must Be Bidirectional</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identified a strong need for connection between the Commission and Lynnfield Public Schools.</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Options raised included a School Committee or school leadership representative serving on the Commission, an HRC member attending School Committee meetings, or a formal reporting and liaison relationship.</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Commission could periodically present community themes, emerging needs, and recommended resources to both the Select Board and School Committee.</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relationship must strengthen communication and accountability without duplicating school authority, complaint procedures, or ongoing district work.</w:t>
      </w:r>
    </w:p>
    <w:p w:rsidR="00000000" w:rsidDel="00000000" w:rsidP="00000000" w:rsidRDefault="00000000" w:rsidRPr="00000000" w14:paraId="00000033">
      <w:pPr>
        <w:pStyle w:val="Heading2"/>
        <w:rPr/>
      </w:pPr>
      <w:r w:rsidDel="00000000" w:rsidR="00000000" w:rsidRPr="00000000">
        <w:rPr>
          <w:rtl w:val="0"/>
        </w:rPr>
        <w:t xml:space="preserve">6. Membership Is the Commission’s Most Important Early Decision</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repeatedly cautioned against rushing the appointment and launch process.</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Collectively, members should reflect Lynnfield’s diverse voices, experiences, ages, and perspectives.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Members should be able to remain fair during difficult situations, step back when an issue feels personal, and approach unfamiliar perspectives with curiosity.</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Desired qualities included active listening, communication, relationship-building, teaching, critical thinking, credibility, and constructive problem-solving.</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expressed concern about individuals using the Commission to advance a personal agenda or engaging publicly in ways that undermine the body’s neutrality.</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volunteer application and selection process should clearly describe the role, time commitment, training requirements, conduct expectations, and limits of authority.</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Term limits and staggered terms were raised as ways to balance continuity with fresh perspectives.</w:t>
      </w:r>
    </w:p>
    <w:p w:rsidR="00000000" w:rsidDel="00000000" w:rsidP="00000000" w:rsidRDefault="00000000" w:rsidRPr="00000000" w14:paraId="0000003B">
      <w:pPr>
        <w:pStyle w:val="Heading2"/>
        <w:rPr/>
      </w:pPr>
      <w:r w:rsidDel="00000000" w:rsidR="00000000" w:rsidRPr="00000000">
        <w:rPr>
          <w:rtl w:val="0"/>
        </w:rPr>
        <w:t xml:space="preserve">7. Training and Preparation Must Precede Public-Facing Work</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Members should receive training in active listening, critical thinking, neutrality, bias awareness, communication across differences, and appropriate referral practices.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Training should clarify the Commission’s charge, available resources, legal and ethical responsibilities, and the difference between listening, advocacy, facilitation, and mediation.</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proposed meeting with established commissions to understand their successes, challenges, mistakes, and lessons learned.</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Commission should continue learning after launch and periodically review its charter, practices, and effectiveness.</w:t>
      </w:r>
    </w:p>
    <w:p w:rsidR="00000000" w:rsidDel="00000000" w:rsidP="00000000" w:rsidRDefault="00000000" w:rsidRPr="00000000" w14:paraId="00000040">
      <w:pPr>
        <w:pStyle w:val="Heading2"/>
        <w:rPr/>
      </w:pPr>
      <w:r w:rsidDel="00000000" w:rsidR="00000000" w:rsidRPr="00000000">
        <w:rPr>
          <w:rtl w:val="0"/>
        </w:rPr>
        <w:t xml:space="preserve">8. Visibility and Public Access Matter</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Commission should have a clear public presence so residents understand what it does, how it operates, who it reports to, and how to engage.</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Ideas included a dedicated website, resource repository, frequently asked questions, community updates, office hours, listening sessions, and presentations to public bodies.</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A website could include reliable information and a feed or digest of relevant developments in nearby communities, framed as opportunities for learning rather than criticism.</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discussed quarterly networking with neighboring commissions to share resources, solutions, and emerging practices.</w:t>
      </w:r>
    </w:p>
    <w:p w:rsidR="00000000" w:rsidDel="00000000" w:rsidP="00000000" w:rsidRDefault="00000000" w:rsidRPr="00000000" w14:paraId="00000045">
      <w:pPr>
        <w:pStyle w:val="Heading2"/>
        <w:rPr/>
      </w:pPr>
      <w:r w:rsidDel="00000000" w:rsidR="00000000" w:rsidRPr="00000000">
        <w:rPr>
          <w:rtl w:val="0"/>
        </w:rPr>
        <w:t xml:space="preserve">9. A Responsible Launch Requires a Public Roadmap</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community may want an immediate launch, but the Task Force emphasized that credibility requires careful design, approval, recruitment, training, and organizational preparation.</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The public should receive a clear implementation map explaining the required steps, the anticipated timeline, and why each step matters.</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Before taking on concerns or projects, the initial Commission should establish operating rules, norms, leadership roles, governance practices, and referral protocols.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Participants raised the possibility that the current Task Force—or interested members—could support transition work, learning conversations, or launch preparation.</w:t>
      </w:r>
    </w:p>
    <w:p w:rsidR="00000000" w:rsidDel="00000000" w:rsidP="00000000" w:rsidRDefault="00000000" w:rsidRPr="00000000" w14:paraId="0000004A">
      <w:pPr>
        <w:pStyle w:val="Heading1"/>
        <w:rPr/>
      </w:pPr>
      <w:r w:rsidDel="00000000" w:rsidR="00000000" w:rsidRPr="00000000">
        <w:rPr>
          <w:rtl w:val="0"/>
        </w:rPr>
        <w:t xml:space="preserve">Areas of Emerging Agreement</w:t>
      </w:r>
    </w:p>
    <w:p w:rsidR="00000000" w:rsidDel="00000000" w:rsidP="00000000" w:rsidRDefault="00000000" w:rsidRPr="00000000" w14:paraId="0000004B">
      <w:pPr>
        <w:rPr/>
      </w:pPr>
      <w:r w:rsidDel="00000000" w:rsidR="00000000" w:rsidRPr="00000000">
        <w:rPr>
          <w:rtl w:val="0"/>
        </w:rPr>
        <w:t xml:space="preserve">Although no formal votes were recorded, the discussion reflected substantial alignment around the following principles:</w:t>
      </w:r>
    </w:p>
    <w:tbl>
      <w:tblPr>
        <w:tblStyle w:val="Table4"/>
        <w:tblW w:w="957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1"/>
        <w:gridCol w:w="7445"/>
        <w:tblGridChange w:id="0">
          <w:tblGrid>
            <w:gridCol w:w="2131"/>
            <w:gridCol w:w="7445"/>
          </w:tblGrid>
        </w:tblGridChange>
      </w:tblGrid>
      <w:tr>
        <w:trPr>
          <w:cantSplit w:val="0"/>
          <w:tblHeader w:val="1"/>
        </w:trPr>
        <w:tc>
          <w:tcPr>
            <w:shd w:fill="17365d" w:val="clear"/>
            <w:tcMar>
              <w:top w:w="100.0" w:type="dxa"/>
              <w:bottom w:w="100.0" w:type="dxa"/>
            </w:tcMar>
            <w:vAlign w:val="center"/>
          </w:tcPr>
          <w:p w:rsidR="00000000" w:rsidDel="00000000" w:rsidP="00000000" w:rsidRDefault="00000000" w:rsidRPr="00000000" w14:paraId="0000004C">
            <w:pPr>
              <w:spacing w:after="0" w:lineRule="auto"/>
              <w:rPr/>
            </w:pPr>
            <w:r w:rsidDel="00000000" w:rsidR="00000000" w:rsidRPr="00000000">
              <w:rPr>
                <w:rFonts w:ascii="Calibri" w:cs="Calibri" w:eastAsia="Calibri" w:hAnsi="Calibri"/>
                <w:b w:val="1"/>
                <w:bCs w:val="1"/>
                <w:i w:val="0"/>
                <w:iCs w:val="0"/>
                <w:color w:val="ffffff"/>
                <w:sz w:val="18"/>
                <w:szCs w:val="18"/>
                <w:rtl w:val="0"/>
              </w:rPr>
              <w:t xml:space="preserve">Area</w:t>
            </w:r>
            <w:r w:rsidDel="00000000" w:rsidR="00000000" w:rsidRPr="00000000">
              <w:rPr>
                <w:rtl w:val="0"/>
              </w:rPr>
            </w:r>
          </w:p>
        </w:tc>
        <w:tc>
          <w:tcPr>
            <w:shd w:fill="17365d" w:val="clear"/>
            <w:tcMar>
              <w:top w:w="100.0" w:type="dxa"/>
              <w:bottom w:w="100.0" w:type="dxa"/>
            </w:tcMar>
            <w:vAlign w:val="center"/>
          </w:tcPr>
          <w:p w:rsidR="00000000" w:rsidDel="00000000" w:rsidP="00000000" w:rsidRDefault="00000000" w:rsidRPr="00000000" w14:paraId="0000004D">
            <w:pPr>
              <w:spacing w:after="0" w:lineRule="auto"/>
              <w:rPr/>
            </w:pPr>
            <w:r w:rsidDel="00000000" w:rsidR="00000000" w:rsidRPr="00000000">
              <w:rPr>
                <w:rFonts w:ascii="Calibri" w:cs="Calibri" w:eastAsia="Calibri" w:hAnsi="Calibri"/>
                <w:b w:val="1"/>
                <w:bCs w:val="1"/>
                <w:i w:val="0"/>
                <w:iCs w:val="0"/>
                <w:color w:val="ffffff"/>
                <w:sz w:val="18"/>
                <w:szCs w:val="18"/>
                <w:rtl w:val="0"/>
              </w:rPr>
              <w:t xml:space="preserve">Emerging Direction</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4E">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Working name</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4F">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Use Human Rights Commission in the next draft.</w:t>
            </w:r>
            <w:r w:rsidDel="00000000" w:rsidR="00000000" w:rsidRPr="00000000">
              <w:rPr>
                <w:rtl w:val="0"/>
              </w:rPr>
            </w:r>
          </w:p>
        </w:tc>
      </w:tr>
      <w:tr>
        <w:trPr>
          <w:cantSplit w:val="0"/>
          <w:tblHeader w:val="0"/>
        </w:trPr>
        <w:tc>
          <w:tcPr>
            <w:shd w:fill="f2f4f7" w:val="clear"/>
            <w:tcMar>
              <w:top w:w="95.0" w:type="dxa"/>
              <w:bottom w:w="95.0" w:type="dxa"/>
            </w:tcMar>
            <w:vAlign w:val="center"/>
          </w:tcPr>
          <w:p w:rsidR="00000000" w:rsidDel="00000000" w:rsidP="00000000" w:rsidRDefault="00000000" w:rsidRPr="00000000" w14:paraId="00000050">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Core role</w:t>
            </w:r>
            <w:r w:rsidDel="00000000" w:rsidR="00000000" w:rsidRPr="00000000">
              <w:rPr>
                <w:rtl w:val="0"/>
              </w:rPr>
            </w:r>
          </w:p>
        </w:tc>
        <w:tc>
          <w:tcPr>
            <w:shd w:fill="f2f4f7" w:val="clear"/>
            <w:tcMar>
              <w:top w:w="95.0" w:type="dxa"/>
              <w:bottom w:w="95.0" w:type="dxa"/>
            </w:tcMar>
            <w:vAlign w:val="center"/>
          </w:tcPr>
          <w:p w:rsidR="00000000" w:rsidDel="00000000" w:rsidP="00000000" w:rsidRDefault="00000000" w:rsidRPr="00000000" w14:paraId="00000051">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A standing advisory, educational, listening, connecting, and relationship-building body.</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52">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Trust</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53">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Trust, transparency, responsiveness, and consistency should be explicit responsibilities.</w:t>
            </w:r>
            <w:r w:rsidDel="00000000" w:rsidR="00000000" w:rsidRPr="00000000">
              <w:rPr>
                <w:rtl w:val="0"/>
              </w:rPr>
            </w:r>
          </w:p>
        </w:tc>
      </w:tr>
      <w:tr>
        <w:trPr>
          <w:cantSplit w:val="0"/>
          <w:tblHeader w:val="0"/>
        </w:trPr>
        <w:tc>
          <w:tcPr>
            <w:shd w:fill="f2f4f7" w:val="clear"/>
            <w:tcMar>
              <w:top w:w="95.0" w:type="dxa"/>
              <w:bottom w:w="95.0" w:type="dxa"/>
            </w:tcMar>
            <w:vAlign w:val="center"/>
          </w:tcPr>
          <w:p w:rsidR="00000000" w:rsidDel="00000000" w:rsidP="00000000" w:rsidRDefault="00000000" w:rsidRPr="00000000" w14:paraId="00000054">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Boundaries</w:t>
            </w:r>
            <w:r w:rsidDel="00000000" w:rsidR="00000000" w:rsidRPr="00000000">
              <w:rPr>
                <w:rtl w:val="0"/>
              </w:rPr>
            </w:r>
          </w:p>
        </w:tc>
        <w:tc>
          <w:tcPr>
            <w:shd w:fill="f2f4f7" w:val="clear"/>
            <w:tcMar>
              <w:top w:w="95.0" w:type="dxa"/>
              <w:bottom w:w="95.0" w:type="dxa"/>
            </w:tcMar>
            <w:vAlign w:val="center"/>
          </w:tcPr>
          <w:p w:rsidR="00000000" w:rsidDel="00000000" w:rsidP="00000000" w:rsidRDefault="00000000" w:rsidRPr="00000000" w14:paraId="00000055">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The Commission should not replace investigations, discipline, legal processes, or existing town and school authority.</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56">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Mediation</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57">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Members need mediation-related skills, but formal mediation may require referral to a qualified neutral third party.</w:t>
            </w:r>
            <w:r w:rsidDel="00000000" w:rsidR="00000000" w:rsidRPr="00000000">
              <w:rPr>
                <w:rtl w:val="0"/>
              </w:rPr>
            </w:r>
          </w:p>
        </w:tc>
      </w:tr>
      <w:tr>
        <w:trPr>
          <w:cantSplit w:val="0"/>
          <w:tblHeader w:val="0"/>
        </w:trPr>
        <w:tc>
          <w:tcPr>
            <w:shd w:fill="f2f4f7" w:val="clear"/>
            <w:tcMar>
              <w:top w:w="95.0" w:type="dxa"/>
              <w:bottom w:w="95.0" w:type="dxa"/>
            </w:tcMar>
            <w:vAlign w:val="center"/>
          </w:tcPr>
          <w:p w:rsidR="00000000" w:rsidDel="00000000" w:rsidP="00000000" w:rsidRDefault="00000000" w:rsidRPr="00000000" w14:paraId="00000058">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Membership</w:t>
            </w:r>
            <w:r w:rsidDel="00000000" w:rsidR="00000000" w:rsidRPr="00000000">
              <w:rPr>
                <w:rtl w:val="0"/>
              </w:rPr>
            </w:r>
          </w:p>
        </w:tc>
        <w:tc>
          <w:tcPr>
            <w:shd w:fill="f2f4f7" w:val="clear"/>
            <w:tcMar>
              <w:top w:w="95.0" w:type="dxa"/>
              <w:bottom w:w="95.0" w:type="dxa"/>
            </w:tcMar>
            <w:vAlign w:val="center"/>
          </w:tcPr>
          <w:p w:rsidR="00000000" w:rsidDel="00000000" w:rsidP="00000000" w:rsidRDefault="00000000" w:rsidRPr="00000000" w14:paraId="00000059">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Prioritize broad representation, neutrality, sound judgment, listening, communication, and constructive problem-solving.</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5A">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Preparation</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5B">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Training and organizational setup should occur before the Commission begins public-facing work.</w:t>
            </w:r>
            <w:r w:rsidDel="00000000" w:rsidR="00000000" w:rsidRPr="00000000">
              <w:rPr>
                <w:rtl w:val="0"/>
              </w:rPr>
            </w:r>
          </w:p>
        </w:tc>
      </w:tr>
      <w:tr>
        <w:trPr>
          <w:cantSplit w:val="0"/>
          <w:tblHeader w:val="0"/>
        </w:trPr>
        <w:tc>
          <w:tcPr>
            <w:shd w:fill="f2f4f7" w:val="clear"/>
            <w:tcMar>
              <w:top w:w="95.0" w:type="dxa"/>
              <w:bottom w:w="95.0" w:type="dxa"/>
            </w:tcMar>
            <w:vAlign w:val="center"/>
          </w:tcPr>
          <w:p w:rsidR="00000000" w:rsidDel="00000000" w:rsidP="00000000" w:rsidRDefault="00000000" w:rsidRPr="00000000" w14:paraId="0000005C">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Town–school connection</w:t>
            </w:r>
            <w:r w:rsidDel="00000000" w:rsidR="00000000" w:rsidRPr="00000000">
              <w:rPr>
                <w:rtl w:val="0"/>
              </w:rPr>
            </w:r>
          </w:p>
        </w:tc>
        <w:tc>
          <w:tcPr>
            <w:shd w:fill="f2f4f7" w:val="clear"/>
            <w:tcMar>
              <w:top w:w="95.0" w:type="dxa"/>
              <w:bottom w:w="95.0" w:type="dxa"/>
            </w:tcMar>
            <w:vAlign w:val="center"/>
          </w:tcPr>
          <w:p w:rsidR="00000000" w:rsidDel="00000000" w:rsidP="00000000" w:rsidRDefault="00000000" w:rsidRPr="00000000" w14:paraId="0000005D">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Create a clear, bidirectional relationship with both the Select Board and School Committee.</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5E">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Sustainability</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5F">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Use clear governance, staggered leadership, measurable priorities, reporting, and continuous learning.</w:t>
            </w:r>
            <w:r w:rsidDel="00000000" w:rsidR="00000000" w:rsidRPr="00000000">
              <w:rPr>
                <w:rtl w:val="0"/>
              </w:rPr>
            </w:r>
          </w:p>
        </w:tc>
      </w:tr>
    </w:tbl>
    <w:p w:rsidR="00000000" w:rsidDel="00000000" w:rsidP="00000000" w:rsidRDefault="00000000" w:rsidRPr="00000000" w14:paraId="00000060">
      <w:pPr>
        <w:spacing w:after="20" w:lineRule="auto"/>
        <w:rPr/>
      </w:pPr>
      <w:r w:rsidDel="00000000" w:rsidR="00000000" w:rsidRPr="00000000">
        <w:rPr>
          <w:rtl w:val="0"/>
        </w:rPr>
      </w:r>
    </w:p>
    <w:p w:rsidR="00000000" w:rsidDel="00000000" w:rsidP="00000000" w:rsidRDefault="00000000" w:rsidRPr="00000000" w14:paraId="00000061">
      <w:pPr>
        <w:pStyle w:val="Heading1"/>
        <w:rPr/>
      </w:pPr>
      <w:r w:rsidDel="00000000" w:rsidR="00000000" w:rsidRPr="00000000">
        <w:rPr>
          <w:rtl w:val="0"/>
        </w:rPr>
        <w:t xml:space="preserve">Questions Requiring Further Discussion</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What final name and purpose statement will most clearly communicate the Commission’s work?</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Who should establish, appoint, oversee, and administratively support the Commission?</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Should appointment authority be held by the Select Board or shared with the School Committee or other bodies?</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What should the Commission’s membership size, composition, term length, and term limits be?</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Should school, municipal, police, student, faith, or other community perspectives hold voting seats, liaison roles, or advisory roles?</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How will the Commission receive concerns, protect appropriate privacy, respond consistently, and route matters outside its authority?</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What is the appropriate relationship among advocacy, advisory recommendations, facilitation, resource referral, and mediation?</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How often should the Commission report to the Select Board, School Committee, and public?</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What resources, staff support, training, budget, and legal guidance are required for a successful launch?</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Should the current Task Force support a transition period or learning process after submitting its recommendation?</w:t>
      </w:r>
    </w:p>
    <w:p w:rsidR="00000000" w:rsidDel="00000000" w:rsidP="00000000" w:rsidRDefault="00000000" w:rsidRPr="00000000" w14:paraId="0000006C">
      <w:pPr>
        <w:pStyle w:val="Heading1"/>
        <w:rPr/>
      </w:pPr>
      <w:r w:rsidDel="00000000" w:rsidR="00000000" w:rsidRPr="00000000">
        <w:rPr>
          <w:rtl w:val="0"/>
        </w:rPr>
        <w:t xml:space="preserve">Requested Revisions to the Community Infrastructure Framework</w:t>
      </w:r>
    </w:p>
    <w:tbl>
      <w:tblPr>
        <w:tblStyle w:val="Table5"/>
        <w:tblW w:w="957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2"/>
        <w:gridCol w:w="7344"/>
        <w:tblGridChange w:id="0">
          <w:tblGrid>
            <w:gridCol w:w="2232"/>
            <w:gridCol w:w="7344"/>
          </w:tblGrid>
        </w:tblGridChange>
      </w:tblGrid>
      <w:tr>
        <w:trPr>
          <w:cantSplit w:val="0"/>
          <w:tblHeader w:val="1"/>
        </w:trPr>
        <w:tc>
          <w:tcPr>
            <w:shd w:fill="17365d" w:val="clear"/>
            <w:tcMar>
              <w:top w:w="100.0" w:type="dxa"/>
              <w:bottom w:w="100.0" w:type="dxa"/>
            </w:tcMar>
            <w:vAlign w:val="center"/>
          </w:tcPr>
          <w:p w:rsidR="00000000" w:rsidDel="00000000" w:rsidP="00000000" w:rsidRDefault="00000000" w:rsidRPr="00000000" w14:paraId="0000006D">
            <w:pPr>
              <w:spacing w:after="0" w:lineRule="auto"/>
              <w:rPr/>
            </w:pPr>
            <w:r w:rsidDel="00000000" w:rsidR="00000000" w:rsidRPr="00000000">
              <w:rPr>
                <w:rFonts w:ascii="Calibri" w:cs="Calibri" w:eastAsia="Calibri" w:hAnsi="Calibri"/>
                <w:b w:val="1"/>
                <w:bCs w:val="1"/>
                <w:i w:val="0"/>
                <w:iCs w:val="0"/>
                <w:color w:val="ffffff"/>
                <w:sz w:val="18"/>
                <w:szCs w:val="18"/>
                <w:rtl w:val="0"/>
              </w:rPr>
              <w:t xml:space="preserve">Original Area</w:t>
            </w:r>
            <w:r w:rsidDel="00000000" w:rsidR="00000000" w:rsidRPr="00000000">
              <w:rPr>
                <w:rtl w:val="0"/>
              </w:rPr>
            </w:r>
          </w:p>
        </w:tc>
        <w:tc>
          <w:tcPr>
            <w:shd w:fill="17365d" w:val="clear"/>
            <w:tcMar>
              <w:top w:w="100.0" w:type="dxa"/>
              <w:bottom w:w="100.0" w:type="dxa"/>
            </w:tcMar>
            <w:vAlign w:val="center"/>
          </w:tcPr>
          <w:p w:rsidR="00000000" w:rsidDel="00000000" w:rsidP="00000000" w:rsidRDefault="00000000" w:rsidRPr="00000000" w14:paraId="0000006E">
            <w:pPr>
              <w:spacing w:after="0" w:lineRule="auto"/>
              <w:rPr/>
            </w:pPr>
            <w:r w:rsidDel="00000000" w:rsidR="00000000" w:rsidRPr="00000000">
              <w:rPr>
                <w:rFonts w:ascii="Calibri" w:cs="Calibri" w:eastAsia="Calibri" w:hAnsi="Calibri"/>
                <w:b w:val="1"/>
                <w:bCs w:val="1"/>
                <w:i w:val="0"/>
                <w:iCs w:val="0"/>
                <w:color w:val="ffffff"/>
                <w:sz w:val="18"/>
                <w:szCs w:val="18"/>
                <w:rtl w:val="0"/>
              </w:rPr>
              <w:t xml:space="preserve">Revision Requested</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6F">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Commission name</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70">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Change the working name from Human Relations Commission to Human Rights Commission.</w:t>
            </w:r>
            <w:r w:rsidDel="00000000" w:rsidR="00000000" w:rsidRPr="00000000">
              <w:rPr>
                <w:rtl w:val="0"/>
              </w:rPr>
            </w:r>
          </w:p>
        </w:tc>
      </w:tr>
      <w:tr>
        <w:trPr>
          <w:cantSplit w:val="0"/>
          <w:tblHeader w:val="0"/>
        </w:trPr>
        <w:tc>
          <w:tcPr>
            <w:shd w:fill="f2f4f7" w:val="clear"/>
            <w:tcMar>
              <w:top w:w="95.0" w:type="dxa"/>
              <w:bottom w:w="95.0" w:type="dxa"/>
            </w:tcMar>
            <w:vAlign w:val="center"/>
          </w:tcPr>
          <w:p w:rsidR="00000000" w:rsidDel="00000000" w:rsidP="00000000" w:rsidRDefault="00000000" w:rsidRPr="00000000" w14:paraId="00000071">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Purpose</w:t>
            </w:r>
            <w:r w:rsidDel="00000000" w:rsidR="00000000" w:rsidRPr="00000000">
              <w:rPr>
                <w:rtl w:val="0"/>
              </w:rPr>
            </w:r>
          </w:p>
        </w:tc>
        <w:tc>
          <w:tcPr>
            <w:shd w:fill="f2f4f7" w:val="clear"/>
            <w:tcMar>
              <w:top w:w="95.0" w:type="dxa"/>
              <w:bottom w:w="95.0" w:type="dxa"/>
            </w:tcMar>
            <w:vAlign w:val="center"/>
          </w:tcPr>
          <w:p w:rsidR="00000000" w:rsidDel="00000000" w:rsidP="00000000" w:rsidRDefault="00000000" w:rsidRPr="00000000" w14:paraId="00000072">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Name human dignity/rights, trust, safety, advocacy, listening, connection, education, and collaborative problem-solving more directly.</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73">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Responsibilities</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74">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Add fostering trust, validating concerns, identifying themes, advising town and school bodies, sharing resources, and providing referrals.</w:t>
            </w:r>
            <w:r w:rsidDel="00000000" w:rsidR="00000000" w:rsidRPr="00000000">
              <w:rPr>
                <w:rtl w:val="0"/>
              </w:rPr>
            </w:r>
          </w:p>
        </w:tc>
      </w:tr>
      <w:tr>
        <w:trPr>
          <w:cantSplit w:val="0"/>
          <w:tblHeader w:val="0"/>
        </w:trPr>
        <w:tc>
          <w:tcPr>
            <w:shd w:fill="f2f4f7" w:val="clear"/>
            <w:tcMar>
              <w:top w:w="95.0" w:type="dxa"/>
              <w:bottom w:w="95.0" w:type="dxa"/>
            </w:tcMar>
            <w:vAlign w:val="center"/>
          </w:tcPr>
          <w:p w:rsidR="00000000" w:rsidDel="00000000" w:rsidP="00000000" w:rsidRDefault="00000000" w:rsidRPr="00000000" w14:paraId="00000075">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Role boundaries</w:t>
            </w:r>
            <w:r w:rsidDel="00000000" w:rsidR="00000000" w:rsidRPr="00000000">
              <w:rPr>
                <w:rtl w:val="0"/>
              </w:rPr>
            </w:r>
          </w:p>
        </w:tc>
        <w:tc>
          <w:tcPr>
            <w:shd w:fill="f2f4f7" w:val="clear"/>
            <w:tcMar>
              <w:top w:w="95.0" w:type="dxa"/>
              <w:bottom w:w="95.0" w:type="dxa"/>
            </w:tcMar>
            <w:vAlign w:val="center"/>
          </w:tcPr>
          <w:p w:rsidR="00000000" w:rsidDel="00000000" w:rsidP="00000000" w:rsidRDefault="00000000" w:rsidRPr="00000000" w14:paraId="00000076">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Clarify what the Commission will and will not do, especially regarding investigations, formal complaints, discipline, confidentiality, and mediation.</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77">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Governance</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78">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Add clear options for appointment, reporting, town–school relationships, term limits, leadership transition, and administrative ownership.</w:t>
            </w:r>
            <w:r w:rsidDel="00000000" w:rsidR="00000000" w:rsidRPr="00000000">
              <w:rPr>
                <w:rtl w:val="0"/>
              </w:rPr>
            </w:r>
          </w:p>
        </w:tc>
      </w:tr>
      <w:tr>
        <w:trPr>
          <w:cantSplit w:val="0"/>
          <w:tblHeader w:val="0"/>
        </w:trPr>
        <w:tc>
          <w:tcPr>
            <w:shd w:fill="f2f4f7" w:val="clear"/>
            <w:tcMar>
              <w:top w:w="95.0" w:type="dxa"/>
              <w:bottom w:w="95.0" w:type="dxa"/>
            </w:tcMar>
            <w:vAlign w:val="center"/>
          </w:tcPr>
          <w:p w:rsidR="00000000" w:rsidDel="00000000" w:rsidP="00000000" w:rsidRDefault="00000000" w:rsidRPr="00000000" w14:paraId="00000079">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Membership</w:t>
            </w:r>
            <w:r w:rsidDel="00000000" w:rsidR="00000000" w:rsidRPr="00000000">
              <w:rPr>
                <w:rtl w:val="0"/>
              </w:rPr>
            </w:r>
          </w:p>
        </w:tc>
        <w:tc>
          <w:tcPr>
            <w:shd w:fill="f2f4f7" w:val="clear"/>
            <w:tcMar>
              <w:top w:w="95.0" w:type="dxa"/>
              <w:bottom w:w="95.0" w:type="dxa"/>
            </w:tcMar>
            <w:vAlign w:val="center"/>
          </w:tcPr>
          <w:p w:rsidR="00000000" w:rsidDel="00000000" w:rsidP="00000000" w:rsidRDefault="00000000" w:rsidRPr="00000000" w14:paraId="0000007A">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Add desired competencies, representation expectations, service commitments, conduct standards, and required training.</w:t>
            </w:r>
            <w:r w:rsidDel="00000000" w:rsidR="00000000" w:rsidRPr="00000000">
              <w:rPr>
                <w:rtl w:val="0"/>
              </w:rPr>
            </w:r>
          </w:p>
        </w:tc>
      </w:tr>
      <w:tr>
        <w:trPr>
          <w:cantSplit w:val="0"/>
          <w:tblHeader w:val="0"/>
        </w:trPr>
        <w:tc>
          <w:tcPr>
            <w:tcMar>
              <w:top w:w="95.0" w:type="dxa"/>
              <w:bottom w:w="95.0" w:type="dxa"/>
            </w:tcMar>
            <w:vAlign w:val="center"/>
          </w:tcPr>
          <w:p w:rsidR="00000000" w:rsidDel="00000000" w:rsidP="00000000" w:rsidRDefault="00000000" w:rsidRPr="00000000" w14:paraId="0000007B">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Transparency</w:t>
            </w:r>
            <w:r w:rsidDel="00000000" w:rsidR="00000000" w:rsidRPr="00000000">
              <w:rPr>
                <w:rtl w:val="0"/>
              </w:rPr>
            </w:r>
          </w:p>
        </w:tc>
        <w:tc>
          <w:tcPr>
            <w:tcMar>
              <w:top w:w="95.0" w:type="dxa"/>
              <w:bottom w:w="95.0" w:type="dxa"/>
            </w:tcMar>
            <w:vAlign w:val="center"/>
          </w:tcPr>
          <w:p w:rsidR="00000000" w:rsidDel="00000000" w:rsidP="00000000" w:rsidRDefault="00000000" w:rsidRPr="00000000" w14:paraId="0000007C">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Include public reporting, measurable goals, website/resources, community access, and consistent communication.</w:t>
            </w:r>
            <w:r w:rsidDel="00000000" w:rsidR="00000000" w:rsidRPr="00000000">
              <w:rPr>
                <w:rtl w:val="0"/>
              </w:rPr>
            </w:r>
          </w:p>
        </w:tc>
      </w:tr>
      <w:tr>
        <w:trPr>
          <w:cantSplit w:val="0"/>
          <w:tblHeader w:val="0"/>
        </w:trPr>
        <w:tc>
          <w:tcPr>
            <w:shd w:fill="f2f4f7" w:val="clear"/>
            <w:tcMar>
              <w:top w:w="95.0" w:type="dxa"/>
              <w:bottom w:w="95.0" w:type="dxa"/>
            </w:tcMar>
            <w:vAlign w:val="center"/>
          </w:tcPr>
          <w:p w:rsidR="00000000" w:rsidDel="00000000" w:rsidP="00000000" w:rsidRDefault="00000000" w:rsidRPr="00000000" w14:paraId="0000007D">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Launch</w:t>
            </w:r>
            <w:r w:rsidDel="00000000" w:rsidR="00000000" w:rsidRPr="00000000">
              <w:rPr>
                <w:rtl w:val="0"/>
              </w:rPr>
            </w:r>
          </w:p>
        </w:tc>
        <w:tc>
          <w:tcPr>
            <w:shd w:fill="f2f4f7" w:val="clear"/>
            <w:tcMar>
              <w:top w:w="95.0" w:type="dxa"/>
              <w:bottom w:w="95.0" w:type="dxa"/>
            </w:tcMar>
            <w:vAlign w:val="center"/>
          </w:tcPr>
          <w:p w:rsidR="00000000" w:rsidDel="00000000" w:rsidP="00000000" w:rsidRDefault="00000000" w:rsidRPr="00000000" w14:paraId="0000007E">
            <w:pPr>
              <w:spacing w:after="0" w:line="246.99999999999994" w:lineRule="auto"/>
              <w:rPr/>
            </w:pPr>
            <w:r w:rsidDel="00000000" w:rsidR="00000000" w:rsidRPr="00000000">
              <w:rPr>
                <w:rFonts w:ascii="Calibri" w:cs="Calibri" w:eastAsia="Calibri" w:hAnsi="Calibri"/>
                <w:b w:val="0"/>
                <w:bCs w:val="0"/>
                <w:i w:val="0"/>
                <w:iCs w:val="0"/>
                <w:color w:val="1f1f1f"/>
                <w:sz w:val="18"/>
                <w:szCs w:val="18"/>
                <w:rtl w:val="0"/>
              </w:rPr>
              <w:t xml:space="preserve">Add a realistic approval, recruitment, training, operating-rules, and implementation sequence.</w:t>
            </w:r>
            <w:r w:rsidDel="00000000" w:rsidR="00000000" w:rsidRPr="00000000">
              <w:rPr>
                <w:rtl w:val="0"/>
              </w:rPr>
            </w:r>
          </w:p>
        </w:tc>
      </w:tr>
    </w:tbl>
    <w:p w:rsidR="00000000" w:rsidDel="00000000" w:rsidP="00000000" w:rsidRDefault="00000000" w:rsidRPr="00000000" w14:paraId="0000007F">
      <w:pPr>
        <w:spacing w:after="20" w:lineRule="auto"/>
        <w:rPr/>
      </w:pPr>
      <w:r w:rsidDel="00000000" w:rsidR="00000000" w:rsidRPr="00000000">
        <w:rPr>
          <w:rtl w:val="0"/>
        </w:rPr>
      </w:r>
    </w:p>
    <w:p w:rsidR="00000000" w:rsidDel="00000000" w:rsidP="00000000" w:rsidRDefault="00000000" w:rsidRPr="00000000" w14:paraId="00000080">
      <w:pPr>
        <w:pStyle w:val="Heading1"/>
        <w:rPr/>
      </w:pPr>
      <w:r w:rsidDel="00000000" w:rsidR="00000000" w:rsidRPr="00000000">
        <w:rPr>
          <w:rtl w:val="0"/>
        </w:rPr>
        <w:t xml:space="preserve">Follow-Up for the August 6 Meeting</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Distribute the revised Lynnfield Community Infrastructure Framework, Version 0.2.</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Distribute a comparison of governance and ownership models from Winchester, Concord, Melrose, and other relevant Massachusetts communities.</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Use the comparison to develop initial recommendations regarding establishment, appointments, membership, reporting, administrative support, and town–school collaboration.</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left"/>
        <w:rPr/>
      </w:pPr>
      <w:r w:rsidDel="00000000" w:rsidR="00000000" w:rsidRPr="00000000">
        <w:rPr>
          <w:rFonts w:ascii="Calibri" w:cs="Calibri" w:eastAsia="Calibri" w:hAnsi="Calibri"/>
          <w:b w:val="0"/>
          <w:bCs w:val="0"/>
          <w:i w:val="0"/>
          <w:iCs w:val="0"/>
          <w:smallCaps w:val="0"/>
          <w:strike w:val="0"/>
          <w:color w:val="1f1f1f"/>
          <w:sz w:val="21"/>
          <w:szCs w:val="21"/>
          <w:u w:val="none"/>
          <w:shd w:fill="auto" w:val="clear"/>
          <w:vertAlign w:val="baseline"/>
          <w:rtl w:val="0"/>
        </w:rPr>
        <w:t xml:space="preserve">Identify matters requiring legal, procedural, financial, or administrative guidance before the Task Force finalizes its proposal.</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59" w:lineRule="auto"/>
        <w:ind w:left="360" w:right="0" w:firstLine="0"/>
        <w:jc w:val="left"/>
        <w:rPr>
          <w:rFonts w:ascii="Calibri" w:cs="Calibri" w:eastAsia="Calibri" w:hAnsi="Calibri"/>
          <w:b w:val="0"/>
          <w:bCs w:val="0"/>
          <w:i w:val="0"/>
          <w:iCs w:val="0"/>
          <w:smallCaps w:val="0"/>
          <w:strike w:val="0"/>
          <w:color w:val="1f1f1f"/>
          <w:sz w:val="21"/>
          <w:szCs w:val="21"/>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1080" w:top="1080" w:left="1224" w:right="1224" w:header="504" w:footer="50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1f1f1f"/>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5b6573"/>
        <w:sz w:val="16"/>
        <w:szCs w:val="16"/>
        <w:u w:val="none"/>
        <w:shd w:fill="auto" w:val="clear"/>
        <w:vertAlign w:val="baseline"/>
        <w:rtl w:val="0"/>
      </w:rPr>
      <w:t xml:space="preserve">ANTI-HATE TASK FORCE • WORKING DRAFT • AUGUST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1f1f1f"/>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5b6573"/>
        <w:sz w:val="17"/>
        <w:szCs w:val="17"/>
        <w:u w:val="none"/>
        <w:shd w:fill="auto" w:val="clear"/>
        <w:vertAlign w:val="baseline"/>
        <w:rtl w:val="0"/>
      </w:rPr>
      <w:t xml:space="preserve">JULY 23 MEETING NOTES &amp; FEEDBACK SUMMARY</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f1f1f"/>
        <w:sz w:val="21"/>
        <w:szCs w:val="21"/>
        <w:lang w:val="en"/>
      </w:rPr>
    </w:rPrDefault>
    <w:pPrDefault>
      <w:pPr>
        <w:spacing w:after="10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40" w:before="280" w:lineRule="auto"/>
    </w:pPr>
    <w:rPr>
      <w:rFonts w:ascii="Calibri" w:cs="Calibri" w:eastAsia="Calibri" w:hAnsi="Calibri"/>
      <w:b w:val="1"/>
      <w:bCs w:val="1"/>
      <w:color w:val="17365d"/>
      <w:sz w:val="32"/>
      <w:szCs w:val="32"/>
    </w:rPr>
  </w:style>
  <w:style w:type="paragraph" w:styleId="Heading2">
    <w:name w:val="heading 2"/>
    <w:basedOn w:val="Normal"/>
    <w:next w:val="Normal"/>
    <w:pPr>
      <w:keepNext w:val="1"/>
      <w:keepLines w:val="1"/>
      <w:spacing w:after="100" w:before="200" w:lineRule="auto"/>
    </w:pPr>
    <w:rPr>
      <w:rFonts w:ascii="Calibri" w:cs="Calibri" w:eastAsia="Calibri" w:hAnsi="Calibri"/>
      <w:b w:val="1"/>
      <w:bCs w:val="1"/>
      <w:color w:val="2f5597"/>
      <w:sz w:val="26"/>
      <w:szCs w:val="26"/>
    </w:rPr>
  </w:style>
  <w:style w:type="paragraph" w:styleId="Heading3">
    <w:name w:val="heading 3"/>
    <w:basedOn w:val="Normal"/>
    <w:next w:val="Normal"/>
    <w:pPr>
      <w:keepNext w:val="1"/>
      <w:keepLines w:val="1"/>
      <w:spacing w:after="60" w:before="140" w:lineRule="auto"/>
    </w:pPr>
    <w:rPr>
      <w:rFonts w:ascii="Calibri" w:cs="Calibri" w:eastAsia="Calibri" w:hAnsi="Calibri"/>
      <w:b w:val="1"/>
      <w:bCs w:val="1"/>
      <w:color w:val="17365d"/>
      <w:sz w:val="23"/>
      <w:szCs w:val="23"/>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o6ZeijQLi8mv1K9bzDlYCxbeg==">CgMxLjA4AHIhMU1ybFIwYWpzdnBRcFhvVTcxY0Z0elpRM1BEdWVMalBQ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