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Sermon Handout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“Let’s Talk Politics!”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(Sunday, October 27, 2024)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“Happy’s” Coming Out Party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 difference between Preaching and Teaching.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PREACHING: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 The primary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objective is to ___________, and _________ a ___________.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main goal is to Motivate _________, renew ________, and __________ your relationship with God.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TEACHING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: The primary objective is to __________knowledge and __________biblical truths.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main goal is to __________ believers to __________ truth and _________ it daily life.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II)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Why I felt the need to Preach this Sermon.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Ezekiel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33:1-5)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Why a Sermon on Political Engagement?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III)  Three things to know that will help us advance the Kingdom of God:</w:t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A. God uses Flawed Sinful People</w:t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B. Vote Policies over Personalities</w:t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C. Voting is Not Just a Right it's a Duty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Seven Top Policies with Biblical Support Needing Consideration in this Election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17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JUDGES – (Isaiah 1:26)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BORDER SECURITY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(Acts 17:26)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ISRAEL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Genesis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12:3)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RELIGIOUS LIBERTY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(Exodus 20:3)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BIOLOGICAL SEX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Genesis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1:27)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FAMILY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(Psalm 127: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LIFE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(Acts 3:15); (Proverbs 6:17).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SHINING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SALT AND LIGHT...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)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★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upperRoman"/>
      <w:lvlText w:val="(%1)"/>
      <w:lvlJc w:val="right"/>
      <w:pPr>
        <w:ind w:left="108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cstheme="majorBidi" w:eastAsiaTheme="majorEastAsia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cstheme="majorBidi" w:eastAsiaTheme="majorEastAsia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cstheme="majorBidi" w:eastAsiaTheme="majorEastAsia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0f4761" w:themeColor="accent1" w:themeShade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0f4761" w:themeColor="accent1" w:themeShade="0000BF"/>
      <w:spacing w:val="5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fxbbUn03fFTgxFWID3E22iSWlw==">CgMxLjA4AHIhMU9IMzdqM0dRWnpJWWREWmo2ZUpOU1FnYWV4QXZ5NU1k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2024-10-27T04:49:17.0331715Z</dcterms:created>
  <dc:creator>Steven Stachurski</dc:creator>
</cp:coreProperties>
</file>