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3FB8" w14:textId="77777777" w:rsidR="003F4152" w:rsidRDefault="008B513A">
      <w:pPr>
        <w:pStyle w:val="Body"/>
        <w:jc w:val="center"/>
        <w:rPr>
          <w:rFonts w:hint="eastAsia"/>
          <w:b/>
          <w:bCs/>
          <w:sz w:val="26"/>
          <w:szCs w:val="26"/>
        </w:rPr>
      </w:pPr>
      <w:r>
        <w:rPr>
          <w:b/>
          <w:bCs/>
          <w:sz w:val="26"/>
          <w:szCs w:val="26"/>
        </w:rPr>
        <w:t>Approved Exterior House Painting Color Schemes</w:t>
      </w:r>
    </w:p>
    <w:p w14:paraId="72DB60EA" w14:textId="77777777" w:rsidR="003F4152" w:rsidRDefault="003F4152">
      <w:pPr>
        <w:pStyle w:val="Body"/>
        <w:jc w:val="center"/>
        <w:rPr>
          <w:rFonts w:hint="eastAsia"/>
          <w:b/>
          <w:bCs/>
          <w:sz w:val="26"/>
          <w:szCs w:val="26"/>
        </w:rPr>
      </w:pPr>
    </w:p>
    <w:p w14:paraId="6521E080" w14:textId="77777777" w:rsidR="003F4152" w:rsidRDefault="008B513A">
      <w:pPr>
        <w:pStyle w:val="Body"/>
        <w:rPr>
          <w:rFonts w:hint="eastAsia"/>
          <w:b/>
          <w:bCs/>
        </w:rPr>
      </w:pPr>
      <w:r>
        <w:rPr>
          <w:b/>
          <w:bCs/>
        </w:rPr>
        <w:t>EXTERIOR HOUSE PAINTING</w:t>
      </w:r>
    </w:p>
    <w:p w14:paraId="5FAE7321" w14:textId="7DD1C4F1" w:rsidR="003F4152" w:rsidRDefault="008B513A">
      <w:pPr>
        <w:pStyle w:val="Body"/>
        <w:rPr>
          <w:rFonts w:hint="eastAsia"/>
        </w:rPr>
      </w:pPr>
      <w:r>
        <w:t xml:space="preserve">All exterior house painting requires submitting an Indian Wells Golf Villas Homeowners Association, Inc. “Alteration &amp; Modification Request” form. This form may be accessed from our website, </w:t>
      </w:r>
      <w:r>
        <w:rPr>
          <w:rStyle w:val="Hyperlink0"/>
        </w:rPr>
        <w:t>indianwellshoa.</w:t>
      </w:r>
      <w:r w:rsidR="00DA2990">
        <w:rPr>
          <w:rStyle w:val="Hyperlink0"/>
        </w:rPr>
        <w:t>com</w:t>
      </w:r>
      <w:r>
        <w:t xml:space="preserve"> and must state the color scheme number, house paint number from the approved scheme, trim paint number from the approved scheme and if a 2nd trim paint is selected, trim paint 2 number from the approved scheme you have selected. (See color schemes 1 - 9 below).</w:t>
      </w:r>
    </w:p>
    <w:p w14:paraId="428390A8" w14:textId="77777777" w:rsidR="003F4152" w:rsidRDefault="003F4152">
      <w:pPr>
        <w:pStyle w:val="Body"/>
        <w:rPr>
          <w:rFonts w:hint="eastAsia"/>
        </w:rPr>
      </w:pPr>
    </w:p>
    <w:p w14:paraId="4C514470" w14:textId="77777777" w:rsidR="003F4152" w:rsidRDefault="008B513A">
      <w:pPr>
        <w:pStyle w:val="Body"/>
        <w:rPr>
          <w:rFonts w:hint="eastAsia"/>
        </w:rPr>
      </w:pPr>
      <w:r>
        <w:t xml:space="preserve">The Color Schemes for Indian Wells use </w:t>
      </w:r>
      <w:proofErr w:type="spellStart"/>
      <w:r>
        <w:t>HomeScape</w:t>
      </w:r>
      <w:proofErr w:type="spellEnd"/>
      <w:r>
        <w:t xml:space="preserve"> paint by Sherwin Williams. </w:t>
      </w:r>
    </w:p>
    <w:p w14:paraId="64BB5A7F" w14:textId="77777777" w:rsidR="003F4152" w:rsidRDefault="003F4152">
      <w:pPr>
        <w:pStyle w:val="Body"/>
        <w:rPr>
          <w:rFonts w:hint="eastAsia"/>
        </w:rPr>
      </w:pPr>
    </w:p>
    <w:p w14:paraId="028BA3DD" w14:textId="77777777" w:rsidR="003F4152" w:rsidRDefault="008B513A">
      <w:pPr>
        <w:pStyle w:val="Body"/>
        <w:rPr>
          <w:rFonts w:hint="eastAsia"/>
        </w:rPr>
      </w:pPr>
      <w:r>
        <w:rPr>
          <w:b/>
          <w:bCs/>
        </w:rPr>
        <w:t>Note 1</w:t>
      </w:r>
      <w:r>
        <w:t xml:space="preserve">: </w:t>
      </w:r>
      <w:r>
        <w:rPr>
          <w:b/>
          <w:bCs/>
        </w:rPr>
        <w:t>The first four colors may be used to choose as both your house color and trim/garage color</w:t>
      </w:r>
      <w:r>
        <w:t xml:space="preserve">. The last four colors may be considered as trim color(s) only if you prefer a darker trim/garage color. </w:t>
      </w:r>
      <w:r>
        <w:rPr>
          <w:b/>
          <w:bCs/>
        </w:rPr>
        <w:t>The last four colors may not be used as the house color.</w:t>
      </w:r>
      <w:r>
        <w:t xml:space="preserve"> No more than 2 colors may be used for trim accents. A total of three colors. </w:t>
      </w:r>
      <w:r>
        <w:rPr>
          <w:b/>
          <w:bCs/>
        </w:rPr>
        <w:t>Choosing from the approved color schemes allows the ARB committee to approve immediately without the need to present at a public meeting (Board Meeting).</w:t>
      </w:r>
    </w:p>
    <w:p w14:paraId="421A1413" w14:textId="77777777" w:rsidR="003F4152" w:rsidRDefault="003F4152">
      <w:pPr>
        <w:pStyle w:val="Body"/>
        <w:rPr>
          <w:rFonts w:hint="eastAsia"/>
        </w:rPr>
      </w:pPr>
    </w:p>
    <w:p w14:paraId="7D80FEFB" w14:textId="77777777" w:rsidR="003F4152" w:rsidRDefault="008B513A">
      <w:pPr>
        <w:pStyle w:val="Body"/>
        <w:rPr>
          <w:rFonts w:hint="eastAsia"/>
        </w:rPr>
      </w:pPr>
      <w:r>
        <w:rPr>
          <w:b/>
          <w:bCs/>
        </w:rPr>
        <w:t>Note 2</w:t>
      </w:r>
      <w:r>
        <w:t>: If  you decide to use a different brand of paint than Sherwin Williams, OR choose Sherwin Williams colors NOT within the approved paint schemes, card samples of each color must be provided to the ARB committee for review and be presented at a public meeting (Board Meeting).</w:t>
      </w:r>
    </w:p>
    <w:p w14:paraId="58C2F179" w14:textId="77777777" w:rsidR="003F4152" w:rsidRDefault="003F4152">
      <w:pPr>
        <w:pStyle w:val="Body"/>
        <w:rPr>
          <w:rFonts w:hint="eastAsia"/>
        </w:rPr>
      </w:pPr>
    </w:p>
    <w:p w14:paraId="49B68666" w14:textId="4CEED282" w:rsidR="003F4152" w:rsidRDefault="008B513A">
      <w:pPr>
        <w:pStyle w:val="Body"/>
        <w:rPr>
          <w:rFonts w:hint="eastAsia"/>
          <w:sz w:val="24"/>
          <w:szCs w:val="24"/>
        </w:rPr>
      </w:pPr>
      <w:r>
        <w:rPr>
          <w:b/>
          <w:bCs/>
        </w:rPr>
        <w:t>Note 3</w:t>
      </w:r>
      <w:r>
        <w:t>: You cannot mix schemes</w:t>
      </w:r>
      <w:r w:rsidR="0061541B">
        <w:t xml:space="preserve"> without approval </w:t>
      </w:r>
      <w:r w:rsidR="00823271">
        <w:t xml:space="preserve">from </w:t>
      </w:r>
      <w:r w:rsidR="00A376B0">
        <w:t xml:space="preserve">the </w:t>
      </w:r>
      <w:r w:rsidR="0061541B">
        <w:t xml:space="preserve">ARC committee.  Most schemes are not </w:t>
      </w:r>
      <w:r w:rsidR="00692558">
        <w:t>mix</w:t>
      </w:r>
      <w:r w:rsidR="00692558">
        <w:rPr>
          <w:rFonts w:hint="eastAsia"/>
        </w:rPr>
        <w:t>ed</w:t>
      </w:r>
      <w:r w:rsidR="0061541B">
        <w:t xml:space="preserve"> and match.</w:t>
      </w:r>
    </w:p>
    <w:p w14:paraId="7A4ECFEB" w14:textId="77777777" w:rsidR="003F4152" w:rsidRDefault="003F4152">
      <w:pPr>
        <w:pStyle w:val="Body"/>
        <w:rPr>
          <w:rFonts w:hint="eastAsia"/>
          <w:sz w:val="24"/>
          <w:szCs w:val="24"/>
        </w:rPr>
      </w:pPr>
    </w:p>
    <w:p w14:paraId="3C8B548C" w14:textId="77777777" w:rsidR="003F4152" w:rsidRDefault="008B513A">
      <w:pPr>
        <w:pStyle w:val="Body"/>
        <w:rPr>
          <w:rFonts w:hint="eastAsia"/>
          <w:sz w:val="24"/>
          <w:szCs w:val="24"/>
        </w:rPr>
      </w:pPr>
      <w:r>
        <w:rPr>
          <w:b/>
          <w:bCs/>
          <w:sz w:val="24"/>
          <w:szCs w:val="24"/>
        </w:rPr>
        <w:t>Note 4:</w:t>
      </w:r>
      <w:r>
        <w:rPr>
          <w:sz w:val="24"/>
          <w:szCs w:val="24"/>
        </w:rPr>
        <w:t xml:space="preserve"> </w:t>
      </w:r>
      <w:r>
        <w:rPr>
          <w:b/>
          <w:bCs/>
          <w:sz w:val="24"/>
          <w:szCs w:val="24"/>
        </w:rPr>
        <w:t>Gutters</w:t>
      </w:r>
      <w:r>
        <w:rPr>
          <w:sz w:val="24"/>
          <w:szCs w:val="24"/>
        </w:rPr>
        <w:t xml:space="preserve"> must be a color from the paint scheme and your </w:t>
      </w:r>
      <w:r>
        <w:rPr>
          <w:b/>
          <w:bCs/>
          <w:sz w:val="24"/>
          <w:szCs w:val="24"/>
        </w:rPr>
        <w:t>roof</w:t>
      </w:r>
      <w:r>
        <w:rPr>
          <w:sz w:val="24"/>
          <w:szCs w:val="24"/>
        </w:rPr>
        <w:t xml:space="preserve"> (barrel style only) color should align with the paint schemes. Any variation will require a public board meeting decision.</w:t>
      </w:r>
    </w:p>
    <w:p w14:paraId="4837412C" w14:textId="77777777" w:rsidR="003F4152" w:rsidRDefault="003F4152">
      <w:pPr>
        <w:pStyle w:val="Body"/>
        <w:rPr>
          <w:rFonts w:hint="eastAsia"/>
          <w:sz w:val="24"/>
          <w:szCs w:val="24"/>
        </w:rPr>
      </w:pPr>
    </w:p>
    <w:p w14:paraId="0ACC0550" w14:textId="77777777" w:rsidR="003F4152" w:rsidRDefault="008B513A">
      <w:pPr>
        <w:pStyle w:val="Body"/>
        <w:rPr>
          <w:rFonts w:hint="eastAsia"/>
          <w:b/>
          <w:bCs/>
          <w:sz w:val="24"/>
          <w:szCs w:val="24"/>
        </w:rPr>
      </w:pPr>
      <w:r>
        <w:rPr>
          <w:b/>
          <w:bCs/>
          <w:sz w:val="24"/>
          <w:szCs w:val="24"/>
        </w:rPr>
        <w:t>APPROVED SHERWIN WILLIAMS PAINT SCHEMES:</w:t>
      </w:r>
    </w:p>
    <w:p w14:paraId="4FF476BF" w14:textId="77777777" w:rsidR="003F4152" w:rsidRDefault="003F4152">
      <w:pPr>
        <w:pStyle w:val="Body"/>
        <w:rPr>
          <w:rFonts w:hint="eastAsia"/>
        </w:rPr>
      </w:pPr>
    </w:p>
    <w:p w14:paraId="707C6F6D" w14:textId="77777777" w:rsidR="003F4152" w:rsidRDefault="008B513A">
      <w:pPr>
        <w:pStyle w:val="Body"/>
        <w:rPr>
          <w:rFonts w:hint="eastAsia"/>
        </w:rPr>
      </w:pPr>
      <w:r>
        <w:rPr>
          <w:b/>
          <w:bCs/>
        </w:rPr>
        <w:t>Scheme 1</w:t>
      </w:r>
      <w:r>
        <w:t>:  SW6084, SW6085, SW6086, SW6087, SW9083, SW6088, SW6089, SW6090</w:t>
      </w:r>
    </w:p>
    <w:p w14:paraId="70CB93F8" w14:textId="77777777" w:rsidR="003F4152" w:rsidRDefault="008B513A">
      <w:pPr>
        <w:pStyle w:val="Body"/>
        <w:rPr>
          <w:rFonts w:hint="eastAsia"/>
        </w:rPr>
      </w:pPr>
      <w:r>
        <w:rPr>
          <w:b/>
          <w:bCs/>
        </w:rPr>
        <w:t>Scheme 2</w:t>
      </w:r>
      <w:r>
        <w:t>:  SW6098, SW6099, SW6100, SW6101, SW9093, SW6102, SW6103, SW6104</w:t>
      </w:r>
    </w:p>
    <w:p w14:paraId="4CF8762C" w14:textId="77777777" w:rsidR="003F4152" w:rsidRDefault="008B513A">
      <w:pPr>
        <w:pStyle w:val="Body"/>
        <w:rPr>
          <w:rFonts w:hint="eastAsia"/>
        </w:rPr>
      </w:pPr>
      <w:r>
        <w:rPr>
          <w:b/>
          <w:bCs/>
        </w:rPr>
        <w:t>Scheme 3</w:t>
      </w:r>
      <w:r>
        <w:t>:  SW6105, SW6106, SW6107, SW6108, SW9108, SW6109, SW6110, SW6111</w:t>
      </w:r>
    </w:p>
    <w:p w14:paraId="72DA512B" w14:textId="77777777" w:rsidR="003F4152" w:rsidRDefault="008B513A">
      <w:pPr>
        <w:pStyle w:val="Body"/>
        <w:rPr>
          <w:rFonts w:hint="eastAsia"/>
        </w:rPr>
      </w:pPr>
      <w:r>
        <w:rPr>
          <w:b/>
          <w:bCs/>
        </w:rPr>
        <w:t>Scheme 4</w:t>
      </w:r>
      <w:r>
        <w:t>:  SW7035, SW7036, SW7037, SW7038, SW9174, SW7039, SW7040, SW7041</w:t>
      </w:r>
    </w:p>
    <w:p w14:paraId="3C68E0FF" w14:textId="77777777" w:rsidR="003F4152" w:rsidRDefault="008B513A">
      <w:pPr>
        <w:pStyle w:val="Body"/>
        <w:rPr>
          <w:rFonts w:hint="eastAsia"/>
        </w:rPr>
      </w:pPr>
      <w:r>
        <w:rPr>
          <w:b/>
          <w:bCs/>
        </w:rPr>
        <w:t>Scheme 5</w:t>
      </w:r>
      <w:r>
        <w:t>:  SW7104, SW7105, SW7106, SW7557, SW7556, SW7559, SW6371, SW7593</w:t>
      </w:r>
    </w:p>
    <w:p w14:paraId="1E8C7293" w14:textId="77777777" w:rsidR="003F4152" w:rsidRDefault="008B513A">
      <w:pPr>
        <w:pStyle w:val="Body"/>
        <w:rPr>
          <w:rFonts w:hint="eastAsia"/>
        </w:rPr>
      </w:pPr>
      <w:r>
        <w:rPr>
          <w:b/>
          <w:bCs/>
        </w:rPr>
        <w:t>Scheme 6:</w:t>
      </w:r>
      <w:r>
        <w:t xml:space="preserve">  SW6126, SW6127, SW6128, SW6129, SW9024, SW6130, SW6131, SW6132</w:t>
      </w:r>
    </w:p>
    <w:p w14:paraId="0D144660" w14:textId="77777777" w:rsidR="003F4152" w:rsidRDefault="008B513A">
      <w:pPr>
        <w:pStyle w:val="Body"/>
        <w:rPr>
          <w:rFonts w:hint="eastAsia"/>
        </w:rPr>
      </w:pPr>
      <w:r>
        <w:rPr>
          <w:b/>
          <w:bCs/>
        </w:rPr>
        <w:t xml:space="preserve">Scheme 7:  </w:t>
      </w:r>
      <w:r>
        <w:t>SW7063, SW7064, SW7065, SW7066, SW9163, SW7067, SW7068, SW7674</w:t>
      </w:r>
    </w:p>
    <w:p w14:paraId="5DDC839A" w14:textId="44F80C96" w:rsidR="003F4152" w:rsidRDefault="008B513A">
      <w:pPr>
        <w:pStyle w:val="Body"/>
        <w:rPr>
          <w:rFonts w:hint="eastAsia"/>
        </w:rPr>
      </w:pPr>
      <w:r>
        <w:rPr>
          <w:b/>
          <w:bCs/>
        </w:rPr>
        <w:t>Scheme 8:</w:t>
      </w:r>
      <w:r>
        <w:t xml:space="preserve">  SW7666, SW7667, SW7672, SW7668, SW7673, SW7669, SW7670</w:t>
      </w:r>
    </w:p>
    <w:p w14:paraId="6FB183A8" w14:textId="77777777" w:rsidR="003F4152" w:rsidRDefault="008B513A">
      <w:pPr>
        <w:pStyle w:val="Body"/>
        <w:rPr>
          <w:rFonts w:hint="eastAsia"/>
        </w:rPr>
      </w:pPr>
      <w:r>
        <w:rPr>
          <w:b/>
          <w:bCs/>
        </w:rPr>
        <w:t>Scheme 9</w:t>
      </w:r>
      <w:r>
        <w:t>:  SW7000, SW7001, SW7102, SW7002, SW7101, SW6084, SW6091, SW6098</w:t>
      </w:r>
    </w:p>
    <w:p w14:paraId="0814C6A3" w14:textId="77777777" w:rsidR="003F4152" w:rsidRDefault="003F4152">
      <w:pPr>
        <w:pStyle w:val="Body"/>
        <w:rPr>
          <w:rFonts w:hint="eastAsia"/>
        </w:rPr>
      </w:pPr>
    </w:p>
    <w:p w14:paraId="2014FF68" w14:textId="77777777" w:rsidR="003F4152" w:rsidRDefault="008B513A">
      <w:pPr>
        <w:pStyle w:val="Body"/>
        <w:rPr>
          <w:rFonts w:hint="eastAsia"/>
        </w:rPr>
      </w:pPr>
      <w:r>
        <w:t>The Indian Wells Golf Villas Color Scheme Binder giving examples of the above colors may be borrowed, upon request, from the ARB, if available OR you can go to a Sherwin-Williams store and pick up copies of the above colors.</w:t>
      </w:r>
    </w:p>
    <w:p w14:paraId="6097085A" w14:textId="77777777" w:rsidR="003F4152" w:rsidRDefault="003F4152">
      <w:pPr>
        <w:pStyle w:val="Body"/>
        <w:rPr>
          <w:rFonts w:hint="eastAsia"/>
          <w:b/>
          <w:bCs/>
        </w:rPr>
      </w:pPr>
    </w:p>
    <w:p w14:paraId="1D286127" w14:textId="1EFC1D34" w:rsidR="003F4152" w:rsidRDefault="008B513A">
      <w:pPr>
        <w:pStyle w:val="Body"/>
        <w:rPr>
          <w:rFonts w:hint="eastAsia"/>
        </w:rPr>
      </w:pPr>
      <w:r>
        <w:t xml:space="preserve">If you have additional </w:t>
      </w:r>
      <w:proofErr w:type="gramStart"/>
      <w:r>
        <w:t>questions</w:t>
      </w:r>
      <w:proofErr w:type="gramEnd"/>
      <w:r>
        <w:t xml:space="preserve"> please contact any of the AR</w:t>
      </w:r>
      <w:r w:rsidR="0061541B">
        <w:t xml:space="preserve">C </w:t>
      </w:r>
      <w:proofErr w:type="gramStart"/>
      <w:r w:rsidR="0061541B">
        <w:t>chairperson</w:t>
      </w:r>
      <w:proofErr w:type="gramEnd"/>
      <w:r w:rsidR="0061541B">
        <w:t>.</w:t>
      </w:r>
    </w:p>
    <w:p w14:paraId="24E4222D" w14:textId="77777777" w:rsidR="004E5EA9" w:rsidRDefault="004E5EA9">
      <w:pPr>
        <w:pStyle w:val="Body"/>
        <w:rPr>
          <w:rFonts w:hint="eastAsia"/>
        </w:rPr>
      </w:pPr>
    </w:p>
    <w:p w14:paraId="1A124319" w14:textId="53453411" w:rsidR="004E5EA9" w:rsidRDefault="004E5EA9">
      <w:pPr>
        <w:pStyle w:val="Body"/>
        <w:rPr>
          <w:rFonts w:hint="eastAsia"/>
        </w:rPr>
      </w:pPr>
      <w:r>
        <w:rPr>
          <w:rFonts w:hint="eastAsia"/>
          <w:noProof/>
          <w14:textOutline w14:w="0" w14:cap="rnd" w14:cmpd="sng" w14:algn="ctr">
            <w14:noFill/>
            <w14:prstDash w14:val="solid"/>
            <w14:bevel/>
          </w14:textOutline>
        </w:rPr>
        <w:lastRenderedPageBreak/>
        <w:drawing>
          <wp:inline distT="0" distB="0" distL="0" distR="0" wp14:anchorId="20EB5329" wp14:editId="7A2D802F">
            <wp:extent cx="6457950" cy="5943600"/>
            <wp:effectExtent l="0" t="9525" r="9525" b="9525"/>
            <wp:docPr id="2090458219" name="Picture 1" descr="A fan of paint samp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458219" name="Picture 1" descr="A fan of paint samples&#10;&#10;Description automatically generated"/>
                    <pic:cNvPicPr/>
                  </pic:nvPicPr>
                  <pic:blipFill rotWithShape="1">
                    <a:blip r:embed="rId6" cstate="print">
                      <a:extLst>
                        <a:ext uri="{28A0092B-C50C-407E-A947-70E740481C1C}">
                          <a14:useLocalDpi xmlns:a14="http://schemas.microsoft.com/office/drawing/2010/main" val="0"/>
                        </a:ext>
                      </a:extLst>
                    </a:blip>
                    <a:srcRect r="18510"/>
                    <a:stretch/>
                  </pic:blipFill>
                  <pic:spPr bwMode="auto">
                    <a:xfrm rot="5400000">
                      <a:off x="0" y="0"/>
                      <a:ext cx="6457950" cy="5943600"/>
                    </a:xfrm>
                    <a:prstGeom prst="rect">
                      <a:avLst/>
                    </a:prstGeom>
                    <a:ln>
                      <a:noFill/>
                    </a:ln>
                    <a:extLst>
                      <a:ext uri="{53640926-AAD7-44D8-BBD7-CCE9431645EC}">
                        <a14:shadowObscured xmlns:a14="http://schemas.microsoft.com/office/drawing/2010/main"/>
                      </a:ext>
                    </a:extLst>
                  </pic:spPr>
                </pic:pic>
              </a:graphicData>
            </a:graphic>
          </wp:inline>
        </w:drawing>
      </w:r>
    </w:p>
    <w:sectPr w:rsidR="004E5E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465D7" w14:textId="77777777" w:rsidR="00993378" w:rsidRDefault="00993378">
      <w:r>
        <w:separator/>
      </w:r>
    </w:p>
  </w:endnote>
  <w:endnote w:type="continuationSeparator" w:id="0">
    <w:p w14:paraId="6E5F4C2A" w14:textId="77777777" w:rsidR="00993378" w:rsidRDefault="0099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AA78" w14:textId="77777777" w:rsidR="00195031" w:rsidRDefault="00195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489E" w14:textId="77777777" w:rsidR="00195031" w:rsidRDefault="00195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8CC2" w14:textId="77777777" w:rsidR="00195031" w:rsidRDefault="00195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962F" w14:textId="77777777" w:rsidR="00993378" w:rsidRDefault="00993378">
      <w:r>
        <w:separator/>
      </w:r>
    </w:p>
  </w:footnote>
  <w:footnote w:type="continuationSeparator" w:id="0">
    <w:p w14:paraId="59CCC843" w14:textId="77777777" w:rsidR="00993378" w:rsidRDefault="0099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E16D" w14:textId="77777777" w:rsidR="00195031" w:rsidRDefault="00195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B249" w14:textId="3CC85116" w:rsidR="003F4152" w:rsidRDefault="008B513A">
    <w:pPr>
      <w:pStyle w:val="HeaderFooter"/>
      <w:tabs>
        <w:tab w:val="clear" w:pos="9020"/>
        <w:tab w:val="center" w:pos="4680"/>
        <w:tab w:val="right" w:pos="9360"/>
      </w:tabs>
      <w:rPr>
        <w:rFonts w:hint="eastAsia"/>
      </w:rPr>
    </w:pPr>
    <w:r>
      <w:tab/>
      <w:t>Indian Wells Golf Villas</w:t>
    </w:r>
    <w:r>
      <w:tab/>
      <w:t>20</w:t>
    </w:r>
    <w:r w:rsidR="00195031">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CC3F" w14:textId="77777777" w:rsidR="00195031" w:rsidRDefault="001950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52"/>
    <w:rsid w:val="001608B5"/>
    <w:rsid w:val="00186A13"/>
    <w:rsid w:val="00195031"/>
    <w:rsid w:val="002A53BC"/>
    <w:rsid w:val="003F4152"/>
    <w:rsid w:val="004E5EA9"/>
    <w:rsid w:val="006147E8"/>
    <w:rsid w:val="0061541B"/>
    <w:rsid w:val="00692558"/>
    <w:rsid w:val="0078686B"/>
    <w:rsid w:val="007A7C35"/>
    <w:rsid w:val="00823271"/>
    <w:rsid w:val="008B513A"/>
    <w:rsid w:val="008E3E05"/>
    <w:rsid w:val="008F42DD"/>
    <w:rsid w:val="00932CE9"/>
    <w:rsid w:val="00993378"/>
    <w:rsid w:val="00A376B0"/>
    <w:rsid w:val="00B5278D"/>
    <w:rsid w:val="00C12293"/>
    <w:rsid w:val="00C77167"/>
    <w:rsid w:val="00DA2990"/>
    <w:rsid w:val="00F6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ECD4"/>
  <w15:docId w15:val="{90073BD1-A774-408D-8141-1CE4AA43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195031"/>
    <w:pPr>
      <w:tabs>
        <w:tab w:val="center" w:pos="4680"/>
        <w:tab w:val="right" w:pos="9360"/>
      </w:tabs>
    </w:pPr>
  </w:style>
  <w:style w:type="character" w:customStyle="1" w:styleId="HeaderChar">
    <w:name w:val="Header Char"/>
    <w:basedOn w:val="DefaultParagraphFont"/>
    <w:link w:val="Header"/>
    <w:uiPriority w:val="99"/>
    <w:rsid w:val="00195031"/>
    <w:rPr>
      <w:sz w:val="24"/>
      <w:szCs w:val="24"/>
    </w:rPr>
  </w:style>
  <w:style w:type="paragraph" w:styleId="Footer">
    <w:name w:val="footer"/>
    <w:basedOn w:val="Normal"/>
    <w:link w:val="FooterChar"/>
    <w:uiPriority w:val="99"/>
    <w:unhideWhenUsed/>
    <w:rsid w:val="00195031"/>
    <w:pPr>
      <w:tabs>
        <w:tab w:val="center" w:pos="4680"/>
        <w:tab w:val="right" w:pos="9360"/>
      </w:tabs>
    </w:pPr>
  </w:style>
  <w:style w:type="character" w:customStyle="1" w:styleId="FooterChar">
    <w:name w:val="Footer Char"/>
    <w:basedOn w:val="DefaultParagraphFont"/>
    <w:link w:val="Footer"/>
    <w:uiPriority w:val="99"/>
    <w:rsid w:val="001950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Bill's laptop</dc:creator>
  <cp:lastModifiedBy>Bill Fox</cp:lastModifiedBy>
  <cp:revision>2</cp:revision>
  <cp:lastPrinted>2023-12-06T23:00:00Z</cp:lastPrinted>
  <dcterms:created xsi:type="dcterms:W3CDTF">2023-12-18T16:57:00Z</dcterms:created>
  <dcterms:modified xsi:type="dcterms:W3CDTF">2023-12-18T16:57:00Z</dcterms:modified>
</cp:coreProperties>
</file>