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A7568" w14:textId="77777777" w:rsidR="0001778E" w:rsidRPr="001B5A2B" w:rsidRDefault="0001778E" w:rsidP="0001778E">
      <w:pPr>
        <w:spacing w:after="0"/>
        <w:jc w:val="center"/>
        <w:rPr>
          <w:rFonts w:ascii="Times New Roman" w:eastAsia="Times New Roman" w:hAnsi="Times New Roman" w:cs="Times New Roman"/>
          <w:b/>
          <w:sz w:val="28"/>
          <w:szCs w:val="28"/>
        </w:rPr>
      </w:pPr>
      <w:r w:rsidRPr="001B5A2B">
        <w:rPr>
          <w:rFonts w:ascii="Times New Roman" w:eastAsia="Times New Roman" w:hAnsi="Times New Roman" w:cs="Times New Roman"/>
          <w:b/>
          <w:sz w:val="28"/>
          <w:szCs w:val="28"/>
        </w:rPr>
        <w:t>IN THE UNITED STATES DISTRICT COURT</w:t>
      </w:r>
    </w:p>
    <w:p w14:paraId="6216D6C5" w14:textId="77777777" w:rsidR="0001778E" w:rsidRPr="001B5A2B" w:rsidRDefault="0001778E" w:rsidP="0001778E">
      <w:pPr>
        <w:spacing w:after="0"/>
        <w:jc w:val="center"/>
        <w:rPr>
          <w:rFonts w:ascii="Times New Roman" w:eastAsia="Times New Roman" w:hAnsi="Times New Roman" w:cs="Times New Roman"/>
          <w:b/>
          <w:sz w:val="28"/>
          <w:szCs w:val="28"/>
        </w:rPr>
      </w:pPr>
      <w:r w:rsidRPr="001B5A2B">
        <w:rPr>
          <w:rFonts w:ascii="Times New Roman" w:eastAsia="Times New Roman" w:hAnsi="Times New Roman" w:cs="Times New Roman"/>
          <w:b/>
          <w:sz w:val="28"/>
          <w:szCs w:val="28"/>
        </w:rPr>
        <w:t xml:space="preserve">FOR THE EASTERN DISTRICT OF MICHIGAN </w:t>
      </w:r>
    </w:p>
    <w:p w14:paraId="213A220E" w14:textId="77777777" w:rsidR="0001778E" w:rsidRPr="001B5A2B" w:rsidRDefault="0001778E" w:rsidP="0001778E">
      <w:pPr>
        <w:spacing w:after="0"/>
        <w:jc w:val="center"/>
        <w:rPr>
          <w:rFonts w:ascii="Times New Roman" w:eastAsia="Times New Roman" w:hAnsi="Times New Roman" w:cs="Times New Roman"/>
          <w:b/>
          <w:sz w:val="28"/>
          <w:szCs w:val="28"/>
        </w:rPr>
      </w:pPr>
      <w:r w:rsidRPr="001B5A2B">
        <w:rPr>
          <w:rFonts w:ascii="Times New Roman" w:eastAsia="Times New Roman" w:hAnsi="Times New Roman" w:cs="Times New Roman"/>
          <w:b/>
          <w:sz w:val="28"/>
          <w:szCs w:val="28"/>
        </w:rPr>
        <w:t>SOUTHERN DIVISION</w:t>
      </w:r>
    </w:p>
    <w:p w14:paraId="4E39286F" w14:textId="77777777" w:rsidR="0001778E" w:rsidRPr="001B5A2B" w:rsidRDefault="0001778E" w:rsidP="0001778E">
      <w:pPr>
        <w:tabs>
          <w:tab w:val="left" w:pos="5827"/>
        </w:tabs>
        <w:spacing w:after="0"/>
        <w:rPr>
          <w:rFonts w:ascii="Times New Roman" w:eastAsia="Times New Roman" w:hAnsi="Times New Roman" w:cs="Times New Roman"/>
          <w:b/>
          <w:sz w:val="28"/>
          <w:szCs w:val="28"/>
        </w:rPr>
      </w:pPr>
      <w:r w:rsidRPr="001B5A2B">
        <w:rPr>
          <w:rFonts w:ascii="Times New Roman" w:eastAsia="Times New Roman" w:hAnsi="Times New Roman" w:cs="Times New Roman"/>
          <w:b/>
          <w:sz w:val="28"/>
          <w:szCs w:val="28"/>
        </w:rPr>
        <w:tab/>
      </w:r>
    </w:p>
    <w:p w14:paraId="38E3624F" w14:textId="7B6981B0" w:rsidR="00DD774B" w:rsidRPr="001B5A2B" w:rsidRDefault="00DD774B" w:rsidP="0001778E">
      <w:pPr>
        <w:tabs>
          <w:tab w:val="left" w:pos="-1200"/>
          <w:tab w:val="left" w:pos="-810"/>
        </w:tabs>
        <w:spacing w:after="0" w:line="240" w:lineRule="auto"/>
        <w:rPr>
          <w:rFonts w:ascii="Times New Roman" w:hAnsi="Times New Roman" w:cs="Times New Roman"/>
          <w:b/>
          <w:bCs/>
          <w:color w:val="000000"/>
          <w:sz w:val="28"/>
          <w:szCs w:val="28"/>
        </w:rPr>
      </w:pPr>
      <w:r w:rsidRPr="001B5A2B">
        <w:rPr>
          <w:rFonts w:ascii="Times New Roman" w:hAnsi="Times New Roman" w:cs="Times New Roman"/>
          <w:b/>
          <w:bCs/>
          <w:color w:val="000000"/>
          <w:sz w:val="28"/>
          <w:szCs w:val="28"/>
        </w:rPr>
        <w:t>,</w:t>
      </w:r>
    </w:p>
    <w:p w14:paraId="4C7C7B34" w14:textId="77777777" w:rsidR="0001778E" w:rsidRPr="001B5A2B" w:rsidRDefault="0001778E" w:rsidP="0001778E">
      <w:pPr>
        <w:spacing w:before="16" w:after="0" w:line="240" w:lineRule="auto"/>
        <w:rPr>
          <w:rFonts w:ascii="Times New Roman" w:eastAsia="Times New Roman" w:hAnsi="Times New Roman" w:cs="Times New Roman"/>
          <w:b/>
          <w:sz w:val="28"/>
          <w:szCs w:val="28"/>
        </w:rPr>
      </w:pPr>
      <w:r w:rsidRPr="001B5A2B">
        <w:rPr>
          <w:rFonts w:ascii="Times New Roman" w:eastAsia="Times New Roman" w:hAnsi="Times New Roman" w:cs="Times New Roman"/>
          <w:b/>
          <w:w w:val="105"/>
          <w:sz w:val="28"/>
          <w:szCs w:val="28"/>
        </w:rPr>
        <w:t>On</w:t>
      </w:r>
      <w:r w:rsidRPr="001B5A2B">
        <w:rPr>
          <w:rFonts w:ascii="Times New Roman" w:eastAsia="Times New Roman" w:hAnsi="Times New Roman" w:cs="Times New Roman"/>
          <w:b/>
          <w:spacing w:val="-21"/>
          <w:w w:val="105"/>
          <w:sz w:val="28"/>
          <w:szCs w:val="28"/>
        </w:rPr>
        <w:t xml:space="preserve"> </w:t>
      </w:r>
      <w:r w:rsidRPr="001B5A2B">
        <w:rPr>
          <w:rFonts w:ascii="Times New Roman" w:eastAsia="Times New Roman" w:hAnsi="Times New Roman" w:cs="Times New Roman"/>
          <w:b/>
          <w:w w:val="105"/>
          <w:sz w:val="28"/>
          <w:szCs w:val="28"/>
        </w:rPr>
        <w:t>Behalf</w:t>
      </w:r>
      <w:r w:rsidRPr="001B5A2B">
        <w:rPr>
          <w:rFonts w:ascii="Times New Roman" w:eastAsia="Times New Roman" w:hAnsi="Times New Roman" w:cs="Times New Roman"/>
          <w:b/>
          <w:spacing w:val="-8"/>
          <w:w w:val="105"/>
          <w:sz w:val="28"/>
          <w:szCs w:val="28"/>
        </w:rPr>
        <w:t xml:space="preserve"> </w:t>
      </w:r>
      <w:r w:rsidRPr="001B5A2B">
        <w:rPr>
          <w:rFonts w:ascii="Times New Roman" w:eastAsia="Times New Roman" w:hAnsi="Times New Roman" w:cs="Times New Roman"/>
          <w:b/>
          <w:w w:val="105"/>
          <w:sz w:val="28"/>
          <w:szCs w:val="28"/>
        </w:rPr>
        <w:t>of</w:t>
      </w:r>
      <w:r w:rsidRPr="001B5A2B">
        <w:rPr>
          <w:rFonts w:ascii="Times New Roman" w:eastAsia="Times New Roman" w:hAnsi="Times New Roman" w:cs="Times New Roman"/>
          <w:b/>
          <w:spacing w:val="-21"/>
          <w:w w:val="105"/>
          <w:sz w:val="28"/>
          <w:szCs w:val="28"/>
        </w:rPr>
        <w:t xml:space="preserve"> Themselves</w:t>
      </w:r>
    </w:p>
    <w:p w14:paraId="5E8F517C" w14:textId="77777777" w:rsidR="0001778E" w:rsidRPr="001B5A2B" w:rsidRDefault="0001778E" w:rsidP="0001778E">
      <w:pPr>
        <w:tabs>
          <w:tab w:val="left" w:pos="-1200"/>
          <w:tab w:val="left" w:pos="-810"/>
        </w:tabs>
        <w:spacing w:after="0" w:line="240" w:lineRule="auto"/>
        <w:rPr>
          <w:rFonts w:ascii="Times New Roman" w:hAnsi="Times New Roman" w:cs="Times New Roman"/>
          <w:b/>
          <w:bCs/>
          <w:color w:val="000000"/>
          <w:sz w:val="28"/>
          <w:szCs w:val="28"/>
        </w:rPr>
      </w:pPr>
      <w:r w:rsidRPr="001B5A2B">
        <w:rPr>
          <w:rFonts w:ascii="Times New Roman" w:hAnsi="Times New Roman" w:cs="Times New Roman"/>
          <w:b/>
          <w:w w:val="105"/>
          <w:sz w:val="28"/>
          <w:szCs w:val="28"/>
        </w:rPr>
        <w:t>and</w:t>
      </w:r>
      <w:r w:rsidRPr="001B5A2B">
        <w:rPr>
          <w:rFonts w:ascii="Times New Roman" w:hAnsi="Times New Roman" w:cs="Times New Roman"/>
          <w:b/>
          <w:spacing w:val="-24"/>
          <w:w w:val="105"/>
          <w:sz w:val="28"/>
          <w:szCs w:val="28"/>
        </w:rPr>
        <w:t xml:space="preserve"> </w:t>
      </w:r>
      <w:r w:rsidRPr="001B5A2B">
        <w:rPr>
          <w:rFonts w:ascii="Times New Roman" w:hAnsi="Times New Roman" w:cs="Times New Roman"/>
          <w:b/>
          <w:w w:val="105"/>
          <w:sz w:val="28"/>
          <w:szCs w:val="28"/>
        </w:rPr>
        <w:t>All</w:t>
      </w:r>
      <w:r w:rsidRPr="001B5A2B">
        <w:rPr>
          <w:rFonts w:ascii="Times New Roman" w:hAnsi="Times New Roman" w:cs="Times New Roman"/>
          <w:b/>
          <w:spacing w:val="-14"/>
          <w:w w:val="105"/>
          <w:sz w:val="28"/>
          <w:szCs w:val="28"/>
        </w:rPr>
        <w:t xml:space="preserve"> </w:t>
      </w:r>
      <w:r w:rsidRPr="001B5A2B">
        <w:rPr>
          <w:rFonts w:ascii="Times New Roman" w:hAnsi="Times New Roman" w:cs="Times New Roman"/>
          <w:b/>
          <w:w w:val="105"/>
          <w:sz w:val="28"/>
          <w:szCs w:val="28"/>
        </w:rPr>
        <w:t>Others</w:t>
      </w:r>
      <w:r w:rsidRPr="001B5A2B">
        <w:rPr>
          <w:rFonts w:ascii="Times New Roman" w:hAnsi="Times New Roman" w:cs="Times New Roman"/>
          <w:b/>
          <w:spacing w:val="-8"/>
          <w:w w:val="105"/>
          <w:sz w:val="28"/>
          <w:szCs w:val="28"/>
        </w:rPr>
        <w:t xml:space="preserve"> </w:t>
      </w:r>
      <w:r w:rsidRPr="001B5A2B">
        <w:rPr>
          <w:rFonts w:ascii="Times New Roman" w:hAnsi="Times New Roman" w:cs="Times New Roman"/>
          <w:b/>
          <w:w w:val="105"/>
          <w:sz w:val="28"/>
          <w:szCs w:val="28"/>
        </w:rPr>
        <w:t>Similarly</w:t>
      </w:r>
      <w:r w:rsidRPr="001B5A2B">
        <w:rPr>
          <w:rFonts w:ascii="Times New Roman" w:hAnsi="Times New Roman" w:cs="Times New Roman"/>
          <w:b/>
          <w:spacing w:val="-13"/>
          <w:w w:val="105"/>
          <w:sz w:val="28"/>
          <w:szCs w:val="28"/>
        </w:rPr>
        <w:t xml:space="preserve"> </w:t>
      </w:r>
      <w:r w:rsidRPr="001B5A2B">
        <w:rPr>
          <w:rFonts w:ascii="Times New Roman" w:hAnsi="Times New Roman" w:cs="Times New Roman"/>
          <w:b/>
          <w:w w:val="105"/>
          <w:sz w:val="28"/>
          <w:szCs w:val="28"/>
        </w:rPr>
        <w:t>Situated</w:t>
      </w:r>
      <w:r w:rsidRPr="001B5A2B">
        <w:rPr>
          <w:rFonts w:ascii="Times New Roman" w:hAnsi="Times New Roman" w:cs="Times New Roman"/>
          <w:b/>
          <w:bCs/>
          <w:color w:val="000000"/>
          <w:sz w:val="28"/>
          <w:szCs w:val="28"/>
        </w:rPr>
        <w:t>,</w:t>
      </w:r>
    </w:p>
    <w:p w14:paraId="3B35D97D" w14:textId="77777777" w:rsidR="0001778E" w:rsidRPr="001B5A2B" w:rsidRDefault="0001778E" w:rsidP="0001778E">
      <w:pPr>
        <w:spacing w:after="0"/>
        <w:rPr>
          <w:rFonts w:ascii="Times New Roman" w:eastAsia="Times New Roman" w:hAnsi="Times New Roman" w:cs="Times New Roman"/>
          <w:b/>
          <w:sz w:val="28"/>
          <w:szCs w:val="28"/>
        </w:rPr>
      </w:pPr>
    </w:p>
    <w:p w14:paraId="1BE56947" w14:textId="77777777" w:rsidR="0001778E" w:rsidRPr="001B5A2B" w:rsidRDefault="0001778E" w:rsidP="0001778E">
      <w:pPr>
        <w:spacing w:after="0"/>
        <w:rPr>
          <w:rFonts w:ascii="Times New Roman" w:eastAsia="Times New Roman" w:hAnsi="Times New Roman" w:cs="Times New Roman"/>
          <w:b/>
          <w:sz w:val="28"/>
          <w:szCs w:val="28"/>
        </w:rPr>
      </w:pP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p>
    <w:p w14:paraId="4B048C9A" w14:textId="142A3082" w:rsidR="0001778E" w:rsidRPr="008C5BB8" w:rsidRDefault="001B5A2B" w:rsidP="0001778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Plaintiff,</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01778E" w:rsidRPr="008C5BB8">
        <w:rPr>
          <w:rFonts w:ascii="Times New Roman" w:eastAsia="Times New Roman" w:hAnsi="Times New Roman" w:cs="Times New Roman"/>
          <w:b/>
          <w:sz w:val="28"/>
          <w:szCs w:val="28"/>
        </w:rPr>
        <w:t xml:space="preserve">Case No. </w:t>
      </w:r>
      <w:r w:rsidR="00DD774B" w:rsidRPr="008C5BB8">
        <w:rPr>
          <w:rFonts w:ascii="Times New Roman" w:eastAsia="Times New Roman" w:hAnsi="Times New Roman" w:cs="Times New Roman"/>
          <w:b/>
          <w:sz w:val="28"/>
          <w:szCs w:val="28"/>
        </w:rPr>
        <w:t>18-cv-</w:t>
      </w:r>
      <w:r w:rsidR="00F41733">
        <w:rPr>
          <w:rFonts w:ascii="Times New Roman" w:eastAsia="Times New Roman" w:hAnsi="Times New Roman" w:cs="Times New Roman"/>
          <w:b/>
          <w:sz w:val="28"/>
          <w:szCs w:val="28"/>
        </w:rPr>
        <w:t xml:space="preserve"> </w:t>
      </w:r>
      <w:bookmarkStart w:id="0" w:name="_GoBack"/>
      <w:bookmarkEnd w:id="0"/>
      <w:r w:rsidR="00DD774B" w:rsidRPr="008C5BB8">
        <w:rPr>
          <w:rFonts w:ascii="Times New Roman" w:eastAsia="Times New Roman" w:hAnsi="Times New Roman" w:cs="Times New Roman"/>
          <w:b/>
          <w:sz w:val="28"/>
          <w:szCs w:val="28"/>
        </w:rPr>
        <w:t>-SFC-APP</w:t>
      </w:r>
    </w:p>
    <w:p w14:paraId="0892D88D" w14:textId="59B8F8A8" w:rsidR="0001778E" w:rsidRPr="001B5A2B" w:rsidRDefault="0001778E" w:rsidP="0001778E">
      <w:pPr>
        <w:spacing w:after="0"/>
        <w:rPr>
          <w:rFonts w:ascii="Times New Roman" w:eastAsia="Times New Roman" w:hAnsi="Times New Roman" w:cs="Times New Roman"/>
          <w:b/>
          <w:sz w:val="28"/>
          <w:szCs w:val="28"/>
        </w:rPr>
      </w:pP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p>
    <w:p w14:paraId="048A3C38" w14:textId="2AE0ECE3" w:rsidR="0001778E" w:rsidRPr="001B5A2B" w:rsidRDefault="0001778E" w:rsidP="0001778E">
      <w:pPr>
        <w:spacing w:after="0"/>
        <w:rPr>
          <w:rFonts w:ascii="Times New Roman" w:eastAsia="Times New Roman" w:hAnsi="Times New Roman" w:cs="Times New Roman"/>
          <w:b/>
          <w:sz w:val="28"/>
          <w:szCs w:val="28"/>
        </w:rPr>
      </w:pPr>
      <w:r w:rsidRPr="001B5A2B">
        <w:rPr>
          <w:rFonts w:ascii="Times New Roman" w:eastAsia="Times New Roman" w:hAnsi="Times New Roman" w:cs="Times New Roman"/>
          <w:b/>
          <w:sz w:val="28"/>
          <w:szCs w:val="28"/>
        </w:rPr>
        <w:t>v.</w:t>
      </w: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r w:rsidRPr="001B5A2B">
        <w:rPr>
          <w:rFonts w:ascii="Times New Roman" w:eastAsia="Times New Roman" w:hAnsi="Times New Roman" w:cs="Times New Roman"/>
          <w:b/>
          <w:sz w:val="28"/>
          <w:szCs w:val="28"/>
        </w:rPr>
        <w:tab/>
      </w:r>
    </w:p>
    <w:p w14:paraId="4634DD27" w14:textId="77777777" w:rsidR="0001778E" w:rsidRPr="001B5A2B" w:rsidRDefault="0001778E" w:rsidP="0001778E">
      <w:pPr>
        <w:spacing w:after="0"/>
        <w:rPr>
          <w:rFonts w:ascii="Times New Roman" w:eastAsia="Times New Roman" w:hAnsi="Times New Roman" w:cs="Times New Roman"/>
          <w:b/>
          <w:sz w:val="28"/>
          <w:szCs w:val="28"/>
        </w:rPr>
      </w:pPr>
    </w:p>
    <w:p w14:paraId="7514EC78" w14:textId="5CCEC291" w:rsidR="0001778E" w:rsidRPr="001B5A2B" w:rsidRDefault="00DD774B" w:rsidP="0001778E">
      <w:pPr>
        <w:spacing w:after="0"/>
        <w:rPr>
          <w:rFonts w:ascii="Times New Roman" w:eastAsia="Times New Roman" w:hAnsi="Times New Roman" w:cs="Times New Roman"/>
          <w:b/>
          <w:sz w:val="28"/>
          <w:szCs w:val="28"/>
        </w:rPr>
      </w:pPr>
      <w:r w:rsidRPr="001B5A2B">
        <w:rPr>
          <w:rFonts w:ascii="Times New Roman" w:eastAsia="Times New Roman" w:hAnsi="Times New Roman" w:cs="Times New Roman"/>
          <w:b/>
          <w:sz w:val="28"/>
          <w:szCs w:val="28"/>
        </w:rPr>
        <w:t>CAVALRY SPV I, LLC</w:t>
      </w:r>
    </w:p>
    <w:p w14:paraId="26BA86B6" w14:textId="5B3E43DB" w:rsidR="00DD774B" w:rsidRPr="001B5A2B" w:rsidRDefault="00DD774B" w:rsidP="0001778E">
      <w:pPr>
        <w:spacing w:after="0"/>
        <w:rPr>
          <w:rFonts w:ascii="Times New Roman" w:eastAsia="Times New Roman" w:hAnsi="Times New Roman" w:cs="Times New Roman"/>
          <w:b/>
          <w:sz w:val="28"/>
          <w:szCs w:val="28"/>
        </w:rPr>
      </w:pPr>
      <w:r w:rsidRPr="001B5A2B">
        <w:rPr>
          <w:rFonts w:ascii="Times New Roman" w:eastAsia="Times New Roman" w:hAnsi="Times New Roman" w:cs="Times New Roman"/>
          <w:b/>
          <w:sz w:val="28"/>
          <w:szCs w:val="28"/>
        </w:rPr>
        <w:t>CAVALRY PORTFOLIO SERVICES, LLC,</w:t>
      </w:r>
    </w:p>
    <w:p w14:paraId="541C61C8" w14:textId="7B794D5C" w:rsidR="0001778E" w:rsidRPr="001B5A2B" w:rsidRDefault="00DD774B" w:rsidP="0001778E">
      <w:pPr>
        <w:spacing w:after="0"/>
        <w:rPr>
          <w:rFonts w:ascii="Times New Roman" w:eastAsia="Times New Roman" w:hAnsi="Times New Roman" w:cs="Times New Roman"/>
          <w:b/>
          <w:sz w:val="28"/>
          <w:szCs w:val="28"/>
        </w:rPr>
      </w:pPr>
      <w:r w:rsidRPr="001B5A2B">
        <w:rPr>
          <w:rFonts w:ascii="Times New Roman" w:eastAsia="Times New Roman" w:hAnsi="Times New Roman" w:cs="Times New Roman"/>
          <w:b/>
          <w:sz w:val="28"/>
          <w:szCs w:val="28"/>
        </w:rPr>
        <w:t>ROOSEN, VARCHETTI &amp; OLIVIER PLLC,</w:t>
      </w:r>
    </w:p>
    <w:p w14:paraId="12344CF7" w14:textId="5E9BBF04" w:rsidR="00DD774B" w:rsidRPr="001B5A2B" w:rsidRDefault="00DD774B" w:rsidP="0001778E">
      <w:pPr>
        <w:spacing w:after="0"/>
        <w:rPr>
          <w:rFonts w:ascii="Times New Roman" w:eastAsia="Times New Roman" w:hAnsi="Times New Roman" w:cs="Times New Roman"/>
          <w:b/>
          <w:sz w:val="28"/>
          <w:szCs w:val="28"/>
        </w:rPr>
      </w:pPr>
      <w:r w:rsidRPr="001B5A2B">
        <w:rPr>
          <w:rFonts w:ascii="Times New Roman" w:eastAsia="Times New Roman" w:hAnsi="Times New Roman" w:cs="Times New Roman"/>
          <w:b/>
          <w:sz w:val="28"/>
          <w:szCs w:val="28"/>
        </w:rPr>
        <w:t>and RICHARD ROOSEN,</w:t>
      </w:r>
    </w:p>
    <w:p w14:paraId="7799B403" w14:textId="77777777" w:rsidR="00DD774B" w:rsidRPr="001B5A2B" w:rsidRDefault="00DD774B" w:rsidP="0001778E">
      <w:pPr>
        <w:spacing w:after="0"/>
        <w:rPr>
          <w:rFonts w:ascii="Times New Roman" w:eastAsia="Times New Roman" w:hAnsi="Times New Roman" w:cs="Times New Roman"/>
          <w:b/>
          <w:sz w:val="28"/>
          <w:szCs w:val="28"/>
        </w:rPr>
      </w:pPr>
    </w:p>
    <w:p w14:paraId="5FE02AD8" w14:textId="77777777" w:rsidR="0001778E" w:rsidRPr="001B5A2B" w:rsidRDefault="0001778E" w:rsidP="0001778E">
      <w:pPr>
        <w:pBdr>
          <w:bottom w:val="single" w:sz="12" w:space="1" w:color="auto"/>
        </w:pBdr>
        <w:spacing w:after="0"/>
        <w:rPr>
          <w:rFonts w:ascii="Times New Roman" w:eastAsia="Times New Roman" w:hAnsi="Times New Roman" w:cs="Times New Roman"/>
          <w:b/>
          <w:sz w:val="28"/>
          <w:szCs w:val="28"/>
        </w:rPr>
      </w:pPr>
      <w:r w:rsidRPr="001B5A2B">
        <w:rPr>
          <w:rFonts w:ascii="Times New Roman" w:eastAsia="Times New Roman" w:hAnsi="Times New Roman" w:cs="Times New Roman"/>
          <w:b/>
          <w:sz w:val="28"/>
          <w:szCs w:val="28"/>
        </w:rPr>
        <w:tab/>
        <w:t>Defendants.</w:t>
      </w:r>
    </w:p>
    <w:p w14:paraId="35D87D9B" w14:textId="77777777" w:rsidR="0001778E" w:rsidRPr="001B5A2B" w:rsidRDefault="0001778E" w:rsidP="0001778E">
      <w:pPr>
        <w:pBdr>
          <w:bottom w:val="single" w:sz="12" w:space="1" w:color="auto"/>
        </w:pBdr>
        <w:spacing w:after="0"/>
        <w:rPr>
          <w:rFonts w:ascii="Times New Roman" w:eastAsia="Times New Roman" w:hAnsi="Times New Roman" w:cs="Times New Roman"/>
          <w:sz w:val="28"/>
          <w:szCs w:val="28"/>
        </w:rPr>
      </w:pPr>
    </w:p>
    <w:p w14:paraId="4D5774AE" w14:textId="77777777" w:rsidR="0001778E" w:rsidRPr="001B5A2B" w:rsidRDefault="0001778E" w:rsidP="0001778E">
      <w:pPr>
        <w:spacing w:after="0"/>
        <w:rPr>
          <w:rFonts w:ascii="Times New Roman" w:hAnsi="Times New Roman" w:cs="Times New Roman"/>
          <w:sz w:val="28"/>
          <w:szCs w:val="28"/>
        </w:rPr>
      </w:pPr>
    </w:p>
    <w:p w14:paraId="17302011" w14:textId="66739761" w:rsidR="0001778E" w:rsidRDefault="0001778E" w:rsidP="00DD774B">
      <w:pPr>
        <w:spacing w:after="0"/>
        <w:jc w:val="center"/>
        <w:rPr>
          <w:rFonts w:ascii="Times New Roman" w:hAnsi="Times New Roman" w:cs="Times New Roman"/>
          <w:b/>
          <w:sz w:val="28"/>
          <w:szCs w:val="28"/>
          <w:u w:val="single"/>
        </w:rPr>
      </w:pPr>
      <w:r w:rsidRPr="001B5A2B">
        <w:rPr>
          <w:rFonts w:ascii="Times New Roman" w:hAnsi="Times New Roman" w:cs="Times New Roman"/>
          <w:b/>
          <w:sz w:val="28"/>
          <w:szCs w:val="28"/>
          <w:u w:val="single"/>
        </w:rPr>
        <w:t>PLAINTIFFS’ RESPONSE TO DEFENDANT</w:t>
      </w:r>
      <w:r w:rsidR="009F7216">
        <w:rPr>
          <w:rFonts w:ascii="Times New Roman" w:hAnsi="Times New Roman" w:cs="Times New Roman"/>
          <w:b/>
          <w:sz w:val="28"/>
          <w:szCs w:val="28"/>
          <w:u w:val="single"/>
        </w:rPr>
        <w:t xml:space="preserve"> RVO AND RICHARD ROOSEN</w:t>
      </w:r>
      <w:r w:rsidR="004B0518">
        <w:rPr>
          <w:rFonts w:ascii="Times New Roman" w:hAnsi="Times New Roman" w:cs="Times New Roman"/>
          <w:b/>
          <w:sz w:val="28"/>
          <w:szCs w:val="28"/>
          <w:u w:val="single"/>
        </w:rPr>
        <w:t>’</w:t>
      </w:r>
      <w:r w:rsidRPr="001B5A2B">
        <w:rPr>
          <w:rFonts w:ascii="Times New Roman" w:hAnsi="Times New Roman" w:cs="Times New Roman"/>
          <w:b/>
          <w:sz w:val="28"/>
          <w:szCs w:val="28"/>
          <w:u w:val="single"/>
        </w:rPr>
        <w:t xml:space="preserve">S MOTION </w:t>
      </w:r>
      <w:r w:rsidR="00DD774B" w:rsidRPr="001B5A2B">
        <w:rPr>
          <w:rFonts w:ascii="Times New Roman" w:hAnsi="Times New Roman" w:cs="Times New Roman"/>
          <w:b/>
          <w:sz w:val="28"/>
          <w:szCs w:val="28"/>
          <w:u w:val="single"/>
        </w:rPr>
        <w:t>FOR JUDGMENT ON THE PLEADINGS</w:t>
      </w:r>
    </w:p>
    <w:p w14:paraId="28EF5B64" w14:textId="77777777" w:rsidR="006A0398" w:rsidRDefault="006A0398" w:rsidP="00DD774B">
      <w:pPr>
        <w:spacing w:after="0"/>
        <w:jc w:val="center"/>
        <w:rPr>
          <w:rFonts w:ascii="Times New Roman" w:hAnsi="Times New Roman" w:cs="Times New Roman"/>
          <w:b/>
          <w:sz w:val="28"/>
          <w:szCs w:val="28"/>
          <w:u w:val="single"/>
        </w:rPr>
      </w:pPr>
    </w:p>
    <w:p w14:paraId="53DB0242" w14:textId="51B0D6F9" w:rsidR="006A0398" w:rsidRPr="006A0398" w:rsidRDefault="006A0398" w:rsidP="006A0398">
      <w:pPr>
        <w:spacing w:after="0" w:line="240" w:lineRule="auto"/>
        <w:rPr>
          <w:rFonts w:ascii="Times New Roman" w:eastAsia="Calibri" w:hAnsi="Times New Roman" w:cs="Times New Roman"/>
          <w:i/>
          <w:sz w:val="28"/>
          <w:szCs w:val="28"/>
        </w:rPr>
      </w:pPr>
      <w:r w:rsidRPr="006A0398">
        <w:rPr>
          <w:rFonts w:ascii="Times New Roman" w:eastAsia="Calibri" w:hAnsi="Times New Roman" w:cs="Times New Roman"/>
          <w:i/>
          <w:sz w:val="28"/>
          <w:szCs w:val="28"/>
        </w:rPr>
        <w:t xml:space="preserve">“The </w:t>
      </w:r>
      <w:r w:rsidR="00DB101C">
        <w:rPr>
          <w:rFonts w:ascii="Times New Roman" w:eastAsia="Calibri" w:hAnsi="Times New Roman" w:cs="Times New Roman"/>
          <w:i/>
          <w:sz w:val="28"/>
          <w:szCs w:val="28"/>
        </w:rPr>
        <w:t xml:space="preserve">Defendants </w:t>
      </w:r>
      <w:r w:rsidR="00DB101C" w:rsidRPr="00DB101C">
        <w:rPr>
          <w:rFonts w:ascii="Times New Roman" w:eastAsia="Calibri" w:hAnsi="Times New Roman" w:cs="Times New Roman"/>
          <w:i/>
          <w:sz w:val="28"/>
          <w:szCs w:val="28"/>
          <w:u w:val="single"/>
        </w:rPr>
        <w:t>Misrepresented the Amount owed</w:t>
      </w:r>
      <w:r w:rsidR="00DB101C">
        <w:rPr>
          <w:rFonts w:ascii="Times New Roman" w:eastAsia="Calibri" w:hAnsi="Times New Roman" w:cs="Times New Roman"/>
          <w:i/>
          <w:sz w:val="28"/>
          <w:szCs w:val="28"/>
        </w:rPr>
        <w:t xml:space="preserve"> on the debt…the amounts alleged to be owed in the State Collection Lawsuits against Michigan residents are </w:t>
      </w:r>
      <w:r w:rsidR="00DB101C" w:rsidRPr="00DB101C">
        <w:rPr>
          <w:rFonts w:ascii="Times New Roman" w:eastAsia="Calibri" w:hAnsi="Times New Roman" w:cs="Times New Roman"/>
          <w:i/>
          <w:sz w:val="28"/>
          <w:szCs w:val="28"/>
          <w:u w:val="single"/>
        </w:rPr>
        <w:t>not authorized by any agreement</w:t>
      </w:r>
      <w:r w:rsidRPr="006A0398">
        <w:rPr>
          <w:rFonts w:ascii="Times New Roman" w:eastAsia="Calibri" w:hAnsi="Times New Roman" w:cs="Times New Roman"/>
          <w:i/>
          <w:sz w:val="28"/>
          <w:szCs w:val="28"/>
        </w:rPr>
        <w:t>”</w:t>
      </w:r>
    </w:p>
    <w:p w14:paraId="13F28E73" w14:textId="77777777" w:rsidR="006A0398" w:rsidRPr="006A0398" w:rsidRDefault="006A0398" w:rsidP="006A0398">
      <w:pPr>
        <w:spacing w:after="0" w:line="240" w:lineRule="auto"/>
        <w:rPr>
          <w:rFonts w:ascii="Times New Roman" w:eastAsia="Calibri" w:hAnsi="Times New Roman" w:cs="Times New Roman"/>
          <w:i/>
          <w:sz w:val="28"/>
          <w:szCs w:val="28"/>
        </w:rPr>
      </w:pPr>
    </w:p>
    <w:p w14:paraId="5B4F8301" w14:textId="77777777" w:rsidR="006A0398" w:rsidRPr="006A0398" w:rsidRDefault="006A0398" w:rsidP="006A0398">
      <w:pPr>
        <w:spacing w:after="0" w:line="240" w:lineRule="auto"/>
        <w:jc w:val="right"/>
        <w:rPr>
          <w:rFonts w:ascii="Times New Roman" w:eastAsia="Calibri" w:hAnsi="Times New Roman" w:cs="Times New Roman"/>
          <w:sz w:val="28"/>
          <w:szCs w:val="28"/>
        </w:rPr>
      </w:pPr>
      <w:r w:rsidRPr="006A0398">
        <w:rPr>
          <w:rFonts w:ascii="Times New Roman" w:eastAsia="Calibri" w:hAnsi="Times New Roman" w:cs="Times New Roman"/>
          <w:i/>
          <w:sz w:val="28"/>
          <w:szCs w:val="28"/>
        </w:rPr>
        <w:t xml:space="preserve">- </w:t>
      </w:r>
      <w:r w:rsidRPr="006A0398">
        <w:rPr>
          <w:rFonts w:ascii="Times New Roman" w:eastAsia="Calibri" w:hAnsi="Times New Roman" w:cs="Times New Roman"/>
          <w:b/>
          <w:i/>
          <w:sz w:val="28"/>
          <w:szCs w:val="28"/>
        </w:rPr>
        <w:t>Paragraph #2 of the Plaintiffs’ originating complaint</w:t>
      </w:r>
    </w:p>
    <w:p w14:paraId="1461A42B" w14:textId="77777777" w:rsidR="006A0398" w:rsidRPr="006A0398" w:rsidRDefault="006A0398" w:rsidP="006A0398">
      <w:pPr>
        <w:spacing w:after="0" w:line="240" w:lineRule="auto"/>
        <w:rPr>
          <w:rFonts w:ascii="Times New Roman" w:eastAsia="Calibri" w:hAnsi="Times New Roman" w:cs="Times New Roman"/>
          <w:i/>
          <w:sz w:val="28"/>
          <w:szCs w:val="28"/>
        </w:rPr>
      </w:pPr>
    </w:p>
    <w:p w14:paraId="00E3C131" w14:textId="77777777" w:rsidR="006A0398" w:rsidRPr="006A0398" w:rsidRDefault="006A0398" w:rsidP="006A0398">
      <w:pPr>
        <w:spacing w:after="0" w:line="240" w:lineRule="auto"/>
        <w:rPr>
          <w:rFonts w:ascii="Times New Roman" w:eastAsia="Calibri" w:hAnsi="Times New Roman" w:cs="Times New Roman"/>
          <w:i/>
          <w:sz w:val="28"/>
          <w:szCs w:val="28"/>
        </w:rPr>
      </w:pPr>
    </w:p>
    <w:p w14:paraId="3C7737CA" w14:textId="2B8C3C8D" w:rsidR="006A0398" w:rsidRPr="006A0398" w:rsidRDefault="006A0398" w:rsidP="006A0398">
      <w:pPr>
        <w:spacing w:after="0" w:line="240" w:lineRule="auto"/>
        <w:rPr>
          <w:rFonts w:ascii="Times New Roman" w:eastAsia="Calibri" w:hAnsi="Times New Roman" w:cs="Times New Roman"/>
          <w:i/>
          <w:sz w:val="28"/>
          <w:szCs w:val="28"/>
        </w:rPr>
      </w:pPr>
      <w:r w:rsidRPr="006A0398">
        <w:rPr>
          <w:rFonts w:ascii="Times New Roman" w:eastAsia="Calibri" w:hAnsi="Times New Roman" w:cs="Times New Roman"/>
          <w:i/>
          <w:sz w:val="28"/>
          <w:szCs w:val="28"/>
        </w:rPr>
        <w:t>“</w:t>
      </w:r>
      <w:r w:rsidR="007A4122">
        <w:rPr>
          <w:rFonts w:ascii="Times New Roman" w:eastAsia="Calibri" w:hAnsi="Times New Roman" w:cs="Times New Roman"/>
          <w:i/>
          <w:sz w:val="28"/>
          <w:szCs w:val="28"/>
        </w:rPr>
        <w:t>…but t</w:t>
      </w:r>
      <w:r w:rsidR="00423F1D">
        <w:rPr>
          <w:rFonts w:ascii="Times New Roman" w:eastAsia="Calibri" w:hAnsi="Times New Roman" w:cs="Times New Roman"/>
          <w:i/>
          <w:sz w:val="28"/>
          <w:szCs w:val="28"/>
        </w:rPr>
        <w:t xml:space="preserve">here are no allegations that </w:t>
      </w:r>
      <w:r w:rsidR="00DB101C">
        <w:rPr>
          <w:rFonts w:ascii="Times New Roman" w:eastAsia="Calibri" w:hAnsi="Times New Roman" w:cs="Times New Roman"/>
          <w:i/>
          <w:sz w:val="28"/>
          <w:szCs w:val="28"/>
        </w:rPr>
        <w:t>the amount sued upon in the specific collection cases was false</w:t>
      </w:r>
      <w:r w:rsidRPr="006A0398">
        <w:rPr>
          <w:rFonts w:ascii="Times New Roman" w:eastAsia="Calibri" w:hAnsi="Times New Roman" w:cs="Times New Roman"/>
          <w:i/>
          <w:sz w:val="28"/>
          <w:szCs w:val="28"/>
        </w:rPr>
        <w:t>”</w:t>
      </w:r>
    </w:p>
    <w:p w14:paraId="44A402B2" w14:textId="77777777" w:rsidR="006A0398" w:rsidRPr="006A0398" w:rsidRDefault="006A0398" w:rsidP="006A0398">
      <w:pPr>
        <w:spacing w:after="0" w:line="240" w:lineRule="auto"/>
        <w:rPr>
          <w:rFonts w:ascii="Times New Roman" w:eastAsia="Calibri" w:hAnsi="Times New Roman" w:cs="Times New Roman"/>
          <w:i/>
          <w:sz w:val="28"/>
          <w:szCs w:val="28"/>
        </w:rPr>
      </w:pPr>
    </w:p>
    <w:p w14:paraId="63084273" w14:textId="5063AD48" w:rsidR="006A0398" w:rsidRPr="006A0398" w:rsidRDefault="006A0398" w:rsidP="006A0398">
      <w:pPr>
        <w:spacing w:after="0" w:line="240" w:lineRule="auto"/>
        <w:jc w:val="right"/>
        <w:rPr>
          <w:rFonts w:ascii="Times New Roman" w:eastAsia="Calibri" w:hAnsi="Times New Roman" w:cs="Times New Roman"/>
          <w:b/>
          <w:i/>
          <w:sz w:val="28"/>
          <w:szCs w:val="28"/>
        </w:rPr>
      </w:pPr>
      <w:r w:rsidRPr="006A0398">
        <w:rPr>
          <w:rFonts w:ascii="Times New Roman" w:eastAsia="Calibri" w:hAnsi="Times New Roman" w:cs="Times New Roman"/>
          <w:b/>
          <w:i/>
          <w:sz w:val="28"/>
          <w:szCs w:val="28"/>
        </w:rPr>
        <w:t xml:space="preserve">- </w:t>
      </w:r>
      <w:r w:rsidR="00CA4EC0">
        <w:rPr>
          <w:rFonts w:ascii="Times New Roman" w:eastAsia="Calibri" w:hAnsi="Times New Roman" w:cs="Times New Roman"/>
          <w:b/>
          <w:i/>
          <w:sz w:val="28"/>
          <w:szCs w:val="28"/>
        </w:rPr>
        <w:t xml:space="preserve">top of </w:t>
      </w:r>
      <w:r w:rsidRPr="006A0398">
        <w:rPr>
          <w:rFonts w:ascii="Times New Roman" w:eastAsia="Calibri" w:hAnsi="Times New Roman" w:cs="Times New Roman"/>
          <w:b/>
          <w:i/>
          <w:sz w:val="28"/>
          <w:szCs w:val="28"/>
        </w:rPr>
        <w:t xml:space="preserve">p. </w:t>
      </w:r>
      <w:r w:rsidR="007A4122">
        <w:rPr>
          <w:rFonts w:ascii="Times New Roman" w:eastAsia="Calibri" w:hAnsi="Times New Roman" w:cs="Times New Roman"/>
          <w:b/>
          <w:i/>
          <w:sz w:val="28"/>
          <w:szCs w:val="28"/>
        </w:rPr>
        <w:t>6</w:t>
      </w:r>
      <w:r w:rsidR="00DB101C">
        <w:rPr>
          <w:rFonts w:ascii="Times New Roman" w:eastAsia="Calibri" w:hAnsi="Times New Roman" w:cs="Times New Roman"/>
          <w:b/>
          <w:i/>
          <w:sz w:val="28"/>
          <w:szCs w:val="28"/>
        </w:rPr>
        <w:t xml:space="preserve"> </w:t>
      </w:r>
      <w:r w:rsidRPr="006A0398">
        <w:rPr>
          <w:rFonts w:ascii="Times New Roman" w:eastAsia="Calibri" w:hAnsi="Times New Roman" w:cs="Times New Roman"/>
          <w:b/>
          <w:i/>
          <w:sz w:val="28"/>
          <w:szCs w:val="28"/>
        </w:rPr>
        <w:t>of Defendants’ Motion for Judgment</w:t>
      </w:r>
    </w:p>
    <w:p w14:paraId="0DC932DC" w14:textId="7268CBFB" w:rsidR="00A31083" w:rsidRDefault="006F5D19" w:rsidP="00A31083">
      <w:pPr>
        <w:spacing w:after="0" w:line="48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b/>
        <w:t>NOW COME</w:t>
      </w:r>
      <w:r w:rsidR="00A31083">
        <w:rPr>
          <w:rFonts w:ascii="Times New Roman" w:eastAsia="Calibri" w:hAnsi="Times New Roman" w:cs="Times New Roman"/>
          <w:color w:val="000000"/>
          <w:sz w:val="28"/>
          <w:szCs w:val="28"/>
        </w:rPr>
        <w:t xml:space="preserve"> the Plaintiffs, by and through counsel, and for their </w:t>
      </w:r>
      <w:r>
        <w:rPr>
          <w:rFonts w:ascii="Times New Roman" w:eastAsia="Calibri" w:hAnsi="Times New Roman" w:cs="Times New Roman"/>
          <w:color w:val="000000"/>
          <w:sz w:val="28"/>
          <w:szCs w:val="28"/>
        </w:rPr>
        <w:t>Response</w:t>
      </w:r>
      <w:r w:rsidR="00A31083">
        <w:rPr>
          <w:rFonts w:ascii="Times New Roman" w:eastAsia="Calibri" w:hAnsi="Times New Roman" w:cs="Times New Roman"/>
          <w:color w:val="000000"/>
          <w:sz w:val="28"/>
          <w:szCs w:val="28"/>
        </w:rPr>
        <w:t xml:space="preserve"> to the Defendants’ Rule 12(c) Motion for Judgment on the Pleadings and Brief in Support state as follows:</w:t>
      </w:r>
      <w:r w:rsidR="00A31083">
        <w:rPr>
          <w:rFonts w:ascii="Times New Roman" w:eastAsia="Calibri" w:hAnsi="Times New Roman" w:cs="Times New Roman"/>
          <w:color w:val="000000"/>
          <w:sz w:val="28"/>
          <w:szCs w:val="28"/>
        </w:rPr>
        <w:tab/>
      </w:r>
    </w:p>
    <w:p w14:paraId="7314BC70" w14:textId="064E0555" w:rsidR="00C61AB5" w:rsidRPr="00773078" w:rsidRDefault="00A31083" w:rsidP="00773078">
      <w:pPr>
        <w:pStyle w:val="ListParagraph"/>
        <w:numPr>
          <w:ilvl w:val="0"/>
          <w:numId w:val="23"/>
        </w:numPr>
        <w:spacing w:after="0" w:line="240" w:lineRule="auto"/>
        <w:rPr>
          <w:rFonts w:ascii="Times New Roman" w:eastAsia="Calibri" w:hAnsi="Times New Roman" w:cs="Times New Roman"/>
          <w:color w:val="000000"/>
          <w:sz w:val="28"/>
          <w:szCs w:val="28"/>
        </w:rPr>
      </w:pPr>
      <w:r w:rsidRPr="00773078">
        <w:rPr>
          <w:rFonts w:ascii="Times New Roman" w:eastAsia="Calibri" w:hAnsi="Times New Roman" w:cs="Times New Roman"/>
          <w:color w:val="000000"/>
          <w:sz w:val="28"/>
          <w:szCs w:val="28"/>
        </w:rPr>
        <w:t xml:space="preserve">The Plaintiffs affirm that the RVO Defendants filed suits </w:t>
      </w:r>
      <w:r w:rsidR="0019272F" w:rsidRPr="00773078">
        <w:rPr>
          <w:rFonts w:ascii="Times New Roman" w:eastAsia="Calibri" w:hAnsi="Times New Roman" w:cs="Times New Roman"/>
          <w:color w:val="000000"/>
          <w:sz w:val="28"/>
          <w:szCs w:val="28"/>
        </w:rPr>
        <w:t>wit</w:t>
      </w:r>
      <w:r w:rsidR="00D527E0" w:rsidRPr="00773078">
        <w:rPr>
          <w:rFonts w:ascii="Times New Roman" w:eastAsia="Calibri" w:hAnsi="Times New Roman" w:cs="Times New Roman"/>
          <w:color w:val="000000"/>
          <w:sz w:val="28"/>
          <w:szCs w:val="28"/>
        </w:rPr>
        <w:t>h</w:t>
      </w:r>
      <w:r w:rsidRPr="00773078">
        <w:rPr>
          <w:rFonts w:ascii="Times New Roman" w:eastAsia="Calibri" w:hAnsi="Times New Roman" w:cs="Times New Roman"/>
          <w:color w:val="000000"/>
          <w:sz w:val="28"/>
          <w:szCs w:val="28"/>
        </w:rPr>
        <w:t xml:space="preserve">in Michigan State courts on behalf of Cavalry SPV I, LLC </w:t>
      </w:r>
      <w:r w:rsidR="00C949EC" w:rsidRPr="00773078">
        <w:rPr>
          <w:rFonts w:ascii="Times New Roman" w:eastAsia="Calibri" w:hAnsi="Times New Roman" w:cs="Times New Roman"/>
          <w:color w:val="000000"/>
          <w:sz w:val="28"/>
          <w:szCs w:val="28"/>
        </w:rPr>
        <w:t>(but not in the</w:t>
      </w:r>
      <w:r w:rsidR="00CF37AE" w:rsidRPr="00773078">
        <w:rPr>
          <w:rFonts w:ascii="Times New Roman" w:eastAsia="Calibri" w:hAnsi="Times New Roman" w:cs="Times New Roman"/>
          <w:color w:val="000000"/>
          <w:sz w:val="28"/>
          <w:szCs w:val="28"/>
        </w:rPr>
        <w:t xml:space="preserve"> attorney</w:t>
      </w:r>
      <w:r w:rsidR="00D527E0" w:rsidRPr="00773078">
        <w:rPr>
          <w:rFonts w:ascii="Times New Roman" w:eastAsia="Calibri" w:hAnsi="Times New Roman" w:cs="Times New Roman"/>
          <w:color w:val="000000"/>
          <w:sz w:val="28"/>
          <w:szCs w:val="28"/>
        </w:rPr>
        <w:t>s</w:t>
      </w:r>
      <w:r w:rsidR="00CF37AE" w:rsidRPr="00773078">
        <w:rPr>
          <w:rFonts w:ascii="Times New Roman" w:eastAsia="Calibri" w:hAnsi="Times New Roman" w:cs="Times New Roman"/>
          <w:color w:val="000000"/>
          <w:sz w:val="28"/>
          <w:szCs w:val="28"/>
        </w:rPr>
        <w:t>’ own name</w:t>
      </w:r>
      <w:r w:rsidR="0019272F" w:rsidRPr="00773078">
        <w:rPr>
          <w:rFonts w:ascii="Times New Roman" w:eastAsia="Calibri" w:hAnsi="Times New Roman" w:cs="Times New Roman"/>
          <w:color w:val="000000"/>
          <w:sz w:val="28"/>
          <w:szCs w:val="28"/>
        </w:rPr>
        <w:t xml:space="preserve">) </w:t>
      </w:r>
      <w:proofErr w:type="gramStart"/>
      <w:r w:rsidR="00D527E0" w:rsidRPr="00773078">
        <w:rPr>
          <w:rFonts w:ascii="Times New Roman" w:eastAsia="Calibri" w:hAnsi="Times New Roman" w:cs="Times New Roman"/>
          <w:color w:val="000000"/>
          <w:sz w:val="28"/>
          <w:szCs w:val="28"/>
        </w:rPr>
        <w:t>i</w:t>
      </w:r>
      <w:r w:rsidRPr="00773078">
        <w:rPr>
          <w:rFonts w:ascii="Times New Roman" w:eastAsia="Calibri" w:hAnsi="Times New Roman" w:cs="Times New Roman"/>
          <w:color w:val="000000"/>
          <w:sz w:val="28"/>
          <w:szCs w:val="28"/>
        </w:rPr>
        <w:t>n an effort to</w:t>
      </w:r>
      <w:proofErr w:type="gramEnd"/>
      <w:r w:rsidRPr="00773078">
        <w:rPr>
          <w:rFonts w:ascii="Times New Roman" w:eastAsia="Calibri" w:hAnsi="Times New Roman" w:cs="Times New Roman"/>
          <w:color w:val="000000"/>
          <w:sz w:val="28"/>
          <w:szCs w:val="28"/>
        </w:rPr>
        <w:t xml:space="preserve"> collect</w:t>
      </w:r>
      <w:r w:rsidR="0019272F" w:rsidRPr="00773078">
        <w:rPr>
          <w:rFonts w:ascii="Times New Roman" w:eastAsia="Calibri" w:hAnsi="Times New Roman" w:cs="Times New Roman"/>
          <w:color w:val="000000"/>
          <w:sz w:val="28"/>
          <w:szCs w:val="28"/>
        </w:rPr>
        <w:t xml:space="preserve"> </w:t>
      </w:r>
      <w:r w:rsidR="0012565E">
        <w:rPr>
          <w:rFonts w:ascii="Times New Roman" w:eastAsia="Calibri" w:hAnsi="Times New Roman" w:cs="Times New Roman"/>
          <w:color w:val="000000"/>
          <w:sz w:val="28"/>
          <w:szCs w:val="28"/>
        </w:rPr>
        <w:t xml:space="preserve">the </w:t>
      </w:r>
      <w:r w:rsidRPr="00773078">
        <w:rPr>
          <w:rFonts w:ascii="Times New Roman" w:eastAsia="Calibri" w:hAnsi="Times New Roman" w:cs="Times New Roman"/>
          <w:color w:val="000000"/>
          <w:sz w:val="28"/>
          <w:szCs w:val="28"/>
        </w:rPr>
        <w:t>debt, but otherwise deny that any debts were due and owing between the Plaintiffs and Cavalry.</w:t>
      </w:r>
    </w:p>
    <w:p w14:paraId="48A2899E" w14:textId="0676592A" w:rsidR="00334702" w:rsidRDefault="00334702" w:rsidP="00773078">
      <w:pPr>
        <w:spacing w:after="0" w:line="240" w:lineRule="auto"/>
        <w:ind w:left="720" w:hanging="36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ab/>
      </w:r>
      <w:r w:rsidR="00313305">
        <w:rPr>
          <w:rFonts w:ascii="Times New Roman" w:eastAsia="Calibri" w:hAnsi="Times New Roman" w:cs="Times New Roman"/>
          <w:color w:val="000000"/>
          <w:sz w:val="28"/>
          <w:szCs w:val="28"/>
        </w:rPr>
        <w:t>The Plaintiffs deny the allegation within this averment to the extent that their argument is not that the Defendants initiated suit while lacking admissible, dispositive evidence that Cavalry owned the debts at issue, but rather that Cava</w:t>
      </w:r>
      <w:r w:rsidR="004A44C9">
        <w:rPr>
          <w:rFonts w:ascii="Times New Roman" w:eastAsia="Calibri" w:hAnsi="Times New Roman" w:cs="Times New Roman"/>
          <w:color w:val="000000"/>
          <w:sz w:val="28"/>
          <w:szCs w:val="28"/>
        </w:rPr>
        <w:t>lry</w:t>
      </w:r>
      <w:r w:rsidR="00313305">
        <w:rPr>
          <w:rFonts w:ascii="Times New Roman" w:eastAsia="Calibri" w:hAnsi="Times New Roman" w:cs="Times New Roman"/>
          <w:color w:val="000000"/>
          <w:sz w:val="28"/>
          <w:szCs w:val="28"/>
        </w:rPr>
        <w:t xml:space="preserve"> simply was never legally assigned those debts and had no legal right to pursue collection of </w:t>
      </w:r>
      <w:r w:rsidR="00093089">
        <w:rPr>
          <w:rFonts w:ascii="Times New Roman" w:eastAsia="Calibri" w:hAnsi="Times New Roman" w:cs="Times New Roman"/>
          <w:color w:val="000000"/>
          <w:sz w:val="28"/>
          <w:szCs w:val="28"/>
        </w:rPr>
        <w:t>Plaintiffs</w:t>
      </w:r>
      <w:r w:rsidR="00313305">
        <w:rPr>
          <w:rFonts w:ascii="Times New Roman" w:eastAsia="Calibri" w:hAnsi="Times New Roman" w:cs="Times New Roman"/>
          <w:color w:val="000000"/>
          <w:sz w:val="28"/>
          <w:szCs w:val="28"/>
        </w:rPr>
        <w:t>.  The lack of documentation is a natural corollary to this argument- not the argument itself.</w:t>
      </w:r>
    </w:p>
    <w:p w14:paraId="6E03E48F" w14:textId="3F87E4F3" w:rsidR="00313305" w:rsidRDefault="00313305" w:rsidP="00773078">
      <w:pPr>
        <w:spacing w:after="0" w:line="240" w:lineRule="auto"/>
        <w:ind w:firstLine="36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Pr>
          <w:rFonts w:ascii="Times New Roman" w:eastAsia="Calibri" w:hAnsi="Times New Roman" w:cs="Times New Roman"/>
          <w:color w:val="000000"/>
          <w:sz w:val="28"/>
          <w:szCs w:val="28"/>
        </w:rPr>
        <w:tab/>
        <w:t xml:space="preserve">The Plaintiffs affirm that the Defendants have violated various sections of </w:t>
      </w:r>
      <w:r>
        <w:rPr>
          <w:rFonts w:ascii="Times New Roman" w:eastAsia="Calibri" w:hAnsi="Times New Roman" w:cs="Times New Roman"/>
          <w:color w:val="000000"/>
          <w:sz w:val="28"/>
          <w:szCs w:val="28"/>
        </w:rPr>
        <w:tab/>
        <w:t xml:space="preserve">the Fair Debt Collection Practices Act and related Michigan statutes as set </w:t>
      </w:r>
      <w:r>
        <w:rPr>
          <w:rFonts w:ascii="Times New Roman" w:eastAsia="Calibri" w:hAnsi="Times New Roman" w:cs="Times New Roman"/>
          <w:color w:val="000000"/>
          <w:sz w:val="28"/>
          <w:szCs w:val="28"/>
        </w:rPr>
        <w:tab/>
        <w:t>forth in more substantive detail in their originating complaint in this matter.</w:t>
      </w:r>
    </w:p>
    <w:p w14:paraId="5B670BD4" w14:textId="78690B50" w:rsidR="00313305" w:rsidRDefault="00313305" w:rsidP="00773078">
      <w:pPr>
        <w:spacing w:after="0" w:line="240" w:lineRule="auto"/>
        <w:ind w:firstLine="36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Pr>
          <w:rFonts w:ascii="Times New Roman" w:eastAsia="Calibri" w:hAnsi="Times New Roman" w:cs="Times New Roman"/>
          <w:color w:val="000000"/>
          <w:sz w:val="28"/>
          <w:szCs w:val="28"/>
        </w:rPr>
        <w:tab/>
        <w:t xml:space="preserve">The Plaintiffs deny the allegation within this averment for the reasons to be </w:t>
      </w:r>
      <w:r>
        <w:rPr>
          <w:rFonts w:ascii="Times New Roman" w:eastAsia="Calibri" w:hAnsi="Times New Roman" w:cs="Times New Roman"/>
          <w:color w:val="000000"/>
          <w:sz w:val="28"/>
          <w:szCs w:val="28"/>
        </w:rPr>
        <w:tab/>
        <w:t>set forth in more comprehensive detail below, but to summarize in brief</w:t>
      </w:r>
      <w:r w:rsidRPr="00313305">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rPr>
        <w:tab/>
      </w:r>
      <w:r w:rsidRPr="00313305">
        <w:rPr>
          <w:rFonts w:ascii="Times New Roman" w:eastAsia="Calibri" w:hAnsi="Times New Roman" w:cs="Times New Roman"/>
          <w:i/>
          <w:color w:val="000000"/>
          <w:sz w:val="28"/>
          <w:szCs w:val="28"/>
        </w:rPr>
        <w:t>Harvey</w:t>
      </w:r>
      <w:r>
        <w:rPr>
          <w:rFonts w:ascii="Times New Roman" w:eastAsia="Calibri" w:hAnsi="Times New Roman" w:cs="Times New Roman"/>
          <w:color w:val="000000"/>
          <w:sz w:val="28"/>
          <w:szCs w:val="28"/>
        </w:rPr>
        <w:t xml:space="preserve"> has little if any applicability to the present case as the Plaintiffs’ </w:t>
      </w:r>
      <w:r>
        <w:rPr>
          <w:rFonts w:ascii="Times New Roman" w:eastAsia="Calibri" w:hAnsi="Times New Roman" w:cs="Times New Roman"/>
          <w:color w:val="000000"/>
          <w:sz w:val="28"/>
          <w:szCs w:val="28"/>
        </w:rPr>
        <w:tab/>
        <w:t xml:space="preserve">claims extend far beyond the mere filing of a complaint (the sole issue upon </w:t>
      </w:r>
      <w:r>
        <w:rPr>
          <w:rFonts w:ascii="Times New Roman" w:eastAsia="Calibri" w:hAnsi="Times New Roman" w:cs="Times New Roman"/>
          <w:color w:val="000000"/>
          <w:sz w:val="28"/>
          <w:szCs w:val="28"/>
        </w:rPr>
        <w:tab/>
        <w:t xml:space="preserve">which </w:t>
      </w:r>
      <w:r w:rsidRPr="00313305">
        <w:rPr>
          <w:rFonts w:ascii="Times New Roman" w:eastAsia="Calibri" w:hAnsi="Times New Roman" w:cs="Times New Roman"/>
          <w:i/>
          <w:color w:val="000000"/>
          <w:sz w:val="28"/>
          <w:szCs w:val="28"/>
        </w:rPr>
        <w:t>Harvey</w:t>
      </w:r>
      <w:r>
        <w:rPr>
          <w:rFonts w:ascii="Times New Roman" w:eastAsia="Calibri" w:hAnsi="Times New Roman" w:cs="Times New Roman"/>
          <w:color w:val="000000"/>
          <w:sz w:val="28"/>
          <w:szCs w:val="28"/>
        </w:rPr>
        <w:t xml:space="preserve"> was based).</w:t>
      </w:r>
    </w:p>
    <w:p w14:paraId="70E3E170" w14:textId="14CEE3AC" w:rsidR="00313305" w:rsidRDefault="00313305" w:rsidP="00773078">
      <w:pPr>
        <w:spacing w:after="0" w:line="240" w:lineRule="auto"/>
        <w:ind w:firstLine="36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Pr>
          <w:rFonts w:ascii="Times New Roman" w:eastAsia="Calibri" w:hAnsi="Times New Roman" w:cs="Times New Roman"/>
          <w:color w:val="000000"/>
          <w:sz w:val="28"/>
          <w:szCs w:val="28"/>
        </w:rPr>
        <w:tab/>
        <w:t xml:space="preserve">The Plaintiffs deny the allegation within this averment for both the foregoing </w:t>
      </w:r>
      <w:r>
        <w:rPr>
          <w:rFonts w:ascii="Times New Roman" w:eastAsia="Calibri" w:hAnsi="Times New Roman" w:cs="Times New Roman"/>
          <w:color w:val="000000"/>
          <w:sz w:val="28"/>
          <w:szCs w:val="28"/>
        </w:rPr>
        <w:tab/>
        <w:t>reasons as well as those set forth below.</w:t>
      </w:r>
    </w:p>
    <w:p w14:paraId="15536A2D" w14:textId="62871761" w:rsidR="00313305" w:rsidRDefault="00313305" w:rsidP="00773078">
      <w:pPr>
        <w:spacing w:after="0" w:line="240" w:lineRule="auto"/>
        <w:ind w:firstLine="36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Pr>
          <w:rFonts w:ascii="Times New Roman" w:eastAsia="Calibri" w:hAnsi="Times New Roman" w:cs="Times New Roman"/>
          <w:color w:val="000000"/>
          <w:sz w:val="28"/>
          <w:szCs w:val="28"/>
        </w:rPr>
        <w:tab/>
        <w:t xml:space="preserve">The Plaintiffs deny the allegation within this averment for both the foregoing </w:t>
      </w:r>
      <w:r>
        <w:rPr>
          <w:rFonts w:ascii="Times New Roman" w:eastAsia="Calibri" w:hAnsi="Times New Roman" w:cs="Times New Roman"/>
          <w:color w:val="000000"/>
          <w:sz w:val="28"/>
          <w:szCs w:val="28"/>
        </w:rPr>
        <w:tab/>
        <w:t>reasons as well as those set forth below.</w:t>
      </w:r>
    </w:p>
    <w:p w14:paraId="7398C677" w14:textId="5F94AD19" w:rsidR="00313305" w:rsidRDefault="00313305" w:rsidP="00773078">
      <w:pPr>
        <w:spacing w:after="0" w:line="240" w:lineRule="auto"/>
        <w:ind w:firstLine="36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Pr>
          <w:rFonts w:ascii="Times New Roman" w:eastAsia="Calibri" w:hAnsi="Times New Roman" w:cs="Times New Roman"/>
          <w:color w:val="000000"/>
          <w:sz w:val="28"/>
          <w:szCs w:val="28"/>
        </w:rPr>
        <w:tab/>
        <w:t>The Plaintiffs affirm the allegation within this averment.</w:t>
      </w:r>
    </w:p>
    <w:p w14:paraId="65C18720" w14:textId="77777777" w:rsidR="00C61AB5" w:rsidRDefault="00C61AB5" w:rsidP="00C61AB5">
      <w:pPr>
        <w:spacing w:after="0" w:line="240" w:lineRule="auto"/>
        <w:rPr>
          <w:rFonts w:ascii="Times New Roman" w:eastAsia="Calibri" w:hAnsi="Times New Roman" w:cs="Times New Roman"/>
          <w:color w:val="000000"/>
          <w:sz w:val="28"/>
          <w:szCs w:val="28"/>
        </w:rPr>
      </w:pPr>
    </w:p>
    <w:p w14:paraId="4702C874" w14:textId="01661494" w:rsidR="00313305" w:rsidRDefault="00313305" w:rsidP="00A31083">
      <w:pPr>
        <w:spacing w:after="0" w:line="48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WHEREFORE, the Plaintiffs respectfully request this Honorable Court deny the Defendant RVO’s Motion for Judgment on the Pleadings.</w:t>
      </w:r>
    </w:p>
    <w:p w14:paraId="3CB4DBEE" w14:textId="77777777" w:rsidR="00313305" w:rsidRDefault="00313305" w:rsidP="00A31083">
      <w:pPr>
        <w:spacing w:after="0" w:line="480" w:lineRule="auto"/>
        <w:rPr>
          <w:rFonts w:ascii="Times New Roman" w:eastAsia="Calibri" w:hAnsi="Times New Roman" w:cs="Times New Roman"/>
          <w:color w:val="000000"/>
          <w:sz w:val="28"/>
          <w:szCs w:val="28"/>
        </w:rPr>
      </w:pPr>
    </w:p>
    <w:p w14:paraId="44302072" w14:textId="77777777" w:rsidR="00313305" w:rsidRDefault="00313305" w:rsidP="00A31083">
      <w:pPr>
        <w:spacing w:after="0" w:line="480" w:lineRule="auto"/>
        <w:rPr>
          <w:rFonts w:ascii="Times New Roman" w:eastAsia="Calibri" w:hAnsi="Times New Roman" w:cs="Times New Roman"/>
          <w:color w:val="000000"/>
          <w:sz w:val="28"/>
          <w:szCs w:val="28"/>
        </w:rPr>
      </w:pPr>
    </w:p>
    <w:p w14:paraId="0559957A" w14:textId="77777777" w:rsidR="00313305" w:rsidRDefault="00313305" w:rsidP="00A31083">
      <w:pPr>
        <w:spacing w:after="0" w:line="480" w:lineRule="auto"/>
        <w:rPr>
          <w:rFonts w:ascii="Times New Roman" w:eastAsia="Calibri" w:hAnsi="Times New Roman" w:cs="Times New Roman"/>
          <w:color w:val="000000"/>
          <w:sz w:val="28"/>
          <w:szCs w:val="28"/>
        </w:rPr>
      </w:pPr>
    </w:p>
    <w:p w14:paraId="31D770F7" w14:textId="56BB1E87" w:rsidR="00313305" w:rsidRPr="00313305" w:rsidRDefault="00313305" w:rsidP="00313305">
      <w:pPr>
        <w:spacing w:after="0" w:line="48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lastRenderedPageBreak/>
        <w:t>BRIEF IN SUPPORT</w:t>
      </w:r>
    </w:p>
    <w:p w14:paraId="6F85A390" w14:textId="3C6382B6" w:rsidR="00D331EF" w:rsidRDefault="00DB101C" w:rsidP="00A4566A">
      <w:pPr>
        <w:spacing w:after="0" w:line="480" w:lineRule="auto"/>
        <w:ind w:firstLine="720"/>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Like their co-Defendant predecessors in interest, the RVO Defendants seem intent on purposefully misrepresenting the Plaintiff’s positions to this Court in a misguided effort to have it interpret those claims solely through the </w:t>
      </w:r>
      <w:r w:rsidR="006F5D19">
        <w:rPr>
          <w:rFonts w:ascii="Times New Roman" w:eastAsia="Calibri" w:hAnsi="Times New Roman" w:cs="Times New Roman"/>
          <w:sz w:val="28"/>
          <w:szCs w:val="28"/>
        </w:rPr>
        <w:t>prism</w:t>
      </w:r>
      <w:r>
        <w:rPr>
          <w:rFonts w:ascii="Times New Roman" w:eastAsia="Calibri" w:hAnsi="Times New Roman" w:cs="Times New Roman"/>
          <w:sz w:val="28"/>
          <w:szCs w:val="28"/>
        </w:rPr>
        <w:t xml:space="preserve"> of </w:t>
      </w:r>
      <w:r w:rsidRPr="00DB101C">
        <w:rPr>
          <w:rFonts w:ascii="Times New Roman" w:eastAsia="Calibri" w:hAnsi="Times New Roman" w:cs="Times New Roman"/>
          <w:i/>
          <w:color w:val="000000"/>
          <w:sz w:val="28"/>
          <w:szCs w:val="28"/>
        </w:rPr>
        <w:t>Harvey v. Great Seneca Financial Corp.</w:t>
      </w:r>
      <w:r w:rsidRPr="00DB101C">
        <w:rPr>
          <w:rFonts w:ascii="Times New Roman" w:eastAsia="Calibri" w:hAnsi="Times New Roman" w:cs="Times New Roman"/>
          <w:color w:val="000000"/>
          <w:sz w:val="28"/>
          <w:szCs w:val="28"/>
        </w:rPr>
        <w:t>, 453 F.3d 324 (6th Cir. 2006</w:t>
      </w:r>
      <w:r>
        <w:rPr>
          <w:rFonts w:ascii="Times New Roman" w:eastAsia="Calibri" w:hAnsi="Times New Roman" w:cs="Times New Roman"/>
          <w:color w:val="000000"/>
          <w:sz w:val="28"/>
          <w:szCs w:val="28"/>
        </w:rPr>
        <w:t xml:space="preserve">). </w:t>
      </w:r>
      <w:r w:rsidR="00D331EF">
        <w:rPr>
          <w:rFonts w:ascii="Times New Roman" w:eastAsia="Calibri" w:hAnsi="Times New Roman" w:cs="Times New Roman"/>
          <w:color w:val="000000"/>
          <w:sz w:val="28"/>
          <w:szCs w:val="28"/>
        </w:rPr>
        <w:t xml:space="preserve"> In </w:t>
      </w:r>
      <w:r w:rsidR="0012565E" w:rsidRPr="00D331EF">
        <w:rPr>
          <w:rFonts w:ascii="Times New Roman" w:eastAsia="Calibri" w:hAnsi="Times New Roman" w:cs="Times New Roman"/>
          <w:i/>
          <w:color w:val="000000"/>
          <w:sz w:val="28"/>
          <w:szCs w:val="28"/>
        </w:rPr>
        <w:t>Harvey</w:t>
      </w:r>
      <w:r w:rsidR="0012565E">
        <w:rPr>
          <w:rFonts w:ascii="Times New Roman" w:eastAsia="Calibri" w:hAnsi="Times New Roman" w:cs="Times New Roman"/>
          <w:color w:val="000000"/>
          <w:sz w:val="28"/>
          <w:szCs w:val="28"/>
        </w:rPr>
        <w:t>, the</w:t>
      </w:r>
      <w:r w:rsidR="00D331EF">
        <w:rPr>
          <w:rFonts w:ascii="Times New Roman" w:eastAsia="Calibri" w:hAnsi="Times New Roman" w:cs="Times New Roman"/>
          <w:color w:val="000000"/>
          <w:sz w:val="28"/>
          <w:szCs w:val="28"/>
        </w:rPr>
        <w:t xml:space="preserve"> court had to ferret out what allegations Ms. Harvey was making before analyzing the pleading</w:t>
      </w:r>
      <w:r w:rsidR="00825366">
        <w:rPr>
          <w:rFonts w:ascii="Times New Roman" w:eastAsia="Calibri" w:hAnsi="Times New Roman" w:cs="Times New Roman"/>
          <w:color w:val="000000"/>
          <w:sz w:val="28"/>
          <w:szCs w:val="28"/>
        </w:rPr>
        <w:t>s</w:t>
      </w:r>
      <w:r w:rsidR="00D331EF">
        <w:rPr>
          <w:rFonts w:ascii="Times New Roman" w:eastAsia="Calibri" w:hAnsi="Times New Roman" w:cs="Times New Roman"/>
          <w:color w:val="000000"/>
          <w:sz w:val="28"/>
          <w:szCs w:val="28"/>
        </w:rPr>
        <w:t xml:space="preserve"> under Rule 12(b)(6). </w:t>
      </w:r>
      <w:r w:rsidR="000A1ED8">
        <w:rPr>
          <w:rFonts w:ascii="Times New Roman" w:eastAsia="Calibri" w:hAnsi="Times New Roman" w:cs="Times New Roman"/>
          <w:color w:val="000000"/>
          <w:sz w:val="28"/>
          <w:szCs w:val="28"/>
        </w:rPr>
        <w:t xml:space="preserve">On the third page </w:t>
      </w:r>
      <w:r w:rsidR="00660E53">
        <w:rPr>
          <w:rFonts w:ascii="Times New Roman" w:eastAsia="Calibri" w:hAnsi="Times New Roman" w:cs="Times New Roman"/>
          <w:color w:val="000000"/>
          <w:sz w:val="28"/>
          <w:szCs w:val="28"/>
        </w:rPr>
        <w:t xml:space="preserve">on Defendant’s Harvey attachment under the section, </w:t>
      </w:r>
      <w:r w:rsidR="00660E53" w:rsidRPr="00430415">
        <w:rPr>
          <w:rFonts w:ascii="Times New Roman" w:eastAsia="Calibri" w:hAnsi="Times New Roman" w:cs="Times New Roman"/>
          <w:b/>
          <w:color w:val="000000"/>
          <w:sz w:val="28"/>
          <w:szCs w:val="28"/>
        </w:rPr>
        <w:t>B. Harvey’s Complaint</w:t>
      </w:r>
      <w:r w:rsidR="00430415">
        <w:rPr>
          <w:rFonts w:ascii="Times New Roman" w:eastAsia="Calibri" w:hAnsi="Times New Roman" w:cs="Times New Roman"/>
          <w:color w:val="000000"/>
          <w:sz w:val="28"/>
          <w:szCs w:val="28"/>
        </w:rPr>
        <w:t xml:space="preserve">, </w:t>
      </w:r>
      <w:r w:rsidR="00D331EF">
        <w:rPr>
          <w:rFonts w:ascii="Times New Roman" w:eastAsia="Calibri" w:hAnsi="Times New Roman" w:cs="Times New Roman"/>
          <w:color w:val="000000"/>
          <w:sz w:val="28"/>
          <w:szCs w:val="28"/>
        </w:rPr>
        <w:t>The Court stated that:</w:t>
      </w:r>
    </w:p>
    <w:p w14:paraId="6E5C9F2A" w14:textId="1DB8DE9C" w:rsidR="00D331EF" w:rsidRPr="00D331EF" w:rsidRDefault="00D331EF" w:rsidP="00825366">
      <w:pPr>
        <w:spacing w:after="0" w:line="360" w:lineRule="auto"/>
        <w:ind w:left="720"/>
        <w:rPr>
          <w:rFonts w:ascii="Times New Roman" w:eastAsia="Calibri" w:hAnsi="Times New Roman" w:cs="Times New Roman"/>
          <w:color w:val="000000"/>
          <w:sz w:val="24"/>
          <w:szCs w:val="24"/>
        </w:rPr>
      </w:pPr>
      <w:r w:rsidRPr="00D331EF">
        <w:rPr>
          <w:sz w:val="24"/>
          <w:szCs w:val="24"/>
        </w:rPr>
        <w:t>“Because Harvey’s complaint uses imprecise language, we must decide whether Harvey intended to allege that (1) Seneca and Javitch filed the complaint without having on hand at the time of filing the means to prove the complaint, or (2) Seneca and Javitch filed the complaint without the means of ever being able to obtain sufficient proof of the debt-collection action.</w:t>
      </w:r>
      <w:r>
        <w:rPr>
          <w:sz w:val="24"/>
          <w:szCs w:val="24"/>
        </w:rPr>
        <w:t>”</w:t>
      </w:r>
    </w:p>
    <w:p w14:paraId="02D766E9" w14:textId="509A56BC" w:rsidR="00570A3D" w:rsidRDefault="00D331EF" w:rsidP="00A4566A">
      <w:pPr>
        <w:spacing w:after="0" w:line="480" w:lineRule="auto"/>
        <w:ind w:firstLine="72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The </w:t>
      </w:r>
      <w:r w:rsidRPr="00825366">
        <w:rPr>
          <w:rFonts w:ascii="Times New Roman" w:eastAsia="Calibri" w:hAnsi="Times New Roman" w:cs="Times New Roman"/>
          <w:i/>
          <w:color w:val="000000"/>
          <w:sz w:val="28"/>
          <w:szCs w:val="28"/>
        </w:rPr>
        <w:t>Harvey</w:t>
      </w:r>
      <w:r>
        <w:rPr>
          <w:rFonts w:ascii="Times New Roman" w:eastAsia="Calibri" w:hAnsi="Times New Roman" w:cs="Times New Roman"/>
          <w:color w:val="000000"/>
          <w:sz w:val="28"/>
          <w:szCs w:val="28"/>
        </w:rPr>
        <w:t xml:space="preserve"> Court found </w:t>
      </w:r>
      <w:r w:rsidR="00570A3D">
        <w:rPr>
          <w:rFonts w:ascii="Times New Roman" w:eastAsia="Calibri" w:hAnsi="Times New Roman" w:cs="Times New Roman"/>
          <w:color w:val="000000"/>
          <w:sz w:val="28"/>
          <w:szCs w:val="28"/>
        </w:rPr>
        <w:t xml:space="preserve">that their analysis </w:t>
      </w:r>
      <w:r w:rsidR="0002791F">
        <w:rPr>
          <w:rFonts w:ascii="Times New Roman" w:eastAsia="Calibri" w:hAnsi="Times New Roman" w:cs="Times New Roman"/>
          <w:color w:val="000000"/>
          <w:sz w:val="28"/>
          <w:szCs w:val="28"/>
        </w:rPr>
        <w:t xml:space="preserve">should </w:t>
      </w:r>
      <w:r w:rsidR="007F08A3">
        <w:rPr>
          <w:rFonts w:ascii="Times New Roman" w:eastAsia="Calibri" w:hAnsi="Times New Roman" w:cs="Times New Roman"/>
          <w:color w:val="000000"/>
          <w:sz w:val="28"/>
          <w:szCs w:val="28"/>
        </w:rPr>
        <w:t>apply only to</w:t>
      </w:r>
      <w:r w:rsidR="00570A3D">
        <w:rPr>
          <w:rFonts w:ascii="Times New Roman" w:eastAsia="Calibri" w:hAnsi="Times New Roman" w:cs="Times New Roman"/>
          <w:color w:val="000000"/>
          <w:sz w:val="28"/>
          <w:szCs w:val="28"/>
        </w:rPr>
        <w:t xml:space="preserve"> Ms. Harvey alleging th</w:t>
      </w:r>
      <w:r w:rsidR="00FA66EF">
        <w:rPr>
          <w:rFonts w:ascii="Times New Roman" w:eastAsia="Calibri" w:hAnsi="Times New Roman" w:cs="Times New Roman"/>
          <w:color w:val="000000"/>
          <w:sz w:val="28"/>
          <w:szCs w:val="28"/>
        </w:rPr>
        <w:t>at th</w:t>
      </w:r>
      <w:r w:rsidR="00570A3D">
        <w:rPr>
          <w:rFonts w:ascii="Times New Roman" w:eastAsia="Calibri" w:hAnsi="Times New Roman" w:cs="Times New Roman"/>
          <w:color w:val="000000"/>
          <w:sz w:val="28"/>
          <w:szCs w:val="28"/>
        </w:rPr>
        <w:t xml:space="preserve">e debt collector did not have the means on hand of proving the complaint at </w:t>
      </w:r>
      <w:r w:rsidR="00570A3D" w:rsidRPr="00570A3D">
        <w:rPr>
          <w:rFonts w:ascii="Times New Roman" w:eastAsia="Calibri" w:hAnsi="Times New Roman" w:cs="Times New Roman"/>
          <w:i/>
          <w:color w:val="000000"/>
          <w:sz w:val="28"/>
          <w:szCs w:val="28"/>
        </w:rPr>
        <w:t>the time of</w:t>
      </w:r>
      <w:r w:rsidR="00570A3D">
        <w:rPr>
          <w:rFonts w:ascii="Times New Roman" w:eastAsia="Calibri" w:hAnsi="Times New Roman" w:cs="Times New Roman"/>
          <w:color w:val="000000"/>
          <w:sz w:val="28"/>
          <w:szCs w:val="28"/>
        </w:rPr>
        <w:t xml:space="preserve"> </w:t>
      </w:r>
      <w:r w:rsidR="00570A3D" w:rsidRPr="00570A3D">
        <w:rPr>
          <w:rFonts w:ascii="Times New Roman" w:eastAsia="Calibri" w:hAnsi="Times New Roman" w:cs="Times New Roman"/>
          <w:i/>
          <w:color w:val="000000"/>
          <w:sz w:val="28"/>
          <w:szCs w:val="28"/>
        </w:rPr>
        <w:t>filing the complaint</w:t>
      </w:r>
      <w:r w:rsidR="00570A3D">
        <w:rPr>
          <w:rFonts w:ascii="Times New Roman" w:eastAsia="Calibri" w:hAnsi="Times New Roman" w:cs="Times New Roman"/>
          <w:color w:val="000000"/>
          <w:sz w:val="28"/>
          <w:szCs w:val="28"/>
        </w:rPr>
        <w:t xml:space="preserve">.   The </w:t>
      </w:r>
      <w:r w:rsidR="00570A3D" w:rsidRPr="007F08A3">
        <w:rPr>
          <w:rFonts w:ascii="Times New Roman" w:eastAsia="Calibri" w:hAnsi="Times New Roman" w:cs="Times New Roman"/>
          <w:i/>
          <w:color w:val="000000"/>
          <w:sz w:val="28"/>
          <w:szCs w:val="28"/>
        </w:rPr>
        <w:t>Harvey</w:t>
      </w:r>
      <w:r w:rsidR="00570A3D">
        <w:rPr>
          <w:rFonts w:ascii="Times New Roman" w:eastAsia="Calibri" w:hAnsi="Times New Roman" w:cs="Times New Roman"/>
          <w:color w:val="000000"/>
          <w:sz w:val="28"/>
          <w:szCs w:val="28"/>
        </w:rPr>
        <w:t xml:space="preserve"> Court held that</w:t>
      </w:r>
      <w:r w:rsidR="006D32F9">
        <w:rPr>
          <w:rFonts w:ascii="Times New Roman" w:eastAsia="Calibri" w:hAnsi="Times New Roman" w:cs="Times New Roman"/>
          <w:color w:val="000000"/>
          <w:sz w:val="28"/>
          <w:szCs w:val="28"/>
        </w:rPr>
        <w:t>,</w:t>
      </w:r>
      <w:r w:rsidR="00570A3D">
        <w:rPr>
          <w:rFonts w:ascii="Times New Roman" w:eastAsia="Calibri" w:hAnsi="Times New Roman" w:cs="Times New Roman"/>
          <w:color w:val="000000"/>
          <w:sz w:val="28"/>
          <w:szCs w:val="28"/>
        </w:rPr>
        <w:t xml:space="preserve"> “The conclusion that Seneca and Javitch had no means of ever proving their claim would therefor be both an unreasonable extension and a strained reading of Harvey’s allegation that Seneca and Javitch filed “a lawsuit to collect a purported debt without the means of proving the existence of the debt, the amount of the debt, or that Seneca owned the debt.”</w:t>
      </w:r>
      <w:r>
        <w:rPr>
          <w:rFonts w:ascii="Times New Roman" w:eastAsia="Calibri" w:hAnsi="Times New Roman" w:cs="Times New Roman"/>
          <w:color w:val="000000"/>
          <w:sz w:val="28"/>
          <w:szCs w:val="28"/>
        </w:rPr>
        <w:t xml:space="preserve"> </w:t>
      </w:r>
      <w:r w:rsidR="00FA66EF">
        <w:rPr>
          <w:rFonts w:ascii="Times New Roman" w:eastAsia="Calibri" w:hAnsi="Times New Roman" w:cs="Times New Roman"/>
          <w:color w:val="000000"/>
          <w:sz w:val="28"/>
          <w:szCs w:val="28"/>
        </w:rPr>
        <w:t xml:space="preserve"> </w:t>
      </w:r>
      <w:r w:rsidR="00FB6254">
        <w:rPr>
          <w:rFonts w:ascii="Times New Roman" w:eastAsia="Calibri" w:hAnsi="Times New Roman" w:cs="Times New Roman"/>
          <w:color w:val="000000"/>
          <w:sz w:val="28"/>
          <w:szCs w:val="28"/>
        </w:rPr>
        <w:t>At the s</w:t>
      </w:r>
      <w:r w:rsidR="00FA66EF">
        <w:rPr>
          <w:rFonts w:ascii="Times New Roman" w:eastAsia="Calibri" w:hAnsi="Times New Roman" w:cs="Times New Roman"/>
          <w:color w:val="000000"/>
          <w:sz w:val="28"/>
          <w:szCs w:val="28"/>
        </w:rPr>
        <w:t xml:space="preserve">ame section of </w:t>
      </w:r>
      <w:r w:rsidR="00FA66EF" w:rsidRPr="00FB6254">
        <w:rPr>
          <w:rFonts w:ascii="Times New Roman" w:eastAsia="Calibri" w:hAnsi="Times New Roman" w:cs="Times New Roman"/>
          <w:b/>
          <w:color w:val="000000"/>
          <w:sz w:val="28"/>
          <w:szCs w:val="28"/>
        </w:rPr>
        <w:t xml:space="preserve">B. </w:t>
      </w:r>
      <w:r w:rsidR="00FB6254" w:rsidRPr="00FB6254">
        <w:rPr>
          <w:rFonts w:ascii="Times New Roman" w:eastAsia="Calibri" w:hAnsi="Times New Roman" w:cs="Times New Roman"/>
          <w:b/>
          <w:color w:val="000000"/>
          <w:sz w:val="28"/>
          <w:szCs w:val="28"/>
        </w:rPr>
        <w:t>Harvey’s Complaint</w:t>
      </w:r>
      <w:r w:rsidR="00FB6254">
        <w:rPr>
          <w:rFonts w:ascii="Times New Roman" w:eastAsia="Calibri" w:hAnsi="Times New Roman" w:cs="Times New Roman"/>
          <w:color w:val="000000"/>
          <w:sz w:val="28"/>
          <w:szCs w:val="28"/>
        </w:rPr>
        <w:t>.</w:t>
      </w:r>
    </w:p>
    <w:p w14:paraId="73085BEE" w14:textId="2248011A" w:rsidR="007824CE" w:rsidRDefault="00570A3D" w:rsidP="00A4566A">
      <w:pPr>
        <w:spacing w:after="0" w:line="480" w:lineRule="auto"/>
        <w:ind w:firstLine="720"/>
        <w:rPr>
          <w:rFonts w:ascii="Times New Roman" w:eastAsia="Calibri" w:hAnsi="Times New Roman" w:cs="Times New Roman"/>
          <w:sz w:val="28"/>
          <w:szCs w:val="28"/>
        </w:rPr>
      </w:pPr>
      <w:r>
        <w:rPr>
          <w:rFonts w:ascii="Times New Roman" w:eastAsia="Calibri" w:hAnsi="Times New Roman" w:cs="Times New Roman"/>
          <w:color w:val="000000"/>
          <w:sz w:val="28"/>
          <w:szCs w:val="28"/>
        </w:rPr>
        <w:lastRenderedPageBreak/>
        <w:t>T</w:t>
      </w:r>
      <w:r w:rsidR="00DB101C">
        <w:rPr>
          <w:rFonts w:ascii="Times New Roman" w:eastAsia="Calibri" w:hAnsi="Times New Roman" w:cs="Times New Roman"/>
          <w:color w:val="000000"/>
          <w:sz w:val="28"/>
          <w:szCs w:val="28"/>
        </w:rPr>
        <w:t>he present lawsuit extends far beyond t</w:t>
      </w:r>
      <w:r w:rsidR="005C118F">
        <w:rPr>
          <w:rFonts w:ascii="Times New Roman" w:eastAsia="Calibri" w:hAnsi="Times New Roman" w:cs="Times New Roman"/>
          <w:color w:val="000000"/>
          <w:sz w:val="28"/>
          <w:szCs w:val="28"/>
        </w:rPr>
        <w:t xml:space="preserve">he basis of the </w:t>
      </w:r>
      <w:r w:rsidR="005C118F" w:rsidRPr="00876E27">
        <w:rPr>
          <w:rFonts w:ascii="Times New Roman" w:eastAsia="Calibri" w:hAnsi="Times New Roman" w:cs="Times New Roman"/>
          <w:i/>
          <w:color w:val="000000"/>
          <w:sz w:val="28"/>
          <w:szCs w:val="28"/>
        </w:rPr>
        <w:t>Harvey</w:t>
      </w:r>
      <w:r w:rsidR="005C118F">
        <w:rPr>
          <w:rFonts w:ascii="Times New Roman" w:eastAsia="Calibri" w:hAnsi="Times New Roman" w:cs="Times New Roman"/>
          <w:color w:val="000000"/>
          <w:sz w:val="28"/>
          <w:szCs w:val="28"/>
        </w:rPr>
        <w:t xml:space="preserve"> Court analysis</w:t>
      </w:r>
      <w:r w:rsidR="007F08A3">
        <w:rPr>
          <w:rFonts w:ascii="Times New Roman" w:eastAsia="Calibri" w:hAnsi="Times New Roman" w:cs="Times New Roman"/>
          <w:color w:val="000000"/>
          <w:sz w:val="28"/>
          <w:szCs w:val="28"/>
        </w:rPr>
        <w:t xml:space="preserve"> that dismissed Ms. Harvey’s complaint</w:t>
      </w:r>
      <w:r w:rsidR="005C118F">
        <w:rPr>
          <w:rFonts w:ascii="Times New Roman" w:eastAsia="Calibri" w:hAnsi="Times New Roman" w:cs="Times New Roman"/>
          <w:color w:val="000000"/>
          <w:sz w:val="28"/>
          <w:szCs w:val="28"/>
        </w:rPr>
        <w:t>. I</w:t>
      </w:r>
      <w:r w:rsidR="00DB101C">
        <w:rPr>
          <w:rFonts w:ascii="Times New Roman" w:eastAsia="Calibri" w:hAnsi="Times New Roman" w:cs="Times New Roman"/>
          <w:color w:val="000000"/>
          <w:sz w:val="28"/>
          <w:szCs w:val="28"/>
        </w:rPr>
        <w:t>nstead</w:t>
      </w:r>
      <w:r w:rsidR="00FB6254">
        <w:rPr>
          <w:rFonts w:ascii="Times New Roman" w:eastAsia="Calibri" w:hAnsi="Times New Roman" w:cs="Times New Roman"/>
          <w:color w:val="000000"/>
          <w:sz w:val="28"/>
          <w:szCs w:val="28"/>
        </w:rPr>
        <w:t>, Plaintiffs’</w:t>
      </w:r>
      <w:r w:rsidR="00D42717">
        <w:rPr>
          <w:rFonts w:ascii="Times New Roman" w:eastAsia="Calibri" w:hAnsi="Times New Roman" w:cs="Times New Roman"/>
          <w:color w:val="000000"/>
          <w:sz w:val="28"/>
          <w:szCs w:val="28"/>
        </w:rPr>
        <w:t xml:space="preserve"> lawsuit </w:t>
      </w:r>
      <w:r w:rsidR="00DB101C">
        <w:rPr>
          <w:rFonts w:ascii="Times New Roman" w:eastAsia="Calibri" w:hAnsi="Times New Roman" w:cs="Times New Roman"/>
          <w:color w:val="000000"/>
          <w:sz w:val="28"/>
          <w:szCs w:val="28"/>
        </w:rPr>
        <w:t xml:space="preserve">centers upon a far more significant issue- namely, that </w:t>
      </w:r>
      <w:r w:rsidR="004A5DEF">
        <w:rPr>
          <w:rFonts w:ascii="Times New Roman" w:eastAsia="Calibri" w:hAnsi="Times New Roman" w:cs="Times New Roman"/>
          <w:color w:val="000000"/>
          <w:sz w:val="28"/>
          <w:szCs w:val="28"/>
        </w:rPr>
        <w:t>Defendants are filing collection lawsuits</w:t>
      </w:r>
      <w:r w:rsidR="00D42717">
        <w:rPr>
          <w:rFonts w:ascii="Times New Roman" w:eastAsia="Calibri" w:hAnsi="Times New Roman" w:cs="Times New Roman"/>
          <w:color w:val="000000"/>
          <w:sz w:val="28"/>
          <w:szCs w:val="28"/>
        </w:rPr>
        <w:t xml:space="preserve"> </w:t>
      </w:r>
      <w:r w:rsidR="00D235B3">
        <w:rPr>
          <w:rFonts w:ascii="Times New Roman" w:eastAsia="Calibri" w:hAnsi="Times New Roman" w:cs="Times New Roman"/>
          <w:color w:val="000000"/>
          <w:sz w:val="28"/>
          <w:szCs w:val="28"/>
        </w:rPr>
        <w:t>“</w:t>
      </w:r>
      <w:r w:rsidR="00D235B3" w:rsidRPr="00005C4C">
        <w:rPr>
          <w:rFonts w:ascii="Times New Roman" w:hAnsi="Times New Roman" w:cs="Times New Roman"/>
          <w:i/>
          <w:sz w:val="28"/>
          <w:szCs w:val="28"/>
        </w:rPr>
        <w:t>without the means of ever being able to obtain sufficient proof of the debt-collection action</w:t>
      </w:r>
      <w:r w:rsidR="00D235B3" w:rsidRPr="00AB5F46">
        <w:rPr>
          <w:rFonts w:ascii="Times New Roman" w:hAnsi="Times New Roman" w:cs="Times New Roman"/>
          <w:sz w:val="28"/>
          <w:szCs w:val="28"/>
        </w:rPr>
        <w:t>.”</w:t>
      </w:r>
      <w:r w:rsidR="006B2C82">
        <w:rPr>
          <w:rFonts w:ascii="Times New Roman" w:hAnsi="Times New Roman" w:cs="Times New Roman"/>
          <w:sz w:val="28"/>
          <w:szCs w:val="28"/>
        </w:rPr>
        <w:t xml:space="preserve"> </w:t>
      </w:r>
      <w:r w:rsidR="006B2C82" w:rsidRPr="006B2C82">
        <w:rPr>
          <w:rFonts w:ascii="Times New Roman" w:hAnsi="Times New Roman" w:cs="Times New Roman"/>
          <w:b/>
          <w:sz w:val="28"/>
          <w:szCs w:val="28"/>
          <w:u w:val="single"/>
        </w:rPr>
        <w:t>T</w:t>
      </w:r>
      <w:r w:rsidR="00E04838" w:rsidRPr="006B2C82">
        <w:rPr>
          <w:rFonts w:ascii="Times New Roman" w:eastAsia="Calibri" w:hAnsi="Times New Roman" w:cs="Times New Roman"/>
          <w:b/>
          <w:sz w:val="28"/>
          <w:szCs w:val="28"/>
          <w:u w:val="single"/>
        </w:rPr>
        <w:t xml:space="preserve">he </w:t>
      </w:r>
      <w:r w:rsidR="00E04838" w:rsidRPr="006B2C82">
        <w:rPr>
          <w:rFonts w:ascii="Times New Roman" w:eastAsia="Calibri" w:hAnsi="Times New Roman" w:cs="Times New Roman"/>
          <w:b/>
          <w:i/>
          <w:sz w:val="28"/>
          <w:szCs w:val="28"/>
          <w:u w:val="single"/>
        </w:rPr>
        <w:t>Harvey</w:t>
      </w:r>
      <w:r w:rsidR="00E04838" w:rsidRPr="006B2C82">
        <w:rPr>
          <w:rFonts w:ascii="Times New Roman" w:eastAsia="Calibri" w:hAnsi="Times New Roman" w:cs="Times New Roman"/>
          <w:b/>
          <w:sz w:val="28"/>
          <w:szCs w:val="28"/>
          <w:u w:val="single"/>
        </w:rPr>
        <w:t xml:space="preserve"> analysis would not apply to this case</w:t>
      </w:r>
      <w:r w:rsidR="00E04838">
        <w:rPr>
          <w:rFonts w:ascii="Times New Roman" w:eastAsia="Calibri" w:hAnsi="Times New Roman" w:cs="Times New Roman"/>
          <w:sz w:val="28"/>
          <w:szCs w:val="28"/>
        </w:rPr>
        <w:t xml:space="preserve">. </w:t>
      </w:r>
    </w:p>
    <w:p w14:paraId="6A67BC7C" w14:textId="406DE968" w:rsidR="00AA5352" w:rsidRDefault="0006270F" w:rsidP="00A4566A">
      <w:pPr>
        <w:spacing w:after="0" w:line="48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T</w:t>
      </w:r>
      <w:r w:rsidR="00CE6FF2">
        <w:rPr>
          <w:rFonts w:ascii="Times New Roman" w:eastAsia="Calibri" w:hAnsi="Times New Roman" w:cs="Times New Roman"/>
          <w:sz w:val="28"/>
          <w:szCs w:val="28"/>
        </w:rPr>
        <w:t>he Plaintiffs are not</w:t>
      </w:r>
      <w:r w:rsidR="009A738F">
        <w:rPr>
          <w:rFonts w:ascii="Times New Roman" w:eastAsia="Calibri" w:hAnsi="Times New Roman" w:cs="Times New Roman"/>
          <w:sz w:val="28"/>
          <w:szCs w:val="28"/>
        </w:rPr>
        <w:t>,</w:t>
      </w:r>
      <w:r w:rsidR="00CE6FF2">
        <w:rPr>
          <w:rFonts w:ascii="Times New Roman" w:eastAsia="Calibri" w:hAnsi="Times New Roman" w:cs="Times New Roman"/>
          <w:sz w:val="28"/>
          <w:szCs w:val="28"/>
        </w:rPr>
        <w:t xml:space="preserve"> as the Defendants suggest</w:t>
      </w:r>
      <w:r w:rsidR="009A738F">
        <w:rPr>
          <w:rFonts w:ascii="Times New Roman" w:eastAsia="Calibri" w:hAnsi="Times New Roman" w:cs="Times New Roman"/>
          <w:sz w:val="28"/>
          <w:szCs w:val="28"/>
        </w:rPr>
        <w:t>,</w:t>
      </w:r>
      <w:r w:rsidR="00CE6FF2">
        <w:rPr>
          <w:rFonts w:ascii="Times New Roman" w:eastAsia="Calibri" w:hAnsi="Times New Roman" w:cs="Times New Roman"/>
          <w:sz w:val="28"/>
          <w:szCs w:val="28"/>
        </w:rPr>
        <w:t xml:space="preserve"> asking that this </w:t>
      </w:r>
      <w:r w:rsidR="0019564E">
        <w:rPr>
          <w:rFonts w:ascii="Times New Roman" w:eastAsia="Calibri" w:hAnsi="Times New Roman" w:cs="Times New Roman"/>
          <w:sz w:val="28"/>
          <w:szCs w:val="28"/>
        </w:rPr>
        <w:t>Court</w:t>
      </w:r>
      <w:r w:rsidR="00CE6FF2">
        <w:rPr>
          <w:rFonts w:ascii="Times New Roman" w:eastAsia="Calibri" w:hAnsi="Times New Roman" w:cs="Times New Roman"/>
          <w:sz w:val="28"/>
          <w:szCs w:val="28"/>
        </w:rPr>
        <w:t xml:space="preserve"> </w:t>
      </w:r>
      <w:r w:rsidR="009A738F">
        <w:rPr>
          <w:rFonts w:ascii="Times New Roman" w:eastAsia="Calibri" w:hAnsi="Times New Roman" w:cs="Times New Roman"/>
          <w:sz w:val="28"/>
          <w:szCs w:val="28"/>
        </w:rPr>
        <w:t xml:space="preserve">to </w:t>
      </w:r>
      <w:r w:rsidR="00CE6FF2">
        <w:rPr>
          <w:rFonts w:ascii="Times New Roman" w:eastAsia="Calibri" w:hAnsi="Times New Roman" w:cs="Times New Roman"/>
          <w:sz w:val="28"/>
          <w:szCs w:val="28"/>
        </w:rPr>
        <w:t>impose some sort of heightened pleading standard for state court collection cases by requiring attorneys representing assignees to include “admissible, dispositive evidence” of the assignment</w:t>
      </w:r>
      <w:r w:rsidR="004A5D38">
        <w:rPr>
          <w:rFonts w:ascii="Times New Roman" w:eastAsia="Calibri" w:hAnsi="Times New Roman" w:cs="Times New Roman"/>
          <w:sz w:val="28"/>
          <w:szCs w:val="28"/>
        </w:rPr>
        <w:t>. Th</w:t>
      </w:r>
      <w:r w:rsidR="00CE6FF2">
        <w:rPr>
          <w:rFonts w:ascii="Times New Roman" w:eastAsia="Calibri" w:hAnsi="Times New Roman" w:cs="Times New Roman"/>
          <w:sz w:val="28"/>
          <w:szCs w:val="28"/>
        </w:rPr>
        <w:t xml:space="preserve">e Plaintiffs are arguing that no assignment of the Plaintiffs’ respective debts ever occurred at all, that Cavalry </w:t>
      </w:r>
      <w:r w:rsidR="008D5DE6">
        <w:rPr>
          <w:rFonts w:ascii="Times New Roman" w:eastAsia="Calibri" w:hAnsi="Times New Roman" w:cs="Times New Roman"/>
          <w:sz w:val="28"/>
          <w:szCs w:val="28"/>
        </w:rPr>
        <w:t xml:space="preserve">has presented </w:t>
      </w:r>
      <w:r w:rsidR="00CE6FF2">
        <w:rPr>
          <w:rFonts w:ascii="Times New Roman" w:eastAsia="Calibri" w:hAnsi="Times New Roman" w:cs="Times New Roman"/>
          <w:sz w:val="28"/>
          <w:szCs w:val="28"/>
        </w:rPr>
        <w:t xml:space="preserve">no legal right to sue them related to the Citibank debt at issue, and that </w:t>
      </w:r>
      <w:r w:rsidR="006F5D19">
        <w:rPr>
          <w:rFonts w:ascii="Times New Roman" w:eastAsia="Calibri" w:hAnsi="Times New Roman" w:cs="Times New Roman"/>
          <w:sz w:val="28"/>
          <w:szCs w:val="28"/>
        </w:rPr>
        <w:t xml:space="preserve">by extension </w:t>
      </w:r>
      <w:r w:rsidR="00CE6FF2">
        <w:rPr>
          <w:rFonts w:ascii="Times New Roman" w:eastAsia="Calibri" w:hAnsi="Times New Roman" w:cs="Times New Roman"/>
          <w:sz w:val="28"/>
          <w:szCs w:val="28"/>
        </w:rPr>
        <w:t>in doing so (among a multitude of violations)</w:t>
      </w:r>
      <w:r w:rsidR="006F5D19">
        <w:rPr>
          <w:rFonts w:ascii="Times New Roman" w:eastAsia="Calibri" w:hAnsi="Times New Roman" w:cs="Times New Roman"/>
          <w:sz w:val="28"/>
          <w:szCs w:val="28"/>
        </w:rPr>
        <w:t xml:space="preserve"> </w:t>
      </w:r>
      <w:r w:rsidR="00CE6FF2">
        <w:rPr>
          <w:rFonts w:ascii="Times New Roman" w:eastAsia="Calibri" w:hAnsi="Times New Roman" w:cs="Times New Roman"/>
          <w:sz w:val="28"/>
          <w:szCs w:val="28"/>
        </w:rPr>
        <w:t>misrepresented the amounts due and/or the legal character</w:t>
      </w:r>
      <w:r w:rsidR="000E10EE">
        <w:rPr>
          <w:rFonts w:ascii="Times New Roman" w:eastAsia="Calibri" w:hAnsi="Times New Roman" w:cs="Times New Roman"/>
          <w:sz w:val="28"/>
          <w:szCs w:val="28"/>
        </w:rPr>
        <w:t xml:space="preserve"> and </w:t>
      </w:r>
      <w:r w:rsidR="00CE6FF2">
        <w:rPr>
          <w:rFonts w:ascii="Times New Roman" w:eastAsia="Calibri" w:hAnsi="Times New Roman" w:cs="Times New Roman"/>
          <w:sz w:val="28"/>
          <w:szCs w:val="28"/>
        </w:rPr>
        <w:t xml:space="preserve">status of the debts at issue in clear and unequivocal violation of the FDCPA and associated Michigan statutes.  </w:t>
      </w:r>
      <w:r w:rsidR="0019564E">
        <w:rPr>
          <w:rFonts w:ascii="Times New Roman" w:eastAsia="Calibri" w:hAnsi="Times New Roman" w:cs="Times New Roman"/>
          <w:sz w:val="28"/>
          <w:szCs w:val="28"/>
        </w:rPr>
        <w:t xml:space="preserve"> Even the account statements </w:t>
      </w:r>
      <w:r w:rsidR="00B13FE2">
        <w:rPr>
          <w:rFonts w:ascii="Times New Roman" w:eastAsia="Calibri" w:hAnsi="Times New Roman" w:cs="Times New Roman"/>
          <w:sz w:val="28"/>
          <w:szCs w:val="28"/>
        </w:rPr>
        <w:t>added to the complaints are from 2012 and 2014 with no attempt to provide any admissible proof that Plaintiffs owe these specific debts to Cavalry.</w:t>
      </w:r>
    </w:p>
    <w:p w14:paraId="0AF95B3D" w14:textId="4616AA9F" w:rsidR="00C5566A" w:rsidRDefault="00C5566A" w:rsidP="00C5566A">
      <w:pPr>
        <w:spacing w:after="0" w:line="480" w:lineRule="auto"/>
        <w:rPr>
          <w:rFonts w:ascii="Times New Roman" w:eastAsia="Calibri" w:hAnsi="Times New Roman" w:cs="Times New Roman"/>
          <w:b/>
          <w:sz w:val="28"/>
          <w:szCs w:val="28"/>
        </w:rPr>
      </w:pPr>
      <w:r w:rsidRPr="00C5566A">
        <w:rPr>
          <w:rFonts w:ascii="Times New Roman" w:eastAsia="Calibri" w:hAnsi="Times New Roman" w:cs="Times New Roman"/>
          <w:b/>
          <w:sz w:val="28"/>
          <w:szCs w:val="28"/>
        </w:rPr>
        <w:t>A.</w:t>
      </w:r>
      <w:r w:rsidRPr="00C5566A">
        <w:rPr>
          <w:rFonts w:ascii="Times New Roman" w:eastAsia="Calibri" w:hAnsi="Times New Roman" w:cs="Times New Roman"/>
          <w:b/>
          <w:sz w:val="28"/>
          <w:szCs w:val="28"/>
        </w:rPr>
        <w:tab/>
        <w:t>FACTS PLED IN COMPLAINT</w:t>
      </w:r>
    </w:p>
    <w:p w14:paraId="6B574CCB" w14:textId="50DB6D6E" w:rsidR="005C3EF1" w:rsidRDefault="0039135F" w:rsidP="005C3EF1">
      <w:pPr>
        <w:spacing w:after="0" w:line="48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Remarkably, </w:t>
      </w:r>
      <w:r w:rsidR="005C3EF1">
        <w:rPr>
          <w:rFonts w:ascii="Times New Roman" w:eastAsia="Calibri" w:hAnsi="Times New Roman" w:cs="Times New Roman"/>
          <w:sz w:val="28"/>
          <w:szCs w:val="28"/>
        </w:rPr>
        <w:t xml:space="preserve">none of the seven (7) allegations of </w:t>
      </w:r>
      <w:r w:rsidR="000E10EE">
        <w:rPr>
          <w:rFonts w:ascii="Times New Roman" w:eastAsia="Calibri" w:hAnsi="Times New Roman" w:cs="Times New Roman"/>
          <w:sz w:val="28"/>
          <w:szCs w:val="28"/>
        </w:rPr>
        <w:t xml:space="preserve">the </w:t>
      </w:r>
      <w:r w:rsidR="005C3EF1">
        <w:rPr>
          <w:rFonts w:ascii="Times New Roman" w:eastAsia="Calibri" w:hAnsi="Times New Roman" w:cs="Times New Roman"/>
          <w:sz w:val="28"/>
          <w:szCs w:val="28"/>
        </w:rPr>
        <w:t>Defendants</w:t>
      </w:r>
      <w:r w:rsidR="000E10EE">
        <w:rPr>
          <w:rFonts w:ascii="Times New Roman" w:eastAsia="Calibri" w:hAnsi="Times New Roman" w:cs="Times New Roman"/>
          <w:sz w:val="28"/>
          <w:szCs w:val="28"/>
        </w:rPr>
        <w:t>’</w:t>
      </w:r>
      <w:r w:rsidR="005C3EF1">
        <w:rPr>
          <w:rFonts w:ascii="Times New Roman" w:eastAsia="Calibri" w:hAnsi="Times New Roman" w:cs="Times New Roman"/>
          <w:sz w:val="28"/>
          <w:szCs w:val="28"/>
        </w:rPr>
        <w:t xml:space="preserve"> state collection complaints refer to any ownership paperwork, assignments or any proof that </w:t>
      </w:r>
      <w:r w:rsidR="000E10EE">
        <w:rPr>
          <w:rFonts w:ascii="Times New Roman" w:eastAsia="Calibri" w:hAnsi="Times New Roman" w:cs="Times New Roman"/>
          <w:sz w:val="28"/>
          <w:szCs w:val="28"/>
        </w:rPr>
        <w:t>each</w:t>
      </w:r>
      <w:r w:rsidR="005C3EF1">
        <w:rPr>
          <w:rFonts w:ascii="Times New Roman" w:eastAsia="Calibri" w:hAnsi="Times New Roman" w:cs="Times New Roman"/>
          <w:sz w:val="28"/>
          <w:szCs w:val="28"/>
        </w:rPr>
        <w:t xml:space="preserve"> Plaintiff owe</w:t>
      </w:r>
      <w:r w:rsidR="000E10EE">
        <w:rPr>
          <w:rFonts w:ascii="Times New Roman" w:eastAsia="Calibri" w:hAnsi="Times New Roman" w:cs="Times New Roman"/>
          <w:sz w:val="28"/>
          <w:szCs w:val="28"/>
        </w:rPr>
        <w:t>s</w:t>
      </w:r>
      <w:r w:rsidR="005C3EF1">
        <w:rPr>
          <w:rFonts w:ascii="Times New Roman" w:eastAsia="Calibri" w:hAnsi="Times New Roman" w:cs="Times New Roman"/>
          <w:sz w:val="28"/>
          <w:szCs w:val="28"/>
        </w:rPr>
        <w:t xml:space="preserve"> the debt to Cavalry. There </w:t>
      </w:r>
      <w:r w:rsidR="00F56947">
        <w:rPr>
          <w:rFonts w:ascii="Times New Roman" w:eastAsia="Calibri" w:hAnsi="Times New Roman" w:cs="Times New Roman"/>
          <w:sz w:val="28"/>
          <w:szCs w:val="28"/>
        </w:rPr>
        <w:t>are</w:t>
      </w:r>
      <w:r w:rsidR="005C3EF1">
        <w:rPr>
          <w:rFonts w:ascii="Times New Roman" w:eastAsia="Calibri" w:hAnsi="Times New Roman" w:cs="Times New Roman"/>
          <w:sz w:val="28"/>
          <w:szCs w:val="28"/>
        </w:rPr>
        <w:t xml:space="preserve"> just some documents marked </w:t>
      </w:r>
      <w:r w:rsidR="005C3EF1">
        <w:rPr>
          <w:rFonts w:ascii="Times New Roman" w:eastAsia="Calibri" w:hAnsi="Times New Roman" w:cs="Times New Roman"/>
          <w:sz w:val="28"/>
          <w:szCs w:val="28"/>
        </w:rPr>
        <w:lastRenderedPageBreak/>
        <w:t>“Exhibit”</w:t>
      </w:r>
      <w:r w:rsidR="00F56947">
        <w:rPr>
          <w:rFonts w:ascii="Times New Roman" w:eastAsia="Calibri" w:hAnsi="Times New Roman" w:cs="Times New Roman"/>
          <w:sz w:val="28"/>
          <w:szCs w:val="28"/>
        </w:rPr>
        <w:t xml:space="preserve"> that are not reference</w:t>
      </w:r>
      <w:r w:rsidR="000E10EE">
        <w:rPr>
          <w:rFonts w:ascii="Times New Roman" w:eastAsia="Calibri" w:hAnsi="Times New Roman" w:cs="Times New Roman"/>
          <w:sz w:val="28"/>
          <w:szCs w:val="28"/>
        </w:rPr>
        <w:t>d</w:t>
      </w:r>
      <w:r w:rsidR="00F56947">
        <w:rPr>
          <w:rFonts w:ascii="Times New Roman" w:eastAsia="Calibri" w:hAnsi="Times New Roman" w:cs="Times New Roman"/>
          <w:sz w:val="28"/>
          <w:szCs w:val="28"/>
        </w:rPr>
        <w:t xml:space="preserve"> or relied upon in each of the Defendants state complaints</w:t>
      </w:r>
      <w:r w:rsidR="002C3907">
        <w:rPr>
          <w:rFonts w:ascii="Times New Roman" w:eastAsia="Calibri" w:hAnsi="Times New Roman" w:cs="Times New Roman"/>
          <w:sz w:val="28"/>
          <w:szCs w:val="28"/>
        </w:rPr>
        <w:t>.  Here is the complaint against Mr. Schuemann as an example</w:t>
      </w:r>
      <w:r w:rsidR="00F56947">
        <w:rPr>
          <w:rFonts w:ascii="Times New Roman" w:eastAsia="Calibri" w:hAnsi="Times New Roman" w:cs="Times New Roman"/>
          <w:sz w:val="28"/>
          <w:szCs w:val="28"/>
        </w:rPr>
        <w:t>:</w:t>
      </w:r>
    </w:p>
    <w:p w14:paraId="532D9EC9" w14:textId="454866D7" w:rsidR="00F56947" w:rsidRDefault="002C3907" w:rsidP="005C3EF1">
      <w:pPr>
        <w:spacing w:after="0" w:line="480" w:lineRule="auto"/>
        <w:ind w:firstLine="720"/>
        <w:jc w:val="both"/>
        <w:rPr>
          <w:rFonts w:ascii="Times New Roman" w:eastAsia="Calibri" w:hAnsi="Times New Roman" w:cs="Times New Roman"/>
          <w:sz w:val="28"/>
          <w:szCs w:val="28"/>
        </w:rPr>
      </w:pPr>
      <w:r w:rsidRPr="002C3907">
        <w:rPr>
          <w:rFonts w:ascii="Times New Roman" w:eastAsia="Calibri" w:hAnsi="Times New Roman" w:cs="Times New Roman"/>
          <w:noProof/>
          <w:sz w:val="28"/>
          <w:szCs w:val="28"/>
        </w:rPr>
        <w:drawing>
          <wp:inline distT="0" distB="0" distL="0" distR="0" wp14:anchorId="5F73BFE5" wp14:editId="4DD70548">
            <wp:extent cx="5943600" cy="36285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628539"/>
                    </a:xfrm>
                    <a:prstGeom prst="rect">
                      <a:avLst/>
                    </a:prstGeom>
                    <a:noFill/>
                    <a:ln>
                      <a:noFill/>
                    </a:ln>
                  </pic:spPr>
                </pic:pic>
              </a:graphicData>
            </a:graphic>
          </wp:inline>
        </w:drawing>
      </w:r>
    </w:p>
    <w:p w14:paraId="485DF489" w14:textId="3BAB28F3" w:rsidR="009C594A" w:rsidRDefault="007515BD" w:rsidP="006F5D19">
      <w:pPr>
        <w:spacing w:after="0" w:line="48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There is no contract </w:t>
      </w:r>
      <w:r w:rsidR="000E10EE">
        <w:rPr>
          <w:rFonts w:ascii="Times New Roman" w:eastAsia="Calibri" w:hAnsi="Times New Roman" w:cs="Times New Roman"/>
          <w:sz w:val="28"/>
          <w:szCs w:val="28"/>
        </w:rPr>
        <w:t xml:space="preserve">attached </w:t>
      </w:r>
      <w:r>
        <w:rPr>
          <w:rFonts w:ascii="Times New Roman" w:eastAsia="Calibri" w:hAnsi="Times New Roman" w:cs="Times New Roman"/>
          <w:sz w:val="28"/>
          <w:szCs w:val="28"/>
        </w:rPr>
        <w:t xml:space="preserve">that Cavalry is claiming is breached and none of the attachments </w:t>
      </w:r>
      <w:r w:rsidR="00C61990">
        <w:rPr>
          <w:rFonts w:ascii="Times New Roman" w:eastAsia="Calibri" w:hAnsi="Times New Roman" w:cs="Times New Roman"/>
          <w:sz w:val="28"/>
          <w:szCs w:val="28"/>
        </w:rPr>
        <w:t>support the pleadings or provide any proof that Plaintiff</w:t>
      </w:r>
      <w:r w:rsidR="00184DD5">
        <w:rPr>
          <w:rFonts w:ascii="Times New Roman" w:eastAsia="Calibri" w:hAnsi="Times New Roman" w:cs="Times New Roman"/>
          <w:sz w:val="28"/>
          <w:szCs w:val="28"/>
        </w:rPr>
        <w:t>s</w:t>
      </w:r>
      <w:r w:rsidR="00C61990">
        <w:rPr>
          <w:rFonts w:ascii="Times New Roman" w:eastAsia="Calibri" w:hAnsi="Times New Roman" w:cs="Times New Roman"/>
          <w:sz w:val="28"/>
          <w:szCs w:val="28"/>
        </w:rPr>
        <w:t xml:space="preserve"> owe the </w:t>
      </w:r>
      <w:r w:rsidR="006C70C1">
        <w:rPr>
          <w:rFonts w:ascii="Times New Roman" w:eastAsia="Calibri" w:hAnsi="Times New Roman" w:cs="Times New Roman"/>
          <w:sz w:val="28"/>
          <w:szCs w:val="28"/>
        </w:rPr>
        <w:t xml:space="preserve">specific </w:t>
      </w:r>
      <w:r w:rsidR="00C61990">
        <w:rPr>
          <w:rFonts w:ascii="Times New Roman" w:eastAsia="Calibri" w:hAnsi="Times New Roman" w:cs="Times New Roman"/>
          <w:sz w:val="28"/>
          <w:szCs w:val="28"/>
        </w:rPr>
        <w:t xml:space="preserve">debt </w:t>
      </w:r>
      <w:r w:rsidR="006C70C1">
        <w:rPr>
          <w:rFonts w:ascii="Times New Roman" w:eastAsia="Calibri" w:hAnsi="Times New Roman" w:cs="Times New Roman"/>
          <w:sz w:val="28"/>
          <w:szCs w:val="28"/>
        </w:rPr>
        <w:t>to</w:t>
      </w:r>
      <w:r w:rsidR="00C61990">
        <w:rPr>
          <w:rFonts w:ascii="Times New Roman" w:eastAsia="Calibri" w:hAnsi="Times New Roman" w:cs="Times New Roman"/>
          <w:sz w:val="28"/>
          <w:szCs w:val="28"/>
        </w:rPr>
        <w:t xml:space="preserve"> Cavalry. </w:t>
      </w:r>
      <w:r w:rsidR="00A018B8">
        <w:rPr>
          <w:rFonts w:ascii="Times New Roman" w:eastAsia="Calibri" w:hAnsi="Times New Roman" w:cs="Times New Roman"/>
          <w:sz w:val="28"/>
          <w:szCs w:val="28"/>
        </w:rPr>
        <w:t xml:space="preserve">The Bill of Sale and Assignment attached to each state complaint </w:t>
      </w:r>
      <w:r w:rsidR="00983B8F">
        <w:rPr>
          <w:rFonts w:ascii="Times New Roman" w:eastAsia="Calibri" w:hAnsi="Times New Roman" w:cs="Times New Roman"/>
          <w:sz w:val="28"/>
          <w:szCs w:val="28"/>
        </w:rPr>
        <w:t>refers to a Purchase and Sale Agreement that is not attached</w:t>
      </w:r>
      <w:r w:rsidR="0046207B">
        <w:rPr>
          <w:rFonts w:ascii="Times New Roman" w:eastAsia="Calibri" w:hAnsi="Times New Roman" w:cs="Times New Roman"/>
          <w:sz w:val="28"/>
          <w:szCs w:val="28"/>
        </w:rPr>
        <w:t xml:space="preserve"> along with an Exhibit 1 that says nothing about any of the Plaintiffs specific debts. The Bill of Sale and Assignment </w:t>
      </w:r>
      <w:r w:rsidR="006F1BB9">
        <w:rPr>
          <w:rFonts w:ascii="Times New Roman" w:eastAsia="Calibri" w:hAnsi="Times New Roman" w:cs="Times New Roman"/>
          <w:sz w:val="28"/>
          <w:szCs w:val="28"/>
        </w:rPr>
        <w:t xml:space="preserve">is unsigned by Cavalry so there is no evidence of an Assignment of even the pool of debts it refers to at Exhibit 1. </w:t>
      </w:r>
    </w:p>
    <w:p w14:paraId="1F1DA48E" w14:textId="77777777" w:rsidR="00612E61" w:rsidRDefault="00612E61" w:rsidP="006F5D19">
      <w:pPr>
        <w:spacing w:after="0" w:line="480" w:lineRule="auto"/>
        <w:ind w:firstLine="720"/>
        <w:rPr>
          <w:rFonts w:ascii="Times New Roman" w:eastAsia="Calibri" w:hAnsi="Times New Roman" w:cs="Times New Roman"/>
          <w:sz w:val="28"/>
          <w:szCs w:val="28"/>
        </w:rPr>
      </w:pPr>
    </w:p>
    <w:p w14:paraId="45B76646" w14:textId="4F3EA384" w:rsidR="006262D2" w:rsidRDefault="006262D2" w:rsidP="006F5D19">
      <w:pPr>
        <w:spacing w:after="0" w:line="480" w:lineRule="auto"/>
        <w:ind w:firstLine="720"/>
        <w:rPr>
          <w:rFonts w:ascii="Times New Roman" w:eastAsia="Calibri" w:hAnsi="Times New Roman" w:cs="Times New Roman"/>
          <w:sz w:val="28"/>
          <w:szCs w:val="28"/>
        </w:rPr>
      </w:pPr>
      <w:r w:rsidRPr="006262D2">
        <w:rPr>
          <w:rFonts w:ascii="Times New Roman" w:eastAsia="Calibri" w:hAnsi="Times New Roman" w:cs="Times New Roman"/>
          <w:noProof/>
          <w:sz w:val="28"/>
          <w:szCs w:val="28"/>
        </w:rPr>
        <w:lastRenderedPageBreak/>
        <w:drawing>
          <wp:inline distT="0" distB="0" distL="0" distR="0" wp14:anchorId="331AED5C" wp14:editId="321675B8">
            <wp:extent cx="5943600" cy="44016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01606"/>
                    </a:xfrm>
                    <a:prstGeom prst="rect">
                      <a:avLst/>
                    </a:prstGeom>
                    <a:noFill/>
                    <a:ln>
                      <a:noFill/>
                    </a:ln>
                  </pic:spPr>
                </pic:pic>
              </a:graphicData>
            </a:graphic>
          </wp:inline>
        </w:drawing>
      </w:r>
    </w:p>
    <w:p w14:paraId="3113E72E" w14:textId="7F9127DD" w:rsidR="00612E61" w:rsidRDefault="00EF312D" w:rsidP="006F5D19">
      <w:pPr>
        <w:spacing w:after="0" w:line="480" w:lineRule="auto"/>
        <w:ind w:firstLine="720"/>
        <w:rPr>
          <w:rFonts w:ascii="Times New Roman" w:eastAsia="Calibri" w:hAnsi="Times New Roman" w:cs="Times New Roman"/>
          <w:sz w:val="28"/>
          <w:szCs w:val="28"/>
        </w:rPr>
      </w:pPr>
      <w:r w:rsidRPr="00EF312D">
        <w:rPr>
          <w:rFonts w:ascii="Times New Roman" w:eastAsia="Calibri" w:hAnsi="Times New Roman" w:cs="Times New Roman"/>
          <w:noProof/>
          <w:sz w:val="28"/>
          <w:szCs w:val="28"/>
        </w:rPr>
        <w:drawing>
          <wp:inline distT="0" distB="0" distL="0" distR="0" wp14:anchorId="39556EF7" wp14:editId="72310AC4">
            <wp:extent cx="5943600" cy="3168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68740"/>
                    </a:xfrm>
                    <a:prstGeom prst="rect">
                      <a:avLst/>
                    </a:prstGeom>
                    <a:noFill/>
                    <a:ln>
                      <a:noFill/>
                    </a:ln>
                  </pic:spPr>
                </pic:pic>
              </a:graphicData>
            </a:graphic>
          </wp:inline>
        </w:drawing>
      </w:r>
    </w:p>
    <w:p w14:paraId="300F0ED6" w14:textId="2D7ED215" w:rsidR="006F5D19" w:rsidRPr="001B5A2B" w:rsidRDefault="00D4054E" w:rsidP="006F5D19">
      <w:pPr>
        <w:spacing w:after="0" w:line="480" w:lineRule="auto"/>
        <w:ind w:firstLine="720"/>
        <w:rPr>
          <w:rFonts w:ascii="Times New Roman" w:eastAsia="Calibri" w:hAnsi="Times New Roman" w:cs="Times New Roman"/>
          <w:color w:val="000000"/>
          <w:sz w:val="28"/>
          <w:szCs w:val="28"/>
        </w:rPr>
      </w:pPr>
      <w:r>
        <w:rPr>
          <w:rFonts w:ascii="Times New Roman" w:eastAsia="Calibri" w:hAnsi="Times New Roman" w:cs="Times New Roman"/>
          <w:sz w:val="28"/>
          <w:szCs w:val="28"/>
        </w:rPr>
        <w:lastRenderedPageBreak/>
        <w:t>As stated in Plaintiffs’ complaint, a chain of title to the Plaintiffs’ debts does not exist. Without any evidence that Cavalry owns even the pool of debts</w:t>
      </w:r>
      <w:r w:rsidR="00001853">
        <w:rPr>
          <w:rFonts w:ascii="Times New Roman" w:eastAsia="Calibri" w:hAnsi="Times New Roman" w:cs="Times New Roman"/>
          <w:sz w:val="28"/>
          <w:szCs w:val="28"/>
        </w:rPr>
        <w:t xml:space="preserve"> that they claim the specific plaintiffs are part of but offer no proof, t</w:t>
      </w:r>
      <w:r w:rsidR="006F5D19">
        <w:rPr>
          <w:rFonts w:ascii="Times New Roman" w:eastAsia="Calibri" w:hAnsi="Times New Roman" w:cs="Times New Roman"/>
          <w:sz w:val="28"/>
          <w:szCs w:val="28"/>
        </w:rPr>
        <w:t xml:space="preserve">he Plaintiffs would first point out that the underlying complaint clearly and unequivocally alleged that SPV was not the </w:t>
      </w:r>
      <w:r w:rsidR="006A00F8">
        <w:rPr>
          <w:rFonts w:ascii="Times New Roman" w:eastAsia="Calibri" w:hAnsi="Times New Roman" w:cs="Times New Roman"/>
          <w:sz w:val="28"/>
          <w:szCs w:val="28"/>
        </w:rPr>
        <w:t xml:space="preserve">real or </w:t>
      </w:r>
      <w:r w:rsidR="006F5D19">
        <w:rPr>
          <w:rFonts w:ascii="Times New Roman" w:eastAsia="Calibri" w:hAnsi="Times New Roman" w:cs="Times New Roman"/>
          <w:sz w:val="28"/>
          <w:szCs w:val="28"/>
        </w:rPr>
        <w:t xml:space="preserve">proper party to bring the collection suits at issue.  </w:t>
      </w:r>
      <w:r w:rsidR="006A00F8">
        <w:rPr>
          <w:rFonts w:ascii="Times New Roman" w:eastAsia="Calibri" w:hAnsi="Times New Roman" w:cs="Times New Roman"/>
          <w:sz w:val="28"/>
          <w:szCs w:val="28"/>
        </w:rPr>
        <w:t>The</w:t>
      </w:r>
      <w:r w:rsidR="006F5D19">
        <w:rPr>
          <w:rFonts w:ascii="Times New Roman" w:eastAsia="Calibri" w:hAnsi="Times New Roman" w:cs="Times New Roman"/>
          <w:color w:val="000000"/>
          <w:sz w:val="28"/>
          <w:szCs w:val="28"/>
        </w:rPr>
        <w:t xml:space="preserve"> Plaintiffs’ myriad (and non-exhaustive) claims extending the scope of this ligation </w:t>
      </w:r>
      <w:r w:rsidR="006A00F8">
        <w:rPr>
          <w:rFonts w:ascii="Times New Roman" w:eastAsia="Calibri" w:hAnsi="Times New Roman" w:cs="Times New Roman"/>
          <w:color w:val="000000"/>
          <w:sz w:val="28"/>
          <w:szCs w:val="28"/>
        </w:rPr>
        <w:t xml:space="preserve">well </w:t>
      </w:r>
      <w:r w:rsidR="006F5D19">
        <w:rPr>
          <w:rFonts w:ascii="Times New Roman" w:eastAsia="Calibri" w:hAnsi="Times New Roman" w:cs="Times New Roman"/>
          <w:color w:val="000000"/>
          <w:sz w:val="28"/>
          <w:szCs w:val="28"/>
        </w:rPr>
        <w:t xml:space="preserve">beyond </w:t>
      </w:r>
      <w:r w:rsidR="006F5D19" w:rsidRPr="005B6A58">
        <w:rPr>
          <w:rFonts w:ascii="Times New Roman" w:eastAsia="Calibri" w:hAnsi="Times New Roman" w:cs="Times New Roman"/>
          <w:i/>
          <w:color w:val="000000"/>
          <w:sz w:val="28"/>
          <w:szCs w:val="28"/>
        </w:rPr>
        <w:t>Harvey</w:t>
      </w:r>
      <w:r w:rsidR="006F5D19">
        <w:rPr>
          <w:rFonts w:ascii="Times New Roman" w:eastAsia="Calibri" w:hAnsi="Times New Roman" w:cs="Times New Roman"/>
          <w:color w:val="000000"/>
          <w:sz w:val="28"/>
          <w:szCs w:val="28"/>
        </w:rPr>
        <w:t xml:space="preserve"> include</w:t>
      </w:r>
      <w:r w:rsidR="006F5D19" w:rsidRPr="001B5A2B">
        <w:rPr>
          <w:rFonts w:ascii="Times New Roman" w:eastAsia="Calibri" w:hAnsi="Times New Roman" w:cs="Times New Roman"/>
          <w:color w:val="000000"/>
          <w:sz w:val="28"/>
          <w:szCs w:val="28"/>
        </w:rPr>
        <w:t xml:space="preserve">- </w:t>
      </w:r>
    </w:p>
    <w:p w14:paraId="4CB8E542" w14:textId="77777777" w:rsidR="006F5D19" w:rsidRPr="00205577" w:rsidRDefault="006F5D19" w:rsidP="006F5D19">
      <w:pPr>
        <w:spacing w:after="0" w:line="480" w:lineRule="auto"/>
        <w:ind w:firstLine="720"/>
        <w:rPr>
          <w:rFonts w:ascii="Times New Roman" w:eastAsia="Calibri" w:hAnsi="Times New Roman" w:cs="Times New Roman"/>
          <w:color w:val="000000"/>
          <w:sz w:val="28"/>
          <w:szCs w:val="28"/>
        </w:rPr>
      </w:pPr>
      <w:r w:rsidRPr="00205577">
        <w:rPr>
          <w:rFonts w:ascii="Times New Roman" w:eastAsia="Calibri" w:hAnsi="Times New Roman" w:cs="Times New Roman"/>
          <w:b/>
          <w:color w:val="000000"/>
          <w:sz w:val="28"/>
          <w:szCs w:val="28"/>
        </w:rPr>
        <w:t>(a)</w:t>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i/>
          <w:color w:val="000000"/>
          <w:sz w:val="28"/>
          <w:szCs w:val="28"/>
          <w:u w:val="single"/>
        </w:rPr>
        <w:t>Misrepresenting the amount(s) owed</w:t>
      </w:r>
      <w:r w:rsidRPr="00205577">
        <w:rPr>
          <w:rFonts w:ascii="Times New Roman" w:eastAsia="Calibri" w:hAnsi="Times New Roman" w:cs="Times New Roman"/>
          <w:color w:val="000000"/>
          <w:sz w:val="28"/>
          <w:szCs w:val="28"/>
        </w:rPr>
        <w:t xml:space="preserve"> by each respective Plaintiff </w:t>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t>(Paragraph 2 of the originating complaint in this matter)</w:t>
      </w:r>
    </w:p>
    <w:p w14:paraId="6C3FF3AF" w14:textId="77777777" w:rsidR="006F5D19" w:rsidRPr="00205577" w:rsidRDefault="006F5D19" w:rsidP="006F5D19">
      <w:pPr>
        <w:spacing w:after="0" w:line="480" w:lineRule="auto"/>
        <w:ind w:firstLine="720"/>
        <w:rPr>
          <w:rFonts w:ascii="Times New Roman" w:eastAsia="Calibri" w:hAnsi="Times New Roman" w:cs="Times New Roman"/>
          <w:color w:val="000000"/>
          <w:sz w:val="28"/>
          <w:szCs w:val="28"/>
        </w:rPr>
      </w:pPr>
      <w:r w:rsidRPr="00205577">
        <w:rPr>
          <w:rFonts w:ascii="Times New Roman" w:eastAsia="Calibri" w:hAnsi="Times New Roman" w:cs="Times New Roman"/>
          <w:b/>
          <w:color w:val="000000"/>
          <w:sz w:val="28"/>
          <w:szCs w:val="28"/>
        </w:rPr>
        <w:t>(b)</w:t>
      </w:r>
      <w:r w:rsidRPr="00205577">
        <w:rPr>
          <w:rFonts w:ascii="Times New Roman" w:eastAsia="Calibri" w:hAnsi="Times New Roman" w:cs="Times New Roman"/>
          <w:color w:val="000000"/>
          <w:sz w:val="28"/>
          <w:szCs w:val="28"/>
        </w:rPr>
        <w:tab/>
        <w:t xml:space="preserve">That the amounts alleged to be owed in the corresponding state court </w:t>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t xml:space="preserve">lawsuits are </w:t>
      </w:r>
      <w:r w:rsidRPr="00205577">
        <w:rPr>
          <w:rFonts w:ascii="Times New Roman" w:eastAsia="Calibri" w:hAnsi="Times New Roman" w:cs="Times New Roman"/>
          <w:i/>
          <w:color w:val="000000"/>
          <w:sz w:val="28"/>
          <w:szCs w:val="28"/>
          <w:u w:val="single"/>
        </w:rPr>
        <w:t>not authorized by agreement</w:t>
      </w:r>
      <w:r w:rsidRPr="00205577">
        <w:rPr>
          <w:rFonts w:ascii="Times New Roman" w:eastAsia="Calibri" w:hAnsi="Times New Roman" w:cs="Times New Roman"/>
          <w:color w:val="000000"/>
          <w:sz w:val="28"/>
          <w:szCs w:val="28"/>
        </w:rPr>
        <w:t xml:space="preserve"> (Paragraph 2)</w:t>
      </w:r>
    </w:p>
    <w:p w14:paraId="6C747130" w14:textId="77777777" w:rsidR="006F5D19" w:rsidRPr="00205577" w:rsidRDefault="006F5D19" w:rsidP="006F5D19">
      <w:pPr>
        <w:spacing w:after="0" w:line="480" w:lineRule="auto"/>
        <w:ind w:firstLine="720"/>
        <w:rPr>
          <w:rFonts w:ascii="Times New Roman" w:eastAsia="Calibri" w:hAnsi="Times New Roman" w:cs="Times New Roman"/>
          <w:color w:val="000000"/>
          <w:sz w:val="28"/>
          <w:szCs w:val="28"/>
        </w:rPr>
      </w:pPr>
      <w:r w:rsidRPr="00205577">
        <w:rPr>
          <w:rFonts w:ascii="Times New Roman" w:eastAsia="Calibri" w:hAnsi="Times New Roman" w:cs="Times New Roman"/>
          <w:b/>
          <w:color w:val="000000"/>
          <w:sz w:val="28"/>
          <w:szCs w:val="28"/>
        </w:rPr>
        <w:t>(c)</w:t>
      </w:r>
      <w:r w:rsidRPr="00205577">
        <w:rPr>
          <w:rFonts w:ascii="Times New Roman" w:eastAsia="Calibri" w:hAnsi="Times New Roman" w:cs="Times New Roman"/>
          <w:color w:val="000000"/>
          <w:sz w:val="28"/>
          <w:szCs w:val="28"/>
        </w:rPr>
        <w:tab/>
        <w:t xml:space="preserve">Defendants’ </w:t>
      </w:r>
      <w:r w:rsidRPr="006770D5">
        <w:rPr>
          <w:rFonts w:ascii="Times New Roman" w:eastAsia="Calibri" w:hAnsi="Times New Roman" w:cs="Times New Roman"/>
          <w:color w:val="000000"/>
          <w:sz w:val="28"/>
          <w:szCs w:val="28"/>
          <w:u w:val="single"/>
        </w:rPr>
        <w:t>purchasing of debt through purchase agreements which</w:t>
      </w:r>
      <w:r w:rsidRPr="006770D5">
        <w:rPr>
          <w:rFonts w:ascii="Times New Roman" w:eastAsia="Calibri" w:hAnsi="Times New Roman" w:cs="Times New Roman"/>
          <w:color w:val="000000"/>
          <w:sz w:val="28"/>
          <w:szCs w:val="28"/>
        </w:rPr>
        <w:t xml:space="preserve"> </w:t>
      </w:r>
      <w:r w:rsidRPr="006770D5">
        <w:rPr>
          <w:rFonts w:ascii="Times New Roman" w:eastAsia="Calibri" w:hAnsi="Times New Roman" w:cs="Times New Roman"/>
          <w:color w:val="000000"/>
          <w:sz w:val="28"/>
          <w:szCs w:val="28"/>
        </w:rPr>
        <w:tab/>
      </w:r>
      <w:r w:rsidRPr="006770D5">
        <w:rPr>
          <w:rFonts w:ascii="Times New Roman" w:eastAsia="Calibri" w:hAnsi="Times New Roman" w:cs="Times New Roman"/>
          <w:color w:val="000000"/>
          <w:sz w:val="28"/>
          <w:szCs w:val="28"/>
        </w:rPr>
        <w:tab/>
      </w:r>
      <w:r w:rsidRPr="006770D5">
        <w:rPr>
          <w:rFonts w:ascii="Times New Roman" w:eastAsia="Calibri" w:hAnsi="Times New Roman" w:cs="Times New Roman"/>
          <w:color w:val="000000"/>
          <w:sz w:val="28"/>
          <w:szCs w:val="28"/>
        </w:rPr>
        <w:tab/>
      </w:r>
      <w:r w:rsidRPr="006770D5">
        <w:rPr>
          <w:rFonts w:ascii="Times New Roman" w:eastAsia="Calibri" w:hAnsi="Times New Roman" w:cs="Times New Roman"/>
          <w:color w:val="000000"/>
          <w:sz w:val="28"/>
          <w:szCs w:val="28"/>
          <w:u w:val="single"/>
        </w:rPr>
        <w:t xml:space="preserve">demonstrably </w:t>
      </w:r>
      <w:r w:rsidRPr="00205577">
        <w:rPr>
          <w:rFonts w:ascii="Times New Roman" w:eastAsia="Calibri" w:hAnsi="Times New Roman" w:cs="Times New Roman"/>
          <w:i/>
          <w:color w:val="000000"/>
          <w:sz w:val="28"/>
          <w:szCs w:val="28"/>
          <w:u w:val="single"/>
        </w:rPr>
        <w:t xml:space="preserve">disavow responsibility for the accuracy of the </w:t>
      </w:r>
      <w:r w:rsidRPr="00205577">
        <w:rPr>
          <w:rFonts w:ascii="Times New Roman" w:eastAsia="Calibri" w:hAnsi="Times New Roman" w:cs="Times New Roman"/>
          <w:i/>
          <w:color w:val="000000"/>
          <w:sz w:val="28"/>
          <w:szCs w:val="28"/>
        </w:rPr>
        <w:tab/>
      </w:r>
      <w:r w:rsidRPr="00205577">
        <w:rPr>
          <w:rFonts w:ascii="Times New Roman" w:eastAsia="Calibri" w:hAnsi="Times New Roman" w:cs="Times New Roman"/>
          <w:i/>
          <w:color w:val="000000"/>
          <w:sz w:val="28"/>
          <w:szCs w:val="28"/>
        </w:rPr>
        <w:tab/>
      </w:r>
      <w:r w:rsidRPr="00205577">
        <w:rPr>
          <w:rFonts w:ascii="Times New Roman" w:eastAsia="Calibri" w:hAnsi="Times New Roman" w:cs="Times New Roman"/>
          <w:i/>
          <w:color w:val="000000"/>
          <w:sz w:val="28"/>
          <w:szCs w:val="28"/>
        </w:rPr>
        <w:tab/>
      </w:r>
      <w:r w:rsidRPr="00205577">
        <w:rPr>
          <w:rFonts w:ascii="Times New Roman" w:eastAsia="Calibri" w:hAnsi="Times New Roman" w:cs="Times New Roman"/>
          <w:i/>
          <w:color w:val="000000"/>
          <w:sz w:val="28"/>
          <w:szCs w:val="28"/>
        </w:rPr>
        <w:tab/>
      </w:r>
      <w:r w:rsidRPr="00205577">
        <w:rPr>
          <w:rFonts w:ascii="Times New Roman" w:eastAsia="Calibri" w:hAnsi="Times New Roman" w:cs="Times New Roman"/>
          <w:i/>
          <w:color w:val="000000"/>
          <w:sz w:val="28"/>
          <w:szCs w:val="28"/>
          <w:u w:val="single"/>
        </w:rPr>
        <w:t xml:space="preserve">information </w:t>
      </w:r>
      <w:r w:rsidRPr="00205577">
        <w:rPr>
          <w:rFonts w:ascii="Times New Roman" w:eastAsia="Calibri" w:hAnsi="Times New Roman" w:cs="Times New Roman"/>
          <w:i/>
          <w:color w:val="000000"/>
          <w:sz w:val="28"/>
          <w:szCs w:val="28"/>
          <w:u w:val="single"/>
        </w:rPr>
        <w:tab/>
      </w:r>
      <w:r w:rsidRPr="006770D5">
        <w:rPr>
          <w:rFonts w:ascii="Times New Roman" w:eastAsia="Calibri" w:hAnsi="Times New Roman" w:cs="Times New Roman"/>
          <w:color w:val="000000"/>
          <w:sz w:val="28"/>
          <w:szCs w:val="28"/>
          <w:u w:val="single"/>
        </w:rPr>
        <w:t>contained in the spreadsheet upon which they are based</w:t>
      </w:r>
      <w:r w:rsidRPr="006770D5">
        <w:rPr>
          <w:rFonts w:ascii="Times New Roman" w:eastAsia="Calibri" w:hAnsi="Times New Roman" w:cs="Times New Roman"/>
          <w:color w:val="000000"/>
          <w:sz w:val="28"/>
          <w:szCs w:val="28"/>
        </w:rPr>
        <w:t xml:space="preserve">, </w:t>
      </w:r>
      <w:r w:rsidRPr="006770D5">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t xml:space="preserve">which given the dearth of additional documentation otherwise </w:t>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t xml:space="preserve">provided seemingly leaves the </w:t>
      </w:r>
      <w:r w:rsidRPr="00205577">
        <w:rPr>
          <w:rFonts w:ascii="Times New Roman" w:eastAsia="Calibri" w:hAnsi="Times New Roman" w:cs="Times New Roman"/>
          <w:color w:val="000000"/>
          <w:sz w:val="28"/>
          <w:szCs w:val="28"/>
        </w:rPr>
        <w:tab/>
        <w:t xml:space="preserve">Defendants with no tangible way to </w:t>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t xml:space="preserve">prove they are in fact owed the </w:t>
      </w:r>
      <w:r w:rsidRPr="00205577">
        <w:rPr>
          <w:rFonts w:ascii="Times New Roman" w:eastAsia="Calibri" w:hAnsi="Times New Roman" w:cs="Times New Roman"/>
          <w:color w:val="000000"/>
          <w:sz w:val="28"/>
          <w:szCs w:val="28"/>
        </w:rPr>
        <w:tab/>
        <w:t>amounts they claim (Paragraph 51)</w:t>
      </w:r>
    </w:p>
    <w:p w14:paraId="4A273EF0" w14:textId="77777777" w:rsidR="006F5D19" w:rsidRPr="00205577" w:rsidRDefault="006F5D19" w:rsidP="006F5D19">
      <w:pPr>
        <w:spacing w:after="0" w:line="480" w:lineRule="auto"/>
        <w:ind w:firstLine="720"/>
        <w:rPr>
          <w:rFonts w:ascii="Times New Roman" w:eastAsia="Calibri" w:hAnsi="Times New Roman" w:cs="Times New Roman"/>
          <w:color w:val="000000"/>
          <w:sz w:val="28"/>
          <w:szCs w:val="28"/>
        </w:rPr>
      </w:pPr>
      <w:r w:rsidRPr="00205577">
        <w:rPr>
          <w:rFonts w:ascii="Times New Roman" w:eastAsia="Calibri" w:hAnsi="Times New Roman" w:cs="Times New Roman"/>
          <w:b/>
          <w:color w:val="000000"/>
          <w:sz w:val="28"/>
          <w:szCs w:val="28"/>
        </w:rPr>
        <w:t>(d)</w:t>
      </w:r>
      <w:r w:rsidRPr="00205577">
        <w:rPr>
          <w:rFonts w:ascii="Times New Roman" w:eastAsia="Calibri" w:hAnsi="Times New Roman" w:cs="Times New Roman"/>
          <w:color w:val="000000"/>
          <w:sz w:val="28"/>
          <w:szCs w:val="28"/>
        </w:rPr>
        <w:tab/>
        <w:t xml:space="preserve"> The </w:t>
      </w:r>
      <w:r w:rsidRPr="00205577">
        <w:rPr>
          <w:rFonts w:ascii="Times New Roman" w:eastAsia="Calibri" w:hAnsi="Times New Roman" w:cs="Times New Roman"/>
          <w:i/>
          <w:color w:val="000000"/>
          <w:sz w:val="28"/>
          <w:szCs w:val="28"/>
          <w:u w:val="single"/>
        </w:rPr>
        <w:t xml:space="preserve">lack of any representations demonstrated to have been made by </w:t>
      </w:r>
      <w:r w:rsidRPr="00205577">
        <w:rPr>
          <w:rFonts w:ascii="Times New Roman" w:eastAsia="Calibri" w:hAnsi="Times New Roman" w:cs="Times New Roman"/>
          <w:i/>
          <w:color w:val="000000"/>
          <w:sz w:val="28"/>
          <w:szCs w:val="28"/>
          <w:u w:val="single"/>
        </w:rPr>
        <w:tab/>
      </w:r>
      <w:r w:rsidRPr="00205577">
        <w:rPr>
          <w:rFonts w:ascii="Times New Roman" w:eastAsia="Calibri" w:hAnsi="Times New Roman" w:cs="Times New Roman"/>
          <w:i/>
          <w:color w:val="000000"/>
          <w:sz w:val="28"/>
          <w:szCs w:val="28"/>
        </w:rPr>
        <w:tab/>
      </w:r>
      <w:r w:rsidRPr="00205577">
        <w:rPr>
          <w:rFonts w:ascii="Times New Roman" w:eastAsia="Calibri" w:hAnsi="Times New Roman" w:cs="Times New Roman"/>
          <w:i/>
          <w:color w:val="000000"/>
          <w:sz w:val="28"/>
          <w:szCs w:val="28"/>
        </w:rPr>
        <w:tab/>
      </w:r>
      <w:r w:rsidRPr="00205577">
        <w:rPr>
          <w:rFonts w:ascii="Times New Roman" w:eastAsia="Calibri" w:hAnsi="Times New Roman" w:cs="Times New Roman"/>
          <w:i/>
          <w:color w:val="000000"/>
          <w:sz w:val="28"/>
          <w:szCs w:val="28"/>
          <w:u w:val="single"/>
        </w:rPr>
        <w:t xml:space="preserve">the purported original seller of the debts at issue (Citibank) to </w:t>
      </w:r>
      <w:r w:rsidRPr="00205577">
        <w:rPr>
          <w:rFonts w:ascii="Times New Roman" w:eastAsia="Calibri" w:hAnsi="Times New Roman" w:cs="Times New Roman"/>
          <w:i/>
          <w:color w:val="000000"/>
          <w:sz w:val="28"/>
          <w:szCs w:val="28"/>
        </w:rPr>
        <w:tab/>
      </w:r>
      <w:r w:rsidRPr="00205577">
        <w:rPr>
          <w:rFonts w:ascii="Times New Roman" w:eastAsia="Calibri" w:hAnsi="Times New Roman" w:cs="Times New Roman"/>
          <w:i/>
          <w:color w:val="000000"/>
          <w:sz w:val="28"/>
          <w:szCs w:val="28"/>
        </w:rPr>
        <w:tab/>
      </w:r>
      <w:r w:rsidRPr="00205577">
        <w:rPr>
          <w:rFonts w:ascii="Times New Roman" w:eastAsia="Calibri" w:hAnsi="Times New Roman" w:cs="Times New Roman"/>
          <w:i/>
          <w:color w:val="000000"/>
          <w:sz w:val="28"/>
          <w:szCs w:val="28"/>
        </w:rPr>
        <w:lastRenderedPageBreak/>
        <w:tab/>
      </w:r>
      <w:r w:rsidRPr="00205577">
        <w:rPr>
          <w:rFonts w:ascii="Times New Roman" w:eastAsia="Calibri" w:hAnsi="Times New Roman" w:cs="Times New Roman"/>
          <w:i/>
          <w:color w:val="000000"/>
          <w:sz w:val="28"/>
          <w:szCs w:val="28"/>
        </w:rPr>
        <w:tab/>
      </w:r>
      <w:r w:rsidRPr="00205577">
        <w:rPr>
          <w:rFonts w:ascii="Times New Roman" w:eastAsia="Calibri" w:hAnsi="Times New Roman" w:cs="Times New Roman"/>
          <w:i/>
          <w:color w:val="000000"/>
          <w:sz w:val="28"/>
          <w:szCs w:val="28"/>
          <w:u w:val="single"/>
        </w:rPr>
        <w:t>Cavalry regarding the accuracy of the information</w:t>
      </w:r>
      <w:r w:rsidRPr="00205577">
        <w:rPr>
          <w:rFonts w:ascii="Times New Roman" w:eastAsia="Calibri" w:hAnsi="Times New Roman" w:cs="Times New Roman"/>
          <w:color w:val="000000"/>
          <w:sz w:val="28"/>
          <w:szCs w:val="28"/>
        </w:rPr>
        <w:t xml:space="preserve"> they transferred to </w:t>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t xml:space="preserve">Cavalry </w:t>
      </w:r>
      <w:proofErr w:type="gramStart"/>
      <w:r w:rsidRPr="00205577">
        <w:rPr>
          <w:rFonts w:ascii="Times New Roman" w:eastAsia="Calibri" w:hAnsi="Times New Roman" w:cs="Times New Roman"/>
          <w:color w:val="000000"/>
          <w:sz w:val="28"/>
          <w:szCs w:val="28"/>
        </w:rPr>
        <w:t>during the course of</w:t>
      </w:r>
      <w:proofErr w:type="gramEnd"/>
      <w:r w:rsidRPr="00205577">
        <w:rPr>
          <w:rFonts w:ascii="Times New Roman" w:eastAsia="Calibri" w:hAnsi="Times New Roman" w:cs="Times New Roman"/>
          <w:color w:val="000000"/>
          <w:sz w:val="28"/>
          <w:szCs w:val="28"/>
        </w:rPr>
        <w:t xml:space="preserve"> the claimed sale (Paragraph </w:t>
      </w:r>
      <w:r w:rsidRPr="00205577">
        <w:rPr>
          <w:rFonts w:ascii="Times New Roman" w:eastAsia="Calibri" w:hAnsi="Times New Roman" w:cs="Times New Roman"/>
          <w:color w:val="000000"/>
          <w:sz w:val="28"/>
          <w:szCs w:val="28"/>
        </w:rPr>
        <w:tab/>
        <w:t>52).</w:t>
      </w:r>
    </w:p>
    <w:p w14:paraId="5EA66ACE" w14:textId="12484D6D" w:rsidR="006F5D19" w:rsidRPr="00205577" w:rsidRDefault="006F5D19" w:rsidP="00787314">
      <w:pPr>
        <w:spacing w:after="0" w:line="480" w:lineRule="auto"/>
        <w:ind w:left="1440" w:hanging="720"/>
        <w:rPr>
          <w:rFonts w:ascii="Times New Roman" w:eastAsia="Calibri" w:hAnsi="Times New Roman" w:cs="Times New Roman"/>
          <w:color w:val="000000"/>
          <w:sz w:val="28"/>
          <w:szCs w:val="28"/>
        </w:rPr>
      </w:pPr>
      <w:r w:rsidRPr="00205577">
        <w:rPr>
          <w:rFonts w:ascii="Times New Roman" w:eastAsia="Calibri" w:hAnsi="Times New Roman" w:cs="Times New Roman"/>
          <w:b/>
          <w:color w:val="000000"/>
          <w:sz w:val="28"/>
          <w:szCs w:val="28"/>
        </w:rPr>
        <w:t>(e)</w:t>
      </w:r>
      <w:r w:rsidRPr="00205577">
        <w:rPr>
          <w:rFonts w:ascii="Times New Roman" w:eastAsia="Calibri" w:hAnsi="Times New Roman" w:cs="Times New Roman"/>
          <w:color w:val="000000"/>
          <w:sz w:val="28"/>
          <w:szCs w:val="28"/>
        </w:rPr>
        <w:t xml:space="preserve"> </w:t>
      </w:r>
      <w:r w:rsidRPr="00205577">
        <w:rPr>
          <w:rFonts w:ascii="Times New Roman" w:eastAsia="Calibri" w:hAnsi="Times New Roman" w:cs="Times New Roman"/>
          <w:color w:val="000000"/>
          <w:sz w:val="28"/>
          <w:szCs w:val="28"/>
        </w:rPr>
        <w:tab/>
      </w:r>
      <w:r w:rsidRPr="000941E7">
        <w:rPr>
          <w:rFonts w:ascii="Times New Roman" w:eastAsia="Calibri" w:hAnsi="Times New Roman" w:cs="Times New Roman"/>
          <w:color w:val="000000"/>
          <w:sz w:val="28"/>
          <w:szCs w:val="28"/>
        </w:rPr>
        <w:t xml:space="preserve">No </w:t>
      </w:r>
      <w:r w:rsidRPr="00205577">
        <w:rPr>
          <w:rFonts w:ascii="Times New Roman" w:eastAsia="Calibri" w:hAnsi="Times New Roman" w:cs="Times New Roman"/>
          <w:i/>
          <w:color w:val="000000"/>
          <w:sz w:val="28"/>
          <w:szCs w:val="28"/>
          <w:u w:val="single"/>
        </w:rPr>
        <w:t xml:space="preserve">valid </w:t>
      </w:r>
      <w:r w:rsidR="006A00F8">
        <w:rPr>
          <w:rFonts w:ascii="Times New Roman" w:eastAsia="Calibri" w:hAnsi="Times New Roman" w:cs="Times New Roman"/>
          <w:i/>
          <w:color w:val="000000"/>
          <w:sz w:val="28"/>
          <w:szCs w:val="28"/>
          <w:u w:val="single"/>
        </w:rPr>
        <w:t xml:space="preserve">and </w:t>
      </w:r>
      <w:r w:rsidR="00787314">
        <w:rPr>
          <w:rFonts w:ascii="Times New Roman" w:eastAsia="Calibri" w:hAnsi="Times New Roman" w:cs="Times New Roman"/>
          <w:i/>
          <w:color w:val="000000"/>
          <w:sz w:val="28"/>
          <w:szCs w:val="28"/>
          <w:u w:val="single"/>
        </w:rPr>
        <w:t xml:space="preserve">specific debt </w:t>
      </w:r>
      <w:r w:rsidRPr="000941E7">
        <w:rPr>
          <w:rFonts w:ascii="Times New Roman" w:eastAsia="Calibri" w:hAnsi="Times New Roman" w:cs="Times New Roman"/>
          <w:color w:val="000000"/>
          <w:sz w:val="28"/>
          <w:szCs w:val="28"/>
          <w:u w:val="single"/>
        </w:rPr>
        <w:t>assignment</w:t>
      </w:r>
      <w:r w:rsidRPr="00205577">
        <w:rPr>
          <w:rFonts w:ascii="Times New Roman" w:eastAsia="Calibri" w:hAnsi="Times New Roman" w:cs="Times New Roman"/>
          <w:color w:val="000000"/>
          <w:sz w:val="28"/>
          <w:szCs w:val="28"/>
        </w:rPr>
        <w:t xml:space="preserve"> between Citibank and Cavalry (Paragraph 68)</w:t>
      </w:r>
      <w:r w:rsidR="00787314">
        <w:rPr>
          <w:rFonts w:ascii="Times New Roman" w:eastAsia="Calibri" w:hAnsi="Times New Roman" w:cs="Times New Roman"/>
          <w:color w:val="000000"/>
          <w:sz w:val="28"/>
          <w:szCs w:val="28"/>
        </w:rPr>
        <w:t>.</w:t>
      </w:r>
      <w:r w:rsidR="00696234">
        <w:rPr>
          <w:rFonts w:ascii="Times New Roman" w:eastAsia="Calibri" w:hAnsi="Times New Roman" w:cs="Times New Roman"/>
          <w:color w:val="000000"/>
          <w:sz w:val="28"/>
          <w:szCs w:val="28"/>
        </w:rPr>
        <w:t xml:space="preserve"> </w:t>
      </w:r>
      <w:r w:rsidR="0080315C">
        <w:rPr>
          <w:rFonts w:ascii="Times New Roman" w:eastAsia="Calibri" w:hAnsi="Times New Roman" w:cs="Times New Roman"/>
          <w:color w:val="000000"/>
          <w:sz w:val="28"/>
          <w:szCs w:val="28"/>
        </w:rPr>
        <w:t>In violation of MCL 566.132(1)(f), n</w:t>
      </w:r>
      <w:r w:rsidR="00696234">
        <w:rPr>
          <w:rFonts w:ascii="Times New Roman" w:eastAsia="Calibri" w:hAnsi="Times New Roman" w:cs="Times New Roman"/>
          <w:color w:val="000000"/>
          <w:sz w:val="28"/>
          <w:szCs w:val="28"/>
        </w:rPr>
        <w:t xml:space="preserve">one of the </w:t>
      </w:r>
      <w:r w:rsidR="00696234" w:rsidRPr="0080315C">
        <w:rPr>
          <w:rFonts w:ascii="Times New Roman" w:eastAsia="Calibri" w:hAnsi="Times New Roman" w:cs="Times New Roman"/>
          <w:i/>
          <w:color w:val="000000"/>
          <w:sz w:val="28"/>
          <w:szCs w:val="28"/>
        </w:rPr>
        <w:t xml:space="preserve">Bill of </w:t>
      </w:r>
      <w:r w:rsidR="0080315C">
        <w:rPr>
          <w:rFonts w:ascii="Times New Roman" w:eastAsia="Calibri" w:hAnsi="Times New Roman" w:cs="Times New Roman"/>
          <w:i/>
          <w:color w:val="000000"/>
          <w:sz w:val="28"/>
          <w:szCs w:val="28"/>
        </w:rPr>
        <w:t xml:space="preserve">Sale and </w:t>
      </w:r>
      <w:r w:rsidR="00696234" w:rsidRPr="0080315C">
        <w:rPr>
          <w:rFonts w:ascii="Times New Roman" w:eastAsia="Calibri" w:hAnsi="Times New Roman" w:cs="Times New Roman"/>
          <w:i/>
          <w:color w:val="000000"/>
          <w:sz w:val="28"/>
          <w:szCs w:val="28"/>
        </w:rPr>
        <w:t>Assignments</w:t>
      </w:r>
      <w:r w:rsidR="00A33469">
        <w:rPr>
          <w:rFonts w:ascii="Times New Roman" w:eastAsia="Calibri" w:hAnsi="Times New Roman" w:cs="Times New Roman"/>
          <w:color w:val="000000"/>
          <w:sz w:val="28"/>
          <w:szCs w:val="28"/>
        </w:rPr>
        <w:t xml:space="preserve"> </w:t>
      </w:r>
      <w:r w:rsidR="0080315C">
        <w:rPr>
          <w:rFonts w:ascii="Times New Roman" w:eastAsia="Calibri" w:hAnsi="Times New Roman" w:cs="Times New Roman"/>
          <w:color w:val="000000"/>
          <w:sz w:val="28"/>
          <w:szCs w:val="28"/>
        </w:rPr>
        <w:t xml:space="preserve">attached to the State lawsuits </w:t>
      </w:r>
      <w:r w:rsidR="00A33469">
        <w:rPr>
          <w:rFonts w:ascii="Times New Roman" w:eastAsia="Calibri" w:hAnsi="Times New Roman" w:cs="Times New Roman"/>
          <w:color w:val="000000"/>
          <w:sz w:val="28"/>
          <w:szCs w:val="28"/>
        </w:rPr>
        <w:t>by C</w:t>
      </w:r>
      <w:r w:rsidR="00976B86">
        <w:rPr>
          <w:rFonts w:ascii="Times New Roman" w:eastAsia="Calibri" w:hAnsi="Times New Roman" w:cs="Times New Roman"/>
          <w:color w:val="000000"/>
          <w:sz w:val="28"/>
          <w:szCs w:val="28"/>
        </w:rPr>
        <w:t>alvary</w:t>
      </w:r>
      <w:r w:rsidR="00A33469">
        <w:rPr>
          <w:rFonts w:ascii="Times New Roman" w:eastAsia="Calibri" w:hAnsi="Times New Roman" w:cs="Times New Roman"/>
          <w:color w:val="000000"/>
          <w:sz w:val="28"/>
          <w:szCs w:val="28"/>
        </w:rPr>
        <w:t xml:space="preserve"> and RVO</w:t>
      </w:r>
      <w:r w:rsidR="00021CF1">
        <w:rPr>
          <w:rFonts w:ascii="Times New Roman" w:eastAsia="Calibri" w:hAnsi="Times New Roman" w:cs="Times New Roman"/>
          <w:color w:val="000000"/>
          <w:sz w:val="28"/>
          <w:szCs w:val="28"/>
        </w:rPr>
        <w:t xml:space="preserve"> are signed by Cavalry</w:t>
      </w:r>
      <w:r w:rsidR="0080315C">
        <w:rPr>
          <w:rFonts w:ascii="Times New Roman" w:eastAsia="Calibri" w:hAnsi="Times New Roman" w:cs="Times New Roman"/>
          <w:color w:val="000000"/>
          <w:sz w:val="28"/>
          <w:szCs w:val="28"/>
        </w:rPr>
        <w:t>.</w:t>
      </w:r>
    </w:p>
    <w:p w14:paraId="315C5713" w14:textId="50FD9A4C" w:rsidR="006F5D19" w:rsidRPr="00205577" w:rsidRDefault="006F5D19" w:rsidP="00CD7CEA">
      <w:pPr>
        <w:spacing w:after="0" w:line="480" w:lineRule="auto"/>
        <w:ind w:left="1440" w:hanging="720"/>
        <w:rPr>
          <w:rFonts w:ascii="Times New Roman" w:eastAsia="Calibri" w:hAnsi="Times New Roman" w:cs="Times New Roman"/>
          <w:color w:val="000000"/>
          <w:sz w:val="28"/>
          <w:szCs w:val="28"/>
        </w:rPr>
      </w:pPr>
      <w:r w:rsidRPr="00205577">
        <w:rPr>
          <w:rFonts w:ascii="Times New Roman" w:eastAsia="Calibri" w:hAnsi="Times New Roman" w:cs="Times New Roman"/>
          <w:b/>
          <w:color w:val="000000"/>
          <w:sz w:val="28"/>
          <w:szCs w:val="28"/>
        </w:rPr>
        <w:t>(f)</w:t>
      </w:r>
      <w:r w:rsidRPr="00205577">
        <w:rPr>
          <w:rFonts w:ascii="Times New Roman" w:eastAsia="Calibri" w:hAnsi="Times New Roman" w:cs="Times New Roman"/>
          <w:color w:val="000000"/>
          <w:sz w:val="28"/>
          <w:szCs w:val="28"/>
        </w:rPr>
        <w:t xml:space="preserve"> </w:t>
      </w:r>
      <w:r w:rsidRPr="00205577">
        <w:rPr>
          <w:rFonts w:ascii="Times New Roman" w:eastAsia="Calibri" w:hAnsi="Times New Roman" w:cs="Times New Roman"/>
          <w:color w:val="000000"/>
          <w:sz w:val="28"/>
          <w:szCs w:val="28"/>
        </w:rPr>
        <w:tab/>
        <w:t xml:space="preserve">Lack of written assignment of debt </w:t>
      </w:r>
      <w:r w:rsidRPr="00205577">
        <w:rPr>
          <w:rFonts w:ascii="Times New Roman" w:eastAsia="Calibri" w:hAnsi="Times New Roman" w:cs="Times New Roman"/>
          <w:i/>
          <w:color w:val="000000"/>
          <w:sz w:val="28"/>
          <w:szCs w:val="28"/>
          <w:u w:val="single"/>
        </w:rPr>
        <w:t>containing authorized signature</w:t>
      </w:r>
      <w:r w:rsidRPr="00205577">
        <w:rPr>
          <w:rFonts w:ascii="Times New Roman" w:eastAsia="Calibri" w:hAnsi="Times New Roman" w:cs="Times New Roman"/>
          <w:color w:val="000000"/>
          <w:sz w:val="28"/>
          <w:szCs w:val="28"/>
        </w:rPr>
        <w:t xml:space="preserve"> as required by the party to be charged with an agreement or contract under </w:t>
      </w:r>
      <w:r w:rsidRPr="00205577">
        <w:rPr>
          <w:rFonts w:ascii="Times New Roman" w:eastAsia="Calibri" w:hAnsi="Times New Roman" w:cs="Times New Roman"/>
          <w:color w:val="000000"/>
          <w:sz w:val="28"/>
          <w:szCs w:val="28"/>
        </w:rPr>
        <w:tab/>
        <w:t>Michigan law</w:t>
      </w:r>
      <w:r w:rsidR="0080315C">
        <w:rPr>
          <w:rFonts w:ascii="Times New Roman" w:eastAsia="Calibri" w:hAnsi="Times New Roman" w:cs="Times New Roman"/>
          <w:color w:val="000000"/>
          <w:sz w:val="28"/>
          <w:szCs w:val="28"/>
        </w:rPr>
        <w:t xml:space="preserve"> (MCL 566.132(1) (f)</w:t>
      </w:r>
      <w:r w:rsidRPr="00205577">
        <w:rPr>
          <w:rFonts w:ascii="Times New Roman" w:eastAsia="Calibri" w:hAnsi="Times New Roman" w:cs="Times New Roman"/>
          <w:color w:val="000000"/>
          <w:sz w:val="28"/>
          <w:szCs w:val="28"/>
        </w:rPr>
        <w:t>,</w:t>
      </w:r>
      <w:r w:rsidR="00120E22">
        <w:rPr>
          <w:rFonts w:ascii="Times New Roman" w:eastAsia="Calibri" w:hAnsi="Times New Roman" w:cs="Times New Roman"/>
          <w:color w:val="000000"/>
          <w:sz w:val="28"/>
          <w:szCs w:val="28"/>
        </w:rPr>
        <w:t xml:space="preserve"> </w:t>
      </w:r>
      <w:r w:rsidRPr="00205577">
        <w:rPr>
          <w:rFonts w:ascii="Times New Roman" w:eastAsia="Calibri" w:hAnsi="Times New Roman" w:cs="Times New Roman"/>
          <w:color w:val="000000"/>
          <w:sz w:val="28"/>
          <w:szCs w:val="28"/>
        </w:rPr>
        <w:t xml:space="preserve">(Paragraphs 69 and 70)- </w:t>
      </w:r>
      <w:r w:rsidRPr="00205577">
        <w:rPr>
          <w:rFonts w:ascii="Times New Roman" w:eastAsia="Calibri" w:hAnsi="Times New Roman" w:cs="Times New Roman"/>
          <w:color w:val="000000"/>
          <w:sz w:val="28"/>
          <w:szCs w:val="28"/>
          <w:u w:val="single"/>
        </w:rPr>
        <w:t>this runs directly contrary to the Defendants’</w:t>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u w:val="single"/>
        </w:rPr>
        <w:t>false suggestion in their Motion that “there is no such requirement” in Michigan or under the FDCPA</w:t>
      </w:r>
    </w:p>
    <w:p w14:paraId="3E853F81" w14:textId="77777777" w:rsidR="006F5D19" w:rsidRPr="00205577" w:rsidRDefault="006F5D19" w:rsidP="006F5D19">
      <w:pPr>
        <w:spacing w:after="0" w:line="480" w:lineRule="auto"/>
        <w:ind w:firstLine="720"/>
        <w:rPr>
          <w:rFonts w:ascii="Times New Roman" w:eastAsia="Calibri" w:hAnsi="Times New Roman" w:cs="Times New Roman"/>
          <w:color w:val="000000"/>
          <w:sz w:val="28"/>
          <w:szCs w:val="28"/>
        </w:rPr>
      </w:pPr>
      <w:r w:rsidRPr="00205577">
        <w:rPr>
          <w:rFonts w:ascii="Times New Roman" w:eastAsia="Calibri" w:hAnsi="Times New Roman" w:cs="Times New Roman"/>
          <w:b/>
          <w:color w:val="000000"/>
          <w:sz w:val="28"/>
          <w:szCs w:val="28"/>
        </w:rPr>
        <w:t>(g)</w:t>
      </w:r>
      <w:r w:rsidRPr="00205577">
        <w:rPr>
          <w:rFonts w:ascii="Times New Roman" w:eastAsia="Calibri" w:hAnsi="Times New Roman" w:cs="Times New Roman"/>
          <w:color w:val="000000"/>
          <w:sz w:val="28"/>
          <w:szCs w:val="28"/>
        </w:rPr>
        <w:tab/>
        <w:t xml:space="preserve">Contracts at issue were assigned to Defendant Roosen by CPS and </w:t>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t xml:space="preserve">Cavalry in contravention of MCL 339.901(e) which stipulate that </w:t>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t xml:space="preserve">creditor or principal </w:t>
      </w:r>
      <w:r w:rsidRPr="00205577">
        <w:rPr>
          <w:rFonts w:ascii="Times New Roman" w:eastAsia="Calibri" w:hAnsi="Times New Roman" w:cs="Times New Roman"/>
          <w:i/>
          <w:color w:val="000000"/>
          <w:sz w:val="28"/>
          <w:szCs w:val="28"/>
          <w:u w:val="single"/>
        </w:rPr>
        <w:t xml:space="preserve">shall not include a person who receives the </w:t>
      </w:r>
      <w:r w:rsidRPr="00205577">
        <w:rPr>
          <w:rFonts w:ascii="Times New Roman" w:eastAsia="Calibri" w:hAnsi="Times New Roman" w:cs="Times New Roman"/>
          <w:i/>
          <w:color w:val="000000"/>
          <w:sz w:val="28"/>
          <w:szCs w:val="28"/>
        </w:rPr>
        <w:tab/>
      </w:r>
      <w:r w:rsidRPr="00205577">
        <w:rPr>
          <w:rFonts w:ascii="Times New Roman" w:eastAsia="Calibri" w:hAnsi="Times New Roman" w:cs="Times New Roman"/>
          <w:i/>
          <w:color w:val="000000"/>
          <w:sz w:val="28"/>
          <w:szCs w:val="28"/>
        </w:rPr>
        <w:tab/>
      </w:r>
      <w:r w:rsidRPr="00205577">
        <w:rPr>
          <w:rFonts w:ascii="Times New Roman" w:eastAsia="Calibri" w:hAnsi="Times New Roman" w:cs="Times New Roman"/>
          <w:i/>
          <w:color w:val="000000"/>
          <w:sz w:val="28"/>
          <w:szCs w:val="28"/>
        </w:rPr>
        <w:tab/>
      </w:r>
      <w:r w:rsidRPr="00205577">
        <w:rPr>
          <w:rFonts w:ascii="Times New Roman" w:eastAsia="Calibri" w:hAnsi="Times New Roman" w:cs="Times New Roman"/>
          <w:i/>
          <w:color w:val="000000"/>
          <w:sz w:val="28"/>
          <w:szCs w:val="28"/>
          <w:u w:val="single"/>
        </w:rPr>
        <w:t xml:space="preserve">assignment or transfer of debt solely </w:t>
      </w:r>
      <w:proofErr w:type="gramStart"/>
      <w:r w:rsidRPr="00205577">
        <w:rPr>
          <w:rFonts w:ascii="Times New Roman" w:eastAsia="Calibri" w:hAnsi="Times New Roman" w:cs="Times New Roman"/>
          <w:i/>
          <w:color w:val="000000"/>
          <w:sz w:val="28"/>
          <w:szCs w:val="28"/>
          <w:u w:val="single"/>
        </w:rPr>
        <w:t>for the purpose of</w:t>
      </w:r>
      <w:proofErr w:type="gramEnd"/>
      <w:r w:rsidRPr="00205577">
        <w:rPr>
          <w:rFonts w:ascii="Times New Roman" w:eastAsia="Calibri" w:hAnsi="Times New Roman" w:cs="Times New Roman"/>
          <w:i/>
          <w:color w:val="000000"/>
          <w:sz w:val="28"/>
          <w:szCs w:val="28"/>
          <w:u w:val="single"/>
        </w:rPr>
        <w:t xml:space="preserve"> facilitating</w:t>
      </w:r>
      <w:r w:rsidRPr="00205577">
        <w:rPr>
          <w:rFonts w:ascii="Times New Roman" w:eastAsia="Calibri" w:hAnsi="Times New Roman" w:cs="Times New Roman"/>
          <w:i/>
          <w:color w:val="000000"/>
          <w:sz w:val="28"/>
          <w:szCs w:val="28"/>
        </w:rPr>
        <w:t xml:space="preserve"> </w:t>
      </w:r>
      <w:r w:rsidRPr="00205577">
        <w:rPr>
          <w:rFonts w:ascii="Times New Roman" w:eastAsia="Calibri" w:hAnsi="Times New Roman" w:cs="Times New Roman"/>
          <w:i/>
          <w:color w:val="000000"/>
          <w:sz w:val="28"/>
          <w:szCs w:val="28"/>
        </w:rPr>
        <w:tab/>
      </w:r>
      <w:r w:rsidRPr="00205577">
        <w:rPr>
          <w:rFonts w:ascii="Times New Roman" w:eastAsia="Calibri" w:hAnsi="Times New Roman" w:cs="Times New Roman"/>
          <w:i/>
          <w:color w:val="000000"/>
          <w:sz w:val="28"/>
          <w:szCs w:val="28"/>
        </w:rPr>
        <w:tab/>
      </w:r>
      <w:r w:rsidRPr="00205577">
        <w:rPr>
          <w:rFonts w:ascii="Times New Roman" w:eastAsia="Calibri" w:hAnsi="Times New Roman" w:cs="Times New Roman"/>
          <w:i/>
          <w:color w:val="000000"/>
          <w:sz w:val="28"/>
          <w:szCs w:val="28"/>
        </w:rPr>
        <w:tab/>
      </w:r>
      <w:r w:rsidRPr="00205577">
        <w:rPr>
          <w:rFonts w:ascii="Times New Roman" w:eastAsia="Calibri" w:hAnsi="Times New Roman" w:cs="Times New Roman"/>
          <w:i/>
          <w:color w:val="000000"/>
          <w:sz w:val="28"/>
          <w:szCs w:val="28"/>
          <w:u w:val="single"/>
        </w:rPr>
        <w:t>collection of the debt for the assignor or transferor</w:t>
      </w:r>
      <w:r w:rsidRPr="00205577">
        <w:rPr>
          <w:rFonts w:ascii="Times New Roman" w:eastAsia="Calibri" w:hAnsi="Times New Roman" w:cs="Times New Roman"/>
          <w:color w:val="000000"/>
          <w:sz w:val="28"/>
          <w:szCs w:val="28"/>
        </w:rPr>
        <w:t xml:space="preserve"> (Paragraphs 74 </w:t>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t>and 75).</w:t>
      </w:r>
    </w:p>
    <w:p w14:paraId="18E21C45" w14:textId="77777777" w:rsidR="006F5D19" w:rsidRPr="00205577" w:rsidRDefault="006F5D19" w:rsidP="006F5D19">
      <w:pPr>
        <w:spacing w:after="0" w:line="480" w:lineRule="auto"/>
        <w:ind w:firstLine="720"/>
        <w:rPr>
          <w:rFonts w:ascii="Times New Roman" w:eastAsia="Calibri" w:hAnsi="Times New Roman" w:cs="Times New Roman"/>
          <w:color w:val="000000"/>
          <w:sz w:val="28"/>
          <w:szCs w:val="28"/>
        </w:rPr>
      </w:pPr>
      <w:r w:rsidRPr="00205577">
        <w:rPr>
          <w:rFonts w:ascii="Times New Roman" w:eastAsia="Calibri" w:hAnsi="Times New Roman" w:cs="Times New Roman"/>
          <w:b/>
          <w:color w:val="000000"/>
          <w:sz w:val="28"/>
          <w:szCs w:val="28"/>
        </w:rPr>
        <w:lastRenderedPageBreak/>
        <w:t>(h)</w:t>
      </w:r>
      <w:r w:rsidRPr="00205577">
        <w:rPr>
          <w:rFonts w:ascii="Times New Roman" w:eastAsia="Calibri" w:hAnsi="Times New Roman" w:cs="Times New Roman"/>
          <w:color w:val="000000"/>
          <w:sz w:val="28"/>
          <w:szCs w:val="28"/>
        </w:rPr>
        <w:t xml:space="preserve"> </w:t>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i/>
          <w:color w:val="000000"/>
          <w:sz w:val="28"/>
          <w:szCs w:val="28"/>
          <w:u w:val="single"/>
        </w:rPr>
        <w:t>Lack of standing to initiate lawsuits</w:t>
      </w:r>
      <w:r w:rsidRPr="00205577">
        <w:rPr>
          <w:rFonts w:ascii="Times New Roman" w:eastAsia="Calibri" w:hAnsi="Times New Roman" w:cs="Times New Roman"/>
          <w:color w:val="000000"/>
          <w:sz w:val="28"/>
          <w:szCs w:val="28"/>
        </w:rPr>
        <w:t xml:space="preserve"> under MCL 339.901 and/or MSA </w:t>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t xml:space="preserve">18.425(901), neither of which relates to the “mere filing” of a </w:t>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ab/>
        <w:t>collection complaint alone (Paragraph 76).</w:t>
      </w:r>
    </w:p>
    <w:p w14:paraId="2F1AB869" w14:textId="07747FC2" w:rsidR="006F5D19" w:rsidRPr="006F5D19" w:rsidRDefault="006F5D19" w:rsidP="00E13054">
      <w:pPr>
        <w:spacing w:after="0" w:line="480" w:lineRule="auto"/>
        <w:ind w:left="1440" w:hanging="720"/>
        <w:rPr>
          <w:rFonts w:ascii="Times New Roman" w:eastAsia="Calibri" w:hAnsi="Times New Roman" w:cs="Times New Roman"/>
          <w:color w:val="000000"/>
          <w:sz w:val="28"/>
          <w:szCs w:val="28"/>
        </w:rPr>
      </w:pPr>
      <w:r w:rsidRPr="00205577">
        <w:rPr>
          <w:rFonts w:ascii="Times New Roman" w:eastAsia="Calibri" w:hAnsi="Times New Roman" w:cs="Times New Roman"/>
          <w:b/>
          <w:color w:val="000000"/>
          <w:sz w:val="28"/>
          <w:szCs w:val="28"/>
        </w:rPr>
        <w:t>(i)</w:t>
      </w:r>
      <w:r>
        <w:rPr>
          <w:rFonts w:ascii="Times New Roman" w:eastAsia="Calibri" w:hAnsi="Times New Roman" w:cs="Times New Roman"/>
          <w:color w:val="000000"/>
          <w:sz w:val="28"/>
          <w:szCs w:val="28"/>
        </w:rPr>
        <w:tab/>
      </w:r>
      <w:r w:rsidRPr="00205577">
        <w:rPr>
          <w:rFonts w:ascii="Times New Roman" w:eastAsia="Calibri" w:hAnsi="Times New Roman" w:cs="Times New Roman"/>
          <w:color w:val="000000"/>
          <w:sz w:val="28"/>
          <w:szCs w:val="28"/>
        </w:rPr>
        <w:t xml:space="preserve">Defendant Roosen’s specific violation of MCL 339.915a which prevents the </w:t>
      </w:r>
      <w:r w:rsidRPr="00205577">
        <w:rPr>
          <w:rFonts w:ascii="Times New Roman" w:eastAsia="Calibri" w:hAnsi="Times New Roman" w:cs="Times New Roman"/>
          <w:i/>
          <w:color w:val="000000"/>
          <w:sz w:val="28"/>
          <w:szCs w:val="28"/>
          <w:u w:val="single"/>
        </w:rPr>
        <w:t>combination of attorneys and collection agencies from being housed in the same office</w:t>
      </w:r>
      <w:r w:rsidRPr="00205577">
        <w:rPr>
          <w:rFonts w:ascii="Times New Roman" w:eastAsia="Calibri" w:hAnsi="Times New Roman" w:cs="Times New Roman"/>
          <w:color w:val="000000"/>
          <w:sz w:val="28"/>
          <w:szCs w:val="28"/>
        </w:rPr>
        <w:t xml:space="preserve"> (Paragraph 77).</w:t>
      </w:r>
      <w:r w:rsidR="00BB6111">
        <w:rPr>
          <w:rFonts w:ascii="Times New Roman" w:eastAsia="Calibri" w:hAnsi="Times New Roman" w:cs="Times New Roman"/>
          <w:color w:val="000000"/>
          <w:sz w:val="28"/>
          <w:szCs w:val="28"/>
        </w:rPr>
        <w:t xml:space="preserve"> See the change</w:t>
      </w:r>
      <w:r w:rsidR="00E13054">
        <w:rPr>
          <w:rFonts w:ascii="Times New Roman" w:eastAsia="Calibri" w:hAnsi="Times New Roman" w:cs="Times New Roman"/>
          <w:color w:val="000000"/>
          <w:sz w:val="28"/>
          <w:szCs w:val="28"/>
        </w:rPr>
        <w:t>s</w:t>
      </w:r>
      <w:r w:rsidR="00BB6111">
        <w:rPr>
          <w:rFonts w:ascii="Times New Roman" w:eastAsia="Calibri" w:hAnsi="Times New Roman" w:cs="Times New Roman"/>
          <w:color w:val="000000"/>
          <w:sz w:val="28"/>
          <w:szCs w:val="28"/>
        </w:rPr>
        <w:t xml:space="preserve"> to the specific section </w:t>
      </w:r>
      <w:r w:rsidR="00E13054">
        <w:rPr>
          <w:rFonts w:ascii="Times New Roman" w:eastAsia="Calibri" w:hAnsi="Times New Roman" w:cs="Times New Roman"/>
          <w:color w:val="000000"/>
          <w:sz w:val="28"/>
          <w:szCs w:val="28"/>
        </w:rPr>
        <w:t>by the Michigan Legislature on March 13, 2018</w:t>
      </w:r>
      <w:r w:rsidR="00832CA1">
        <w:rPr>
          <w:rFonts w:ascii="Times New Roman" w:eastAsia="Calibri" w:hAnsi="Times New Roman" w:cs="Times New Roman"/>
          <w:color w:val="000000"/>
          <w:sz w:val="28"/>
          <w:szCs w:val="28"/>
        </w:rPr>
        <w:t xml:space="preserve"> </w:t>
      </w:r>
      <w:r w:rsidR="00BB6111">
        <w:rPr>
          <w:rFonts w:ascii="Times New Roman" w:eastAsia="Calibri" w:hAnsi="Times New Roman" w:cs="Times New Roman"/>
          <w:color w:val="000000"/>
          <w:sz w:val="28"/>
          <w:szCs w:val="28"/>
        </w:rPr>
        <w:t xml:space="preserve">at </w:t>
      </w:r>
      <w:r w:rsidR="00BB6111" w:rsidRPr="00832CA1">
        <w:rPr>
          <w:rFonts w:ascii="Times New Roman" w:eastAsia="Calibri" w:hAnsi="Times New Roman" w:cs="Times New Roman"/>
          <w:b/>
          <w:color w:val="000000"/>
          <w:sz w:val="28"/>
          <w:szCs w:val="28"/>
          <w:u w:val="single"/>
        </w:rPr>
        <w:t>Exh</w:t>
      </w:r>
      <w:r w:rsidR="00832CA1">
        <w:rPr>
          <w:rFonts w:ascii="Times New Roman" w:eastAsia="Calibri" w:hAnsi="Times New Roman" w:cs="Times New Roman"/>
          <w:b/>
          <w:color w:val="000000"/>
          <w:sz w:val="28"/>
          <w:szCs w:val="28"/>
          <w:u w:val="single"/>
        </w:rPr>
        <w:t>i</w:t>
      </w:r>
      <w:r w:rsidR="00BB6111" w:rsidRPr="00832CA1">
        <w:rPr>
          <w:rFonts w:ascii="Times New Roman" w:eastAsia="Calibri" w:hAnsi="Times New Roman" w:cs="Times New Roman"/>
          <w:b/>
          <w:color w:val="000000"/>
          <w:sz w:val="28"/>
          <w:szCs w:val="28"/>
          <w:u w:val="single"/>
        </w:rPr>
        <w:t xml:space="preserve">bit </w:t>
      </w:r>
      <w:r w:rsidR="00E13054" w:rsidRPr="00832CA1">
        <w:rPr>
          <w:rFonts w:ascii="Times New Roman" w:eastAsia="Calibri" w:hAnsi="Times New Roman" w:cs="Times New Roman"/>
          <w:b/>
          <w:color w:val="000000"/>
          <w:sz w:val="28"/>
          <w:szCs w:val="28"/>
          <w:u w:val="single"/>
        </w:rPr>
        <w:t>2</w:t>
      </w:r>
      <w:r w:rsidR="00E13054">
        <w:rPr>
          <w:rFonts w:ascii="Times New Roman" w:eastAsia="Calibri" w:hAnsi="Times New Roman" w:cs="Times New Roman"/>
          <w:color w:val="000000"/>
          <w:sz w:val="28"/>
          <w:szCs w:val="28"/>
        </w:rPr>
        <w:t xml:space="preserve"> for the purposes of highlighting RVO’s inclusion as a collection agency here.</w:t>
      </w:r>
    </w:p>
    <w:p w14:paraId="4B76A432" w14:textId="2C147902" w:rsidR="00C5566A" w:rsidRDefault="00C5566A" w:rsidP="00C5566A">
      <w:pPr>
        <w:spacing w:after="0" w:line="480" w:lineRule="auto"/>
        <w:rPr>
          <w:rFonts w:ascii="Times New Roman" w:eastAsia="Calibri" w:hAnsi="Times New Roman" w:cs="Times New Roman"/>
          <w:b/>
          <w:sz w:val="28"/>
          <w:szCs w:val="28"/>
        </w:rPr>
      </w:pPr>
      <w:r>
        <w:rPr>
          <w:rFonts w:ascii="Times New Roman" w:eastAsia="Calibri" w:hAnsi="Times New Roman" w:cs="Times New Roman"/>
          <w:b/>
          <w:sz w:val="28"/>
          <w:szCs w:val="28"/>
        </w:rPr>
        <w:t>B.</w:t>
      </w:r>
      <w:r>
        <w:rPr>
          <w:rFonts w:ascii="Times New Roman" w:eastAsia="Calibri" w:hAnsi="Times New Roman" w:cs="Times New Roman"/>
          <w:b/>
          <w:sz w:val="28"/>
          <w:szCs w:val="28"/>
        </w:rPr>
        <w:tab/>
        <w:t>STANDARD OF REVIEW</w:t>
      </w:r>
    </w:p>
    <w:p w14:paraId="5F0D056A" w14:textId="77777777" w:rsidR="00C5566A" w:rsidRPr="009D48E1" w:rsidRDefault="00C5566A" w:rsidP="00C5566A">
      <w:pPr>
        <w:widowControl w:val="0"/>
        <w:tabs>
          <w:tab w:val="left" w:pos="1080"/>
          <w:tab w:val="left" w:pos="1440"/>
        </w:tabs>
        <w:autoSpaceDE w:val="0"/>
        <w:autoSpaceDN w:val="0"/>
        <w:adjustRightInd w:val="0"/>
        <w:spacing w:after="0" w:line="48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D48E1">
        <w:rPr>
          <w:rFonts w:ascii="Times New Roman" w:eastAsia="Times New Roman" w:hAnsi="Times New Roman" w:cs="Times New Roman"/>
          <w:sz w:val="28"/>
          <w:szCs w:val="28"/>
        </w:rPr>
        <w:t>As the Defendants rightfully point out, motions for judgment such as the one now before this Court are often reviewed in much the same manner as motions to dismiss</w:t>
      </w:r>
      <w:r>
        <w:rPr>
          <w:rFonts w:ascii="Times New Roman" w:eastAsia="Times New Roman" w:hAnsi="Times New Roman" w:cs="Times New Roman"/>
          <w:sz w:val="28"/>
          <w:szCs w:val="28"/>
        </w:rPr>
        <w:t>- however, they fail to note that a</w:t>
      </w:r>
      <w:r w:rsidRPr="009D48E1">
        <w:rPr>
          <w:rFonts w:ascii="Times New Roman" w:eastAsia="Times New Roman" w:hAnsi="Times New Roman" w:cs="Times New Roman"/>
          <w:sz w:val="28"/>
          <w:szCs w:val="28"/>
        </w:rPr>
        <w:t xml:space="preserve"> court construes the originating complaint in the light most favorable to the </w:t>
      </w:r>
      <w:proofErr w:type="gramStart"/>
      <w:r w:rsidRPr="009D48E1">
        <w:rPr>
          <w:rFonts w:ascii="Times New Roman" w:eastAsia="Times New Roman" w:hAnsi="Times New Roman" w:cs="Times New Roman"/>
          <w:sz w:val="28"/>
          <w:szCs w:val="28"/>
        </w:rPr>
        <w:t>Plaintiff, and</w:t>
      </w:r>
      <w:proofErr w:type="gramEnd"/>
      <w:r w:rsidRPr="009D48E1">
        <w:rPr>
          <w:rFonts w:ascii="Times New Roman" w:eastAsia="Times New Roman" w:hAnsi="Times New Roman" w:cs="Times New Roman"/>
          <w:sz w:val="28"/>
          <w:szCs w:val="28"/>
        </w:rPr>
        <w:t xml:space="preserve"> draws all reasonable inferences in the Plaintiff’s favor.  </w:t>
      </w:r>
      <w:r w:rsidRPr="009D48E1">
        <w:rPr>
          <w:rFonts w:ascii="Times New Roman" w:eastAsia="Times New Roman" w:hAnsi="Times New Roman" w:cs="Times New Roman"/>
          <w:i/>
          <w:sz w:val="28"/>
          <w:szCs w:val="28"/>
        </w:rPr>
        <w:t>Handy-Clay v. City of Memphis</w:t>
      </w:r>
      <w:r w:rsidRPr="009D48E1">
        <w:rPr>
          <w:rFonts w:ascii="Times New Roman" w:eastAsia="Times New Roman" w:hAnsi="Times New Roman" w:cs="Times New Roman"/>
          <w:sz w:val="28"/>
          <w:szCs w:val="28"/>
        </w:rPr>
        <w:t>, 695 F.3d 531, 538 (6</w:t>
      </w:r>
      <w:r w:rsidRPr="009D48E1">
        <w:rPr>
          <w:rFonts w:ascii="Times New Roman" w:eastAsia="Times New Roman" w:hAnsi="Times New Roman" w:cs="Times New Roman"/>
          <w:sz w:val="28"/>
          <w:szCs w:val="28"/>
          <w:vertAlign w:val="superscript"/>
        </w:rPr>
        <w:t>th</w:t>
      </w:r>
      <w:r w:rsidRPr="009D48E1">
        <w:rPr>
          <w:rFonts w:ascii="Times New Roman" w:eastAsia="Times New Roman" w:hAnsi="Times New Roman" w:cs="Times New Roman"/>
          <w:sz w:val="28"/>
          <w:szCs w:val="28"/>
        </w:rPr>
        <w:t xml:space="preserve"> Cir. 2012). The moving party has the initial burden of showing that there is an absence of evidence to support the nonmoving party’s case.  </w:t>
      </w:r>
      <w:r w:rsidRPr="009D48E1">
        <w:rPr>
          <w:rFonts w:ascii="Times New Roman" w:eastAsia="Times New Roman" w:hAnsi="Times New Roman" w:cs="Times New Roman"/>
          <w:i/>
          <w:sz w:val="28"/>
          <w:szCs w:val="28"/>
        </w:rPr>
        <w:t>Celotex Corp. v. Catrett</w:t>
      </w:r>
      <w:r w:rsidRPr="009D48E1">
        <w:rPr>
          <w:rFonts w:ascii="Times New Roman" w:eastAsia="Times New Roman" w:hAnsi="Times New Roman" w:cs="Times New Roman"/>
          <w:sz w:val="28"/>
          <w:szCs w:val="28"/>
        </w:rPr>
        <w:t xml:space="preserve">, 477 U.S. 317, 325, 106 S. Ct. 2548 (1986).  Only if that burden is met must the nonmoving party then produce evidence that would support a finding in its favor.  </w:t>
      </w:r>
      <w:r w:rsidRPr="009D48E1">
        <w:rPr>
          <w:rFonts w:ascii="Times New Roman" w:eastAsia="Times New Roman" w:hAnsi="Times New Roman" w:cs="Times New Roman"/>
          <w:i/>
          <w:sz w:val="28"/>
          <w:szCs w:val="28"/>
        </w:rPr>
        <w:t>Anderson v. Liberty Lobby, Inc</w:t>
      </w:r>
      <w:r w:rsidRPr="009D48E1">
        <w:rPr>
          <w:rFonts w:ascii="Times New Roman" w:eastAsia="Times New Roman" w:hAnsi="Times New Roman" w:cs="Times New Roman"/>
          <w:sz w:val="28"/>
          <w:szCs w:val="28"/>
        </w:rPr>
        <w:t xml:space="preserve">., 477 U.S. 242, 250, 106 S. Ct. 2505 (1986).  A claim is facially </w:t>
      </w:r>
      <w:r w:rsidRPr="009D48E1">
        <w:rPr>
          <w:rFonts w:ascii="Times New Roman" w:eastAsia="Times New Roman" w:hAnsi="Times New Roman" w:cs="Times New Roman"/>
          <w:sz w:val="28"/>
          <w:szCs w:val="28"/>
        </w:rPr>
        <w:lastRenderedPageBreak/>
        <w:t xml:space="preserve">plausible when a plaintiff pleads factual content that permits a court to reasonably infer that the defendant is liable for the alleged misconduct.  </w:t>
      </w:r>
      <w:r w:rsidRPr="009D48E1">
        <w:rPr>
          <w:rFonts w:ascii="Times New Roman" w:eastAsia="Times New Roman" w:hAnsi="Times New Roman" w:cs="Times New Roman"/>
          <w:i/>
          <w:sz w:val="28"/>
          <w:szCs w:val="28"/>
        </w:rPr>
        <w:t>Bell Atl. Corp. v. Twombly</w:t>
      </w:r>
      <w:r w:rsidRPr="009D48E1">
        <w:rPr>
          <w:rFonts w:ascii="Times New Roman" w:eastAsia="Times New Roman" w:hAnsi="Times New Roman" w:cs="Times New Roman"/>
          <w:sz w:val="28"/>
          <w:szCs w:val="28"/>
        </w:rPr>
        <w:t xml:space="preserve">, 550 U.S. 544, 556 (2007).  The plausibility standard is </w:t>
      </w:r>
      <w:r w:rsidRPr="007B0BB5">
        <w:rPr>
          <w:rFonts w:ascii="Times New Roman" w:eastAsia="Times New Roman" w:hAnsi="Times New Roman" w:cs="Times New Roman"/>
          <w:sz w:val="28"/>
          <w:szCs w:val="28"/>
        </w:rPr>
        <w:t>not equivalent to a probability requirement</w:t>
      </w:r>
      <w:r w:rsidRPr="009D48E1">
        <w:rPr>
          <w:rFonts w:ascii="Times New Roman" w:eastAsia="Times New Roman" w:hAnsi="Times New Roman" w:cs="Times New Roman"/>
          <w:sz w:val="28"/>
          <w:szCs w:val="28"/>
        </w:rPr>
        <w:t xml:space="preserve">. </w:t>
      </w:r>
      <w:r w:rsidRPr="009D48E1">
        <w:rPr>
          <w:rFonts w:ascii="Times New Roman" w:eastAsia="Times New Roman" w:hAnsi="Times New Roman" w:cs="Times New Roman"/>
          <w:i/>
          <w:sz w:val="28"/>
          <w:szCs w:val="28"/>
        </w:rPr>
        <w:t xml:space="preserve"> Id </w:t>
      </w:r>
      <w:r w:rsidRPr="009D48E1">
        <w:rPr>
          <w:rFonts w:ascii="Times New Roman" w:eastAsia="Times New Roman" w:hAnsi="Times New Roman" w:cs="Times New Roman"/>
          <w:sz w:val="28"/>
          <w:szCs w:val="28"/>
        </w:rPr>
        <w:t xml:space="preserve">at 556. </w:t>
      </w:r>
    </w:p>
    <w:p w14:paraId="2185FBAA" w14:textId="31752DD1" w:rsidR="00C5566A" w:rsidRDefault="00C5566A" w:rsidP="006A0398">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C.</w:t>
      </w:r>
      <w:r>
        <w:rPr>
          <w:rFonts w:ascii="Times New Roman" w:eastAsia="Calibri" w:hAnsi="Times New Roman" w:cs="Times New Roman"/>
          <w:b/>
          <w:sz w:val="28"/>
          <w:szCs w:val="28"/>
        </w:rPr>
        <w:tab/>
        <w:t xml:space="preserve">PLAINTIFF’S ALLEGATIONS CONCERNING RVO </w:t>
      </w:r>
      <w:r w:rsidR="006A0398">
        <w:rPr>
          <w:rFonts w:ascii="Times New Roman" w:eastAsia="Calibri" w:hAnsi="Times New Roman" w:cs="Times New Roman"/>
          <w:b/>
          <w:sz w:val="28"/>
          <w:szCs w:val="28"/>
        </w:rPr>
        <w:tab/>
      </w:r>
      <w:r>
        <w:rPr>
          <w:rFonts w:ascii="Times New Roman" w:eastAsia="Calibri" w:hAnsi="Times New Roman" w:cs="Times New Roman"/>
          <w:b/>
          <w:sz w:val="28"/>
          <w:szCs w:val="28"/>
        </w:rPr>
        <w:t>DEFENDANTS’ EFFOR</w:t>
      </w:r>
      <w:r w:rsidR="006A0398">
        <w:rPr>
          <w:rFonts w:ascii="Times New Roman" w:eastAsia="Calibri" w:hAnsi="Times New Roman" w:cs="Times New Roman"/>
          <w:b/>
          <w:sz w:val="28"/>
          <w:szCs w:val="28"/>
        </w:rPr>
        <w:t xml:space="preserve">TS TO COLLECT THE WRONG AMOUNT </w:t>
      </w:r>
      <w:r w:rsidR="006A0398">
        <w:rPr>
          <w:rFonts w:ascii="Times New Roman" w:eastAsia="Calibri" w:hAnsi="Times New Roman" w:cs="Times New Roman"/>
          <w:b/>
          <w:sz w:val="28"/>
          <w:szCs w:val="28"/>
        </w:rPr>
        <w:tab/>
        <w:t xml:space="preserve">OR LACK OF MEANINGFUL ATTORNEY INVOLVEMENT ARE </w:t>
      </w:r>
      <w:r w:rsidR="006A0398">
        <w:rPr>
          <w:rFonts w:ascii="Times New Roman" w:eastAsia="Calibri" w:hAnsi="Times New Roman" w:cs="Times New Roman"/>
          <w:b/>
          <w:sz w:val="28"/>
          <w:szCs w:val="28"/>
        </w:rPr>
        <w:tab/>
        <w:t>SUFFICIENT TO SATISFY RULE 8.</w:t>
      </w:r>
    </w:p>
    <w:p w14:paraId="776B703B" w14:textId="77777777" w:rsidR="006A0398" w:rsidRDefault="006A0398" w:rsidP="006A0398">
      <w:pPr>
        <w:spacing w:after="0" w:line="240" w:lineRule="auto"/>
        <w:rPr>
          <w:rFonts w:ascii="Times New Roman" w:eastAsia="Calibri" w:hAnsi="Times New Roman" w:cs="Times New Roman"/>
          <w:b/>
          <w:sz w:val="28"/>
          <w:szCs w:val="28"/>
        </w:rPr>
      </w:pPr>
    </w:p>
    <w:p w14:paraId="31314132" w14:textId="77777777" w:rsidR="002420B6" w:rsidRDefault="006A0398" w:rsidP="006A0398">
      <w:pPr>
        <w:spacing w:after="0" w:line="48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sidRPr="006A0398">
        <w:rPr>
          <w:rFonts w:ascii="Times New Roman" w:eastAsia="Calibri" w:hAnsi="Times New Roman" w:cs="Times New Roman"/>
          <w:sz w:val="28"/>
          <w:szCs w:val="28"/>
        </w:rPr>
        <w:t xml:space="preserve">Although the Defendants </w:t>
      </w:r>
      <w:r>
        <w:rPr>
          <w:rFonts w:ascii="Times New Roman" w:eastAsia="Calibri" w:hAnsi="Times New Roman" w:cs="Times New Roman"/>
          <w:sz w:val="28"/>
          <w:szCs w:val="28"/>
        </w:rPr>
        <w:t xml:space="preserve">attempt to cite </w:t>
      </w:r>
      <w:r w:rsidRPr="00FF10AB">
        <w:rPr>
          <w:rFonts w:ascii="Times New Roman" w:eastAsia="Calibri" w:hAnsi="Times New Roman" w:cs="Times New Roman"/>
          <w:i/>
          <w:sz w:val="28"/>
          <w:szCs w:val="28"/>
        </w:rPr>
        <w:t>Mellentine</w:t>
      </w:r>
      <w:r>
        <w:rPr>
          <w:rFonts w:ascii="Times New Roman" w:eastAsia="Calibri" w:hAnsi="Times New Roman" w:cs="Times New Roman"/>
          <w:sz w:val="28"/>
          <w:szCs w:val="28"/>
        </w:rPr>
        <w:t xml:space="preserve"> as standing for the supposed</w:t>
      </w:r>
      <w:r w:rsidR="00FF10AB">
        <w:rPr>
          <w:rFonts w:ascii="Times New Roman" w:eastAsia="Calibri" w:hAnsi="Times New Roman" w:cs="Times New Roman"/>
          <w:sz w:val="28"/>
          <w:szCs w:val="28"/>
        </w:rPr>
        <w:t>ly</w:t>
      </w:r>
      <w:r>
        <w:rPr>
          <w:rFonts w:ascii="Times New Roman" w:eastAsia="Calibri" w:hAnsi="Times New Roman" w:cs="Times New Roman"/>
          <w:sz w:val="28"/>
          <w:szCs w:val="28"/>
        </w:rPr>
        <w:t xml:space="preserve"> prevailing proposition that “general allegations concerning ‘faulty information’ used in connection with debt collection efforts…will not survi</w:t>
      </w:r>
      <w:r w:rsidR="00F8242E">
        <w:rPr>
          <w:rFonts w:ascii="Times New Roman" w:eastAsia="Calibri" w:hAnsi="Times New Roman" w:cs="Times New Roman"/>
          <w:sz w:val="28"/>
          <w:szCs w:val="28"/>
        </w:rPr>
        <w:t>v</w:t>
      </w:r>
      <w:r>
        <w:rPr>
          <w:rFonts w:ascii="Times New Roman" w:eastAsia="Calibri" w:hAnsi="Times New Roman" w:cs="Times New Roman"/>
          <w:sz w:val="28"/>
          <w:szCs w:val="28"/>
        </w:rPr>
        <w:t xml:space="preserve">e a motion to dismiss,” they otherwise fail to note that </w:t>
      </w:r>
      <w:r w:rsidR="00FF10AB">
        <w:rPr>
          <w:rFonts w:ascii="Times New Roman" w:eastAsia="Calibri" w:hAnsi="Times New Roman" w:cs="Times New Roman"/>
          <w:sz w:val="28"/>
          <w:szCs w:val="28"/>
        </w:rPr>
        <w:t>more recent</w:t>
      </w:r>
      <w:r>
        <w:rPr>
          <w:rFonts w:ascii="Times New Roman" w:eastAsia="Calibri" w:hAnsi="Times New Roman" w:cs="Times New Roman"/>
          <w:sz w:val="28"/>
          <w:szCs w:val="28"/>
        </w:rPr>
        <w:t xml:space="preserve"> precedent has clearly and unequivocally established that </w:t>
      </w:r>
      <w:r w:rsidRPr="001B5A2B">
        <w:rPr>
          <w:rFonts w:ascii="Times New Roman" w:eastAsia="Calibri" w:hAnsi="Times New Roman" w:cs="Times New Roman"/>
          <w:sz w:val="28"/>
          <w:szCs w:val="28"/>
        </w:rPr>
        <w:t xml:space="preserve">“[Section] 1692e establishes a right to </w:t>
      </w:r>
      <w:r w:rsidRPr="006A0398">
        <w:rPr>
          <w:rFonts w:ascii="Times New Roman" w:eastAsia="Calibri" w:hAnsi="Times New Roman" w:cs="Times New Roman"/>
          <w:i/>
          <w:sz w:val="28"/>
          <w:szCs w:val="28"/>
          <w:u w:val="single"/>
        </w:rPr>
        <w:t>truthful information</w:t>
      </w:r>
      <w:r w:rsidRPr="001B5A2B">
        <w:rPr>
          <w:rFonts w:ascii="Times New Roman" w:eastAsia="Calibri" w:hAnsi="Times New Roman" w:cs="Times New Roman"/>
          <w:sz w:val="28"/>
          <w:szCs w:val="28"/>
        </w:rPr>
        <w:t xml:space="preserve"> regarding the collection of a debt,” </w:t>
      </w:r>
      <w:r w:rsidRPr="006A0398">
        <w:rPr>
          <w:rFonts w:ascii="Times New Roman" w:eastAsia="Calibri" w:hAnsi="Times New Roman" w:cs="Times New Roman"/>
          <w:sz w:val="28"/>
          <w:szCs w:val="28"/>
          <w:u w:val="single"/>
        </w:rPr>
        <w:t xml:space="preserve">the violation of which constituted “real harms </w:t>
      </w:r>
      <w:r w:rsidRPr="001B5A2B">
        <w:rPr>
          <w:rFonts w:ascii="Times New Roman" w:eastAsia="Calibri" w:hAnsi="Times New Roman" w:cs="Times New Roman"/>
          <w:sz w:val="28"/>
          <w:szCs w:val="28"/>
        </w:rPr>
        <w:t xml:space="preserve">and not merely procedural violations.”  </w:t>
      </w:r>
      <w:r w:rsidRPr="001B5A2B">
        <w:rPr>
          <w:rFonts w:ascii="Times New Roman" w:eastAsia="Calibri" w:hAnsi="Times New Roman" w:cs="Times New Roman"/>
          <w:i/>
          <w:sz w:val="28"/>
          <w:szCs w:val="28"/>
        </w:rPr>
        <w:t xml:space="preserve">Hill v. Accounts Receivable Servs. LLC, </w:t>
      </w:r>
      <w:r w:rsidRPr="001B5A2B">
        <w:rPr>
          <w:rFonts w:ascii="Times New Roman" w:eastAsia="Calibri" w:hAnsi="Times New Roman" w:cs="Times New Roman"/>
          <w:sz w:val="28"/>
          <w:szCs w:val="28"/>
        </w:rPr>
        <w:t>No. 16-219 (DWF/BRT), 2016 WL 6462119, at *4 (D. Minn. Oct. 31, 2016).</w:t>
      </w:r>
      <w:r w:rsidR="00CA52FE">
        <w:rPr>
          <w:rFonts w:ascii="Times New Roman" w:eastAsia="Calibri" w:hAnsi="Times New Roman" w:cs="Times New Roman"/>
          <w:sz w:val="28"/>
          <w:szCs w:val="28"/>
        </w:rPr>
        <w:t xml:space="preserve">  </w:t>
      </w:r>
    </w:p>
    <w:p w14:paraId="6FBD884F" w14:textId="7883AD42" w:rsidR="006A0398" w:rsidRDefault="00CA52FE" w:rsidP="002420B6">
      <w:pPr>
        <w:spacing w:after="0" w:line="480" w:lineRule="auto"/>
        <w:ind w:firstLine="720"/>
        <w:jc w:val="both"/>
        <w:rPr>
          <w:rFonts w:ascii="Times New Roman" w:eastAsia="Calibri" w:hAnsi="Times New Roman" w:cs="Times New Roman"/>
          <w:sz w:val="28"/>
          <w:szCs w:val="28"/>
        </w:rPr>
      </w:pPr>
      <w:r w:rsidRPr="001B5A2B">
        <w:rPr>
          <w:rFonts w:ascii="Times New Roman" w:eastAsia="Calibri" w:hAnsi="Times New Roman" w:cs="Times New Roman"/>
          <w:sz w:val="28"/>
          <w:szCs w:val="28"/>
        </w:rPr>
        <w:t xml:space="preserve">The Sixth Circuit has also definitively established that </w:t>
      </w:r>
      <w:r w:rsidRPr="00CA52FE">
        <w:rPr>
          <w:rFonts w:ascii="Times New Roman" w:eastAsia="Calibri" w:hAnsi="Times New Roman" w:cs="Times New Roman"/>
          <w:i/>
          <w:sz w:val="28"/>
          <w:szCs w:val="28"/>
          <w:u w:val="single"/>
        </w:rPr>
        <w:t>complaints, liens, and other court filings</w:t>
      </w:r>
      <w:r w:rsidRPr="00CA52FE">
        <w:rPr>
          <w:rFonts w:ascii="Times New Roman" w:eastAsia="Calibri" w:hAnsi="Times New Roman" w:cs="Times New Roman"/>
          <w:sz w:val="28"/>
          <w:szCs w:val="28"/>
          <w:u w:val="single"/>
        </w:rPr>
        <w:t xml:space="preserve"> can in and of themselves sufficiently constitute a legally-actionable “threat” for purposes of the FDCPA</w:t>
      </w:r>
      <w:r w:rsidRPr="001B5A2B">
        <w:rPr>
          <w:rFonts w:ascii="Times New Roman" w:eastAsia="Calibri" w:hAnsi="Times New Roman" w:cs="Times New Roman"/>
          <w:sz w:val="28"/>
          <w:szCs w:val="28"/>
        </w:rPr>
        <w:t xml:space="preserve">. </w:t>
      </w:r>
      <w:r w:rsidRPr="001B5A2B">
        <w:rPr>
          <w:rFonts w:ascii="Times New Roman" w:eastAsia="Calibri" w:hAnsi="Times New Roman" w:cs="Times New Roman"/>
          <w:i/>
          <w:sz w:val="28"/>
          <w:szCs w:val="28"/>
        </w:rPr>
        <w:t>Currier v. First Resolution Inv. Corp</w:t>
      </w:r>
      <w:r w:rsidRPr="001B5A2B">
        <w:rPr>
          <w:rFonts w:ascii="Times New Roman" w:eastAsia="Calibri" w:hAnsi="Times New Roman" w:cs="Times New Roman"/>
          <w:sz w:val="28"/>
          <w:szCs w:val="28"/>
        </w:rPr>
        <w:t>., 762 F.3d 529, 535 (6</w:t>
      </w:r>
      <w:r w:rsidRPr="001B5A2B">
        <w:rPr>
          <w:rFonts w:ascii="Times New Roman" w:eastAsia="Calibri" w:hAnsi="Times New Roman" w:cs="Times New Roman"/>
          <w:sz w:val="28"/>
          <w:szCs w:val="28"/>
          <w:vertAlign w:val="superscript"/>
        </w:rPr>
        <w:t>th</w:t>
      </w:r>
      <w:r w:rsidRPr="001B5A2B">
        <w:rPr>
          <w:rFonts w:ascii="Times New Roman" w:eastAsia="Calibri" w:hAnsi="Times New Roman" w:cs="Times New Roman"/>
          <w:sz w:val="28"/>
          <w:szCs w:val="28"/>
        </w:rPr>
        <w:t xml:space="preserve"> Cir. 2014); see also </w:t>
      </w:r>
      <w:r w:rsidRPr="001B5A2B">
        <w:rPr>
          <w:rFonts w:ascii="Times New Roman" w:eastAsia="Calibri" w:hAnsi="Times New Roman" w:cs="Times New Roman"/>
          <w:i/>
          <w:sz w:val="28"/>
          <w:szCs w:val="28"/>
        </w:rPr>
        <w:t xml:space="preserve">Gionis </w:t>
      </w:r>
      <w:r w:rsidR="00980285" w:rsidRPr="001B5A2B">
        <w:rPr>
          <w:rFonts w:ascii="Times New Roman" w:eastAsia="Calibri" w:hAnsi="Times New Roman" w:cs="Times New Roman"/>
          <w:sz w:val="28"/>
          <w:szCs w:val="28"/>
        </w:rPr>
        <w:t>at 28</w:t>
      </w:r>
      <w:r w:rsidRPr="001B5A2B">
        <w:rPr>
          <w:rFonts w:ascii="Times New Roman" w:eastAsia="Calibri" w:hAnsi="Times New Roman" w:cs="Times New Roman"/>
          <w:sz w:val="28"/>
          <w:szCs w:val="28"/>
        </w:rPr>
        <w:t xml:space="preserve">.  </w:t>
      </w:r>
      <w:r w:rsidR="00F8242E">
        <w:rPr>
          <w:rFonts w:ascii="Times New Roman" w:eastAsia="Calibri" w:hAnsi="Times New Roman" w:cs="Times New Roman"/>
          <w:sz w:val="28"/>
          <w:szCs w:val="28"/>
        </w:rPr>
        <w:t xml:space="preserve">RVO initiated </w:t>
      </w:r>
      <w:r w:rsidR="00F8242E">
        <w:rPr>
          <w:rFonts w:ascii="Times New Roman" w:eastAsia="Calibri" w:hAnsi="Times New Roman" w:cs="Times New Roman"/>
          <w:sz w:val="28"/>
          <w:szCs w:val="28"/>
        </w:rPr>
        <w:lastRenderedPageBreak/>
        <w:t>litigation premised upon a debt that was not owned by Cavalry, and such was put forth as a direct allegation time and time again throughout the Plaintiffs’ complaint.</w:t>
      </w:r>
    </w:p>
    <w:p w14:paraId="1656B3B5" w14:textId="77777777" w:rsidR="00FF10AB" w:rsidRDefault="00FF10AB" w:rsidP="00FF10AB">
      <w:pPr>
        <w:spacing w:after="0" w:line="480" w:lineRule="auto"/>
        <w:ind w:firstLine="720"/>
        <w:rPr>
          <w:rFonts w:ascii="Times New Roman" w:eastAsia="Calibri" w:hAnsi="Times New Roman" w:cs="Times New Roman"/>
          <w:sz w:val="28"/>
          <w:szCs w:val="28"/>
        </w:rPr>
      </w:pPr>
      <w:r w:rsidRPr="001B5A2B">
        <w:rPr>
          <w:rFonts w:ascii="Times New Roman" w:eastAsia="Calibri" w:hAnsi="Times New Roman" w:cs="Times New Roman"/>
          <w:sz w:val="28"/>
          <w:szCs w:val="28"/>
        </w:rPr>
        <w:t>Furthermore, a “plaintiff asserting a claim under § 1692e</w:t>
      </w:r>
      <w:r w:rsidRPr="00FF10AB">
        <w:rPr>
          <w:rFonts w:ascii="Times New Roman" w:eastAsia="Calibri" w:hAnsi="Times New Roman" w:cs="Times New Roman"/>
          <w:sz w:val="28"/>
          <w:szCs w:val="28"/>
          <w:u w:val="single"/>
        </w:rPr>
        <w:t xml:space="preserve"> need not prove </w:t>
      </w:r>
      <w:r w:rsidRPr="00FF10AB">
        <w:rPr>
          <w:rFonts w:ascii="Times New Roman" w:eastAsia="Calibri" w:hAnsi="Times New Roman" w:cs="Times New Roman"/>
          <w:i/>
          <w:sz w:val="28"/>
          <w:szCs w:val="28"/>
          <w:u w:val="single"/>
        </w:rPr>
        <w:t>actual reliance</w:t>
      </w:r>
      <w:r w:rsidRPr="00FF10AB">
        <w:rPr>
          <w:rFonts w:ascii="Times New Roman" w:eastAsia="Calibri" w:hAnsi="Times New Roman" w:cs="Times New Roman"/>
          <w:sz w:val="28"/>
          <w:szCs w:val="28"/>
          <w:u w:val="single"/>
        </w:rPr>
        <w:t xml:space="preserve"> on a false representation</w:t>
      </w:r>
      <w:r w:rsidRPr="001B5A2B">
        <w:rPr>
          <w:rFonts w:ascii="Times New Roman" w:eastAsia="Calibri" w:hAnsi="Times New Roman" w:cs="Times New Roman"/>
          <w:sz w:val="28"/>
          <w:szCs w:val="28"/>
        </w:rPr>
        <w:t xml:space="preserve">.” </w:t>
      </w:r>
      <w:r w:rsidRPr="001B5A2B">
        <w:rPr>
          <w:rFonts w:ascii="Times New Roman" w:eastAsia="Calibri" w:hAnsi="Times New Roman" w:cs="Times New Roman"/>
          <w:i/>
          <w:sz w:val="28"/>
          <w:szCs w:val="28"/>
        </w:rPr>
        <w:t>Neild v. Wolpoff &amp; Abramson, LLP</w:t>
      </w:r>
      <w:r w:rsidRPr="001B5A2B">
        <w:rPr>
          <w:rFonts w:ascii="Times New Roman" w:eastAsia="Calibri" w:hAnsi="Times New Roman" w:cs="Times New Roman"/>
          <w:sz w:val="28"/>
          <w:szCs w:val="28"/>
        </w:rPr>
        <w:t xml:space="preserve">, 453 F. Supp. 2d 918, 923 (E.D. Va. 2006).  Other courts have long held that </w:t>
      </w:r>
      <w:r w:rsidRPr="001B5A2B">
        <w:rPr>
          <w:rFonts w:ascii="Times New Roman" w:eastAsia="Calibri" w:hAnsi="Times New Roman" w:cs="Times New Roman"/>
          <w:sz w:val="28"/>
          <w:szCs w:val="28"/>
          <w:u w:val="single"/>
        </w:rPr>
        <w:t>the making of a false statement in connection with an attempt to collect a debt is sufficient harm to establish injury-in-fact for standing purposes</w:t>
      </w:r>
      <w:r w:rsidRPr="001B5A2B">
        <w:rPr>
          <w:rFonts w:ascii="Times New Roman" w:eastAsia="Calibri" w:hAnsi="Times New Roman" w:cs="Times New Roman"/>
          <w:sz w:val="28"/>
          <w:szCs w:val="28"/>
        </w:rPr>
        <w:t xml:space="preserve">.  </w:t>
      </w:r>
      <w:r w:rsidRPr="001B5A2B">
        <w:rPr>
          <w:rFonts w:ascii="Times New Roman" w:eastAsia="Calibri" w:hAnsi="Times New Roman" w:cs="Times New Roman"/>
          <w:i/>
          <w:iCs/>
          <w:sz w:val="28"/>
          <w:szCs w:val="28"/>
        </w:rPr>
        <w:t>Miller v. Wolpoff &amp; Abramson, L.L.P.</w:t>
      </w:r>
      <w:r w:rsidRPr="001B5A2B">
        <w:rPr>
          <w:rFonts w:ascii="Times New Roman" w:eastAsia="Calibri" w:hAnsi="Times New Roman" w:cs="Times New Roman"/>
          <w:sz w:val="28"/>
          <w:szCs w:val="28"/>
        </w:rPr>
        <w:t>, 321 F.3d 292, 307 (2d</w:t>
      </w:r>
      <w:r w:rsidRPr="001B5A2B">
        <w:rPr>
          <w:rFonts w:ascii="Times New Roman" w:eastAsia="Calibri" w:hAnsi="Times New Roman" w:cs="Times New Roman"/>
          <w:i/>
          <w:iCs/>
          <w:sz w:val="28"/>
          <w:szCs w:val="28"/>
        </w:rPr>
        <w:t xml:space="preserve"> </w:t>
      </w:r>
      <w:r w:rsidRPr="001B5A2B">
        <w:rPr>
          <w:rFonts w:ascii="Times New Roman" w:eastAsia="Calibri" w:hAnsi="Times New Roman" w:cs="Times New Roman"/>
          <w:sz w:val="28"/>
          <w:szCs w:val="28"/>
        </w:rPr>
        <w:t>Cir. 2003).  In other words, a plaintiff who receives such a misrepresentation</w:t>
      </w:r>
      <w:r>
        <w:rPr>
          <w:rFonts w:ascii="Times New Roman" w:eastAsia="Calibri" w:hAnsi="Times New Roman" w:cs="Times New Roman"/>
          <w:sz w:val="28"/>
          <w:szCs w:val="28"/>
        </w:rPr>
        <w:t xml:space="preserve"> (e.g., receipt of a debt collection lawsuit which misrepresented that the debt at issue had been lawfully assigned to the Defendants when it had not been)</w:t>
      </w:r>
      <w:r w:rsidRPr="001B5A2B">
        <w:rPr>
          <w:rFonts w:ascii="Times New Roman" w:eastAsia="Calibri" w:hAnsi="Times New Roman" w:cs="Times New Roman"/>
          <w:sz w:val="28"/>
          <w:szCs w:val="28"/>
        </w:rPr>
        <w:t xml:space="preserve"> “has suffered injury in precisely the form [Section 1692e of the FDCPA] was intended to guard against,” </w:t>
      </w:r>
      <w:r w:rsidRPr="001B5A2B">
        <w:rPr>
          <w:rFonts w:ascii="Times New Roman" w:eastAsia="Calibri" w:hAnsi="Times New Roman" w:cs="Times New Roman"/>
          <w:i/>
          <w:iCs/>
          <w:sz w:val="28"/>
          <w:szCs w:val="28"/>
        </w:rPr>
        <w:t>Havens Realty Corp. v. Coleman</w:t>
      </w:r>
      <w:r w:rsidRPr="001B5A2B">
        <w:rPr>
          <w:rFonts w:ascii="Times New Roman" w:eastAsia="Calibri" w:hAnsi="Times New Roman" w:cs="Times New Roman"/>
          <w:sz w:val="28"/>
          <w:szCs w:val="28"/>
        </w:rPr>
        <w:t xml:space="preserve">, 455 U.S. 363, 373- 74 (1982).  </w:t>
      </w:r>
    </w:p>
    <w:p w14:paraId="388438CA" w14:textId="41CE3A15" w:rsidR="00A44491" w:rsidRDefault="00A44491" w:rsidP="00A95133">
      <w:pPr>
        <w:spacing w:after="0" w:line="480" w:lineRule="auto"/>
        <w:ind w:firstLine="720"/>
        <w:rPr>
          <w:rFonts w:ascii="Times New Roman" w:eastAsia="Times New Roman" w:hAnsi="Times New Roman" w:cs="Times New Roman"/>
          <w:sz w:val="28"/>
          <w:szCs w:val="28"/>
        </w:rPr>
      </w:pPr>
      <w:r w:rsidRPr="00F75BAB">
        <w:rPr>
          <w:rFonts w:ascii="Times New Roman" w:eastAsia="Times New Roman" w:hAnsi="Times New Roman" w:cs="Times New Roman"/>
          <w:sz w:val="28"/>
          <w:szCs w:val="28"/>
        </w:rPr>
        <w:t xml:space="preserve">A scheme </w:t>
      </w:r>
      <w:r w:rsidR="00980285" w:rsidRPr="00F75BAB">
        <w:rPr>
          <w:rFonts w:ascii="Times New Roman" w:eastAsia="Times New Roman" w:hAnsi="Times New Roman" w:cs="Times New Roman"/>
          <w:sz w:val="28"/>
          <w:szCs w:val="28"/>
        </w:rPr>
        <w:t>like</w:t>
      </w:r>
      <w:r w:rsidRPr="00F75BAB">
        <w:rPr>
          <w:rFonts w:ascii="Times New Roman" w:eastAsia="Times New Roman" w:hAnsi="Times New Roman" w:cs="Times New Roman"/>
          <w:sz w:val="28"/>
          <w:szCs w:val="28"/>
        </w:rPr>
        <w:t xml:space="preserve"> the one perpetrated by the Defendants in this case </w:t>
      </w:r>
      <w:r w:rsidRPr="00F75BAB">
        <w:rPr>
          <w:rFonts w:ascii="Times New Roman" w:eastAsia="Times New Roman" w:hAnsi="Times New Roman" w:cs="Times New Roman"/>
          <w:iCs/>
          <w:sz w:val="28"/>
          <w:szCs w:val="28"/>
        </w:rPr>
        <w:t xml:space="preserve">was otherwise addressed in </w:t>
      </w:r>
      <w:r w:rsidRPr="00F75BAB">
        <w:rPr>
          <w:rFonts w:ascii="Times New Roman" w:eastAsia="Times New Roman" w:hAnsi="Times New Roman" w:cs="Times New Roman"/>
          <w:i/>
          <w:iCs/>
          <w:sz w:val="28"/>
          <w:szCs w:val="28"/>
        </w:rPr>
        <w:t>Kuria v. Palisades Acquisition XVI, LLC,</w:t>
      </w:r>
      <w:r w:rsidRPr="00F75BAB">
        <w:rPr>
          <w:rFonts w:ascii="Times New Roman" w:eastAsia="Times New Roman" w:hAnsi="Times New Roman" w:cs="Times New Roman"/>
          <w:sz w:val="28"/>
          <w:szCs w:val="28"/>
        </w:rPr>
        <w:t xml:space="preserve"> 752 F.Supp.2d 1293 (N.D.Ga. Nov. 16, 2010). In that case, </w:t>
      </w:r>
      <w:proofErr w:type="gramStart"/>
      <w:r w:rsidRPr="00F75BAB">
        <w:rPr>
          <w:rFonts w:ascii="Times New Roman" w:eastAsia="Times New Roman" w:hAnsi="Times New Roman" w:cs="Times New Roman"/>
          <w:sz w:val="28"/>
          <w:szCs w:val="28"/>
        </w:rPr>
        <w:t>similar to</w:t>
      </w:r>
      <w:proofErr w:type="gramEnd"/>
      <w:r w:rsidRPr="00F75BAB">
        <w:rPr>
          <w:rFonts w:ascii="Times New Roman" w:eastAsia="Times New Roman" w:hAnsi="Times New Roman" w:cs="Times New Roman"/>
          <w:sz w:val="28"/>
          <w:szCs w:val="28"/>
        </w:rPr>
        <w:t xml:space="preserve"> Plaintiffs’ allegations in the instant matter, Plaintiff Kuria essentially alleged in his complaint that Defendant Palisades sued him on an invalid debt—one that Palisades similarly could not ever properly prove its’ legal right to collect upon—and that it intended to either obtain a default judgment or coerce him into a settlement due to “a pattern and practice of </w:t>
      </w:r>
      <w:r w:rsidRPr="00F75BAB">
        <w:rPr>
          <w:rFonts w:ascii="Times New Roman" w:eastAsia="Times New Roman" w:hAnsi="Times New Roman" w:cs="Times New Roman"/>
          <w:sz w:val="28"/>
          <w:szCs w:val="28"/>
        </w:rPr>
        <w:lastRenderedPageBreak/>
        <w:t xml:space="preserve">abusive, scattershot litigation to collect debts.” </w:t>
      </w:r>
      <w:r w:rsidRPr="00F75BAB">
        <w:rPr>
          <w:rFonts w:ascii="Times New Roman" w:eastAsia="Times New Roman" w:hAnsi="Times New Roman" w:cs="Times New Roman"/>
          <w:i/>
          <w:sz w:val="28"/>
          <w:szCs w:val="28"/>
        </w:rPr>
        <w:t>Id</w:t>
      </w:r>
      <w:r w:rsidRPr="00F75BAB">
        <w:rPr>
          <w:rFonts w:ascii="Times New Roman" w:eastAsia="Times New Roman" w:hAnsi="Times New Roman" w:cs="Times New Roman"/>
          <w:sz w:val="28"/>
          <w:szCs w:val="28"/>
        </w:rPr>
        <w:t xml:space="preserve">. at 1302.    The ultimate violation in that case was more succinctly summarized as the Defendant’s knowledge “when filing the suit not only that it lacked knowledge of the validity of the underlying debt, but also that it never intended to investigate or verify the debt’s validity.”  </w:t>
      </w:r>
    </w:p>
    <w:p w14:paraId="619BAD42" w14:textId="71ADE139" w:rsidR="005100E5" w:rsidRPr="005100E5" w:rsidRDefault="00A44491" w:rsidP="00A95133">
      <w:pPr>
        <w:pStyle w:val="NormalWeb"/>
        <w:spacing w:before="0" w:beforeAutospacing="0" w:after="0" w:afterAutospacing="0" w:line="480" w:lineRule="auto"/>
        <w:ind w:firstLine="720"/>
        <w:jc w:val="both"/>
        <w:rPr>
          <w:sz w:val="28"/>
          <w:szCs w:val="28"/>
        </w:rPr>
      </w:pPr>
      <w:r>
        <w:rPr>
          <w:rFonts w:eastAsia="Times New Roman"/>
          <w:sz w:val="28"/>
          <w:szCs w:val="28"/>
        </w:rPr>
        <w:t>I</w:t>
      </w:r>
      <w:r w:rsidRPr="00F75BAB">
        <w:rPr>
          <w:rFonts w:eastAsia="Times New Roman"/>
          <w:sz w:val="28"/>
          <w:szCs w:val="28"/>
        </w:rPr>
        <w:t xml:space="preserve">n the matter now before this Court the Defendants likewise, despite </w:t>
      </w:r>
      <w:r w:rsidRPr="00A46E88">
        <w:rPr>
          <w:rFonts w:eastAsia="Times New Roman"/>
          <w:i/>
          <w:sz w:val="28"/>
          <w:szCs w:val="28"/>
          <w:u w:val="single"/>
        </w:rPr>
        <w:t>possessing no supporting proof</w:t>
      </w:r>
      <w:r w:rsidRPr="00F75BAB">
        <w:rPr>
          <w:rFonts w:eastAsia="Times New Roman"/>
          <w:sz w:val="28"/>
          <w:szCs w:val="28"/>
        </w:rPr>
        <w:t>, chain of title/transfer, and/or the authorization/card hold agreements</w:t>
      </w:r>
      <w:r w:rsidR="00E942AD">
        <w:rPr>
          <w:rFonts w:eastAsia="Times New Roman"/>
          <w:sz w:val="28"/>
          <w:szCs w:val="28"/>
        </w:rPr>
        <w:t xml:space="preserve"> necessary to win at trial</w:t>
      </w:r>
      <w:r w:rsidRPr="00F75BAB">
        <w:rPr>
          <w:rFonts w:eastAsia="Times New Roman"/>
          <w:sz w:val="28"/>
          <w:szCs w:val="28"/>
        </w:rPr>
        <w:t xml:space="preserve">, sued each Plaintiff anyway without ever bothering to ascertain whether the debt was valid. </w:t>
      </w:r>
      <w:r w:rsidR="00E942AD">
        <w:rPr>
          <w:rFonts w:eastAsia="Times New Roman"/>
          <w:sz w:val="28"/>
          <w:szCs w:val="28"/>
        </w:rPr>
        <w:t xml:space="preserve"> </w:t>
      </w:r>
      <w:r w:rsidR="00852CC3" w:rsidRPr="00474898">
        <w:rPr>
          <w:rFonts w:eastAsia="Times New Roman"/>
          <w:sz w:val="28"/>
          <w:szCs w:val="28"/>
        </w:rPr>
        <w:t xml:space="preserve">The </w:t>
      </w:r>
      <w:r w:rsidR="00F41733">
        <w:rPr>
          <w:rFonts w:eastAsiaTheme="minorEastAsia"/>
          <w:sz w:val="28"/>
          <w:szCs w:val="28"/>
        </w:rPr>
        <w:t>Debtor</w:t>
      </w:r>
      <w:r w:rsidR="00852CC3" w:rsidRPr="00474898">
        <w:rPr>
          <w:rFonts w:eastAsiaTheme="minorEastAsia"/>
          <w:sz w:val="28"/>
          <w:szCs w:val="28"/>
        </w:rPr>
        <w:t xml:space="preserve"> and </w:t>
      </w:r>
      <w:r w:rsidR="00F41733">
        <w:rPr>
          <w:rFonts w:eastAsiaTheme="minorEastAsia"/>
          <w:sz w:val="28"/>
          <w:szCs w:val="28"/>
        </w:rPr>
        <w:t>Debtor</w:t>
      </w:r>
      <w:r w:rsidR="00852CC3" w:rsidRPr="00474898">
        <w:rPr>
          <w:rFonts w:eastAsiaTheme="minorEastAsia"/>
          <w:sz w:val="28"/>
          <w:szCs w:val="28"/>
        </w:rPr>
        <w:t xml:space="preserve"> account statements are </w:t>
      </w:r>
      <w:r w:rsidR="00474898">
        <w:rPr>
          <w:rFonts w:eastAsiaTheme="minorEastAsia"/>
          <w:sz w:val="28"/>
          <w:szCs w:val="28"/>
        </w:rPr>
        <w:t xml:space="preserve">from </w:t>
      </w:r>
      <w:r w:rsidR="00852CC3" w:rsidRPr="00474898">
        <w:rPr>
          <w:rFonts w:eastAsiaTheme="minorEastAsia"/>
          <w:sz w:val="28"/>
          <w:szCs w:val="28"/>
        </w:rPr>
        <w:t xml:space="preserve">2014 and the </w:t>
      </w:r>
      <w:r w:rsidR="00F41733">
        <w:rPr>
          <w:rFonts w:eastAsiaTheme="minorEastAsia"/>
          <w:sz w:val="28"/>
          <w:szCs w:val="28"/>
        </w:rPr>
        <w:t>Debtor</w:t>
      </w:r>
      <w:r w:rsidR="00852CC3" w:rsidRPr="00474898">
        <w:rPr>
          <w:rFonts w:eastAsiaTheme="minorEastAsia"/>
          <w:sz w:val="28"/>
          <w:szCs w:val="28"/>
        </w:rPr>
        <w:t xml:space="preserve"> accounts </w:t>
      </w:r>
      <w:r w:rsidR="00474898">
        <w:rPr>
          <w:rFonts w:eastAsiaTheme="minorEastAsia"/>
          <w:sz w:val="28"/>
          <w:szCs w:val="28"/>
        </w:rPr>
        <w:t xml:space="preserve">end at </w:t>
      </w:r>
      <w:r w:rsidR="00852CC3" w:rsidRPr="00474898">
        <w:rPr>
          <w:rFonts w:eastAsiaTheme="minorEastAsia"/>
          <w:sz w:val="28"/>
          <w:szCs w:val="28"/>
        </w:rPr>
        <w:t xml:space="preserve">2012.  </w:t>
      </w:r>
      <w:r w:rsidR="00263027">
        <w:rPr>
          <w:rFonts w:eastAsiaTheme="minorEastAsia"/>
          <w:sz w:val="28"/>
          <w:szCs w:val="28"/>
        </w:rPr>
        <w:t>With no admissible payment proof, a</w:t>
      </w:r>
      <w:r w:rsidR="005100E5" w:rsidRPr="005100E5">
        <w:rPr>
          <w:sz w:val="28"/>
          <w:szCs w:val="28"/>
        </w:rPr>
        <w:t>ll three actions are barred by the six</w:t>
      </w:r>
      <w:r w:rsidR="005100E5">
        <w:rPr>
          <w:sz w:val="28"/>
          <w:szCs w:val="28"/>
        </w:rPr>
        <w:t xml:space="preserve"> </w:t>
      </w:r>
      <w:r w:rsidR="005100E5" w:rsidRPr="005100E5">
        <w:rPr>
          <w:sz w:val="28"/>
          <w:szCs w:val="28"/>
        </w:rPr>
        <w:t>(6) year statute of limitations</w:t>
      </w:r>
      <w:r w:rsidR="00263027">
        <w:rPr>
          <w:sz w:val="28"/>
          <w:szCs w:val="28"/>
        </w:rPr>
        <w:t xml:space="preserve"> in the State of Michigan</w:t>
      </w:r>
      <w:r w:rsidR="005100E5" w:rsidRPr="005100E5">
        <w:rPr>
          <w:sz w:val="28"/>
          <w:szCs w:val="28"/>
        </w:rPr>
        <w:t xml:space="preserve">.  See MCL 600.5807. </w:t>
      </w:r>
    </w:p>
    <w:p w14:paraId="6F6D8BE5" w14:textId="2055F31B" w:rsidR="00852CC3" w:rsidRPr="00474898" w:rsidRDefault="00852CC3" w:rsidP="00852CC3">
      <w:pPr>
        <w:spacing w:line="480" w:lineRule="auto"/>
        <w:ind w:firstLine="720"/>
        <w:contextualSpacing/>
        <w:rPr>
          <w:rFonts w:ascii="Times New Roman" w:eastAsiaTheme="minorEastAsia" w:hAnsi="Times New Roman" w:cs="Times New Roman"/>
          <w:sz w:val="28"/>
          <w:szCs w:val="28"/>
        </w:rPr>
      </w:pPr>
      <w:r w:rsidRPr="00474898">
        <w:rPr>
          <w:rFonts w:ascii="Times New Roman" w:eastAsiaTheme="minorEastAsia" w:hAnsi="Times New Roman" w:cs="Times New Roman"/>
          <w:sz w:val="28"/>
          <w:szCs w:val="28"/>
        </w:rPr>
        <w:t>There is not even a minimum of effort to provide proof of the amount owed in 2018 because the Defendants have nothing other than old statements from years ago.  Which means the attorney did not review the cardholder contract here as</w:t>
      </w:r>
      <w:r w:rsidR="00263027">
        <w:rPr>
          <w:rFonts w:ascii="Times New Roman" w:eastAsiaTheme="minorEastAsia" w:hAnsi="Times New Roman" w:cs="Times New Roman"/>
          <w:sz w:val="28"/>
          <w:szCs w:val="28"/>
        </w:rPr>
        <w:t>,</w:t>
      </w:r>
      <w:r w:rsidRPr="00474898">
        <w:rPr>
          <w:rFonts w:ascii="Times New Roman" w:eastAsiaTheme="minorEastAsia" w:hAnsi="Times New Roman" w:cs="Times New Roman"/>
          <w:sz w:val="28"/>
          <w:szCs w:val="28"/>
        </w:rPr>
        <w:t xml:space="preserve"> had that occurred, the amount sought would include the fees, charges and costs </w:t>
      </w:r>
      <w:r w:rsidR="00CE2F3D">
        <w:rPr>
          <w:rFonts w:ascii="Times New Roman" w:eastAsiaTheme="minorEastAsia" w:hAnsi="Times New Roman" w:cs="Times New Roman"/>
          <w:sz w:val="28"/>
          <w:szCs w:val="28"/>
        </w:rPr>
        <w:t xml:space="preserve">stated in the </w:t>
      </w:r>
      <w:r w:rsidRPr="00474898">
        <w:rPr>
          <w:rFonts w:ascii="Times New Roman" w:eastAsiaTheme="minorEastAsia" w:hAnsi="Times New Roman" w:cs="Times New Roman"/>
          <w:sz w:val="28"/>
          <w:szCs w:val="28"/>
        </w:rPr>
        <w:t xml:space="preserve">contract. Given interest and costs accumulated (in six years in </w:t>
      </w:r>
      <w:r w:rsidR="00F41733">
        <w:rPr>
          <w:rFonts w:ascii="Times New Roman" w:eastAsiaTheme="minorEastAsia" w:hAnsi="Times New Roman" w:cs="Times New Roman"/>
          <w:sz w:val="28"/>
          <w:szCs w:val="28"/>
        </w:rPr>
        <w:t>Debtor</w:t>
      </w:r>
      <w:r w:rsidRPr="00474898">
        <w:rPr>
          <w:rFonts w:ascii="Times New Roman" w:eastAsiaTheme="minorEastAsia" w:hAnsi="Times New Roman" w:cs="Times New Roman"/>
          <w:sz w:val="28"/>
          <w:szCs w:val="28"/>
        </w:rPr>
        <w:t xml:space="preserve">’s case) since the date of the statements, clearly the </w:t>
      </w:r>
      <w:r w:rsidR="00F417B5" w:rsidRPr="00474898">
        <w:rPr>
          <w:rFonts w:ascii="Times New Roman" w:eastAsiaTheme="minorEastAsia" w:hAnsi="Times New Roman" w:cs="Times New Roman"/>
          <w:sz w:val="28"/>
          <w:szCs w:val="28"/>
        </w:rPr>
        <w:t>lawsuits were</w:t>
      </w:r>
      <w:r w:rsidRPr="00474898">
        <w:rPr>
          <w:rFonts w:ascii="Times New Roman" w:eastAsiaTheme="minorEastAsia" w:hAnsi="Times New Roman" w:cs="Times New Roman"/>
          <w:sz w:val="28"/>
          <w:szCs w:val="28"/>
        </w:rPr>
        <w:t xml:space="preserve"> signed without any reasonable inquiry that is well grounded in</w:t>
      </w:r>
      <w:r w:rsidR="00CE2F3D">
        <w:rPr>
          <w:rFonts w:ascii="Times New Roman" w:eastAsiaTheme="minorEastAsia" w:hAnsi="Times New Roman" w:cs="Times New Roman"/>
          <w:sz w:val="28"/>
          <w:szCs w:val="28"/>
        </w:rPr>
        <w:t xml:space="preserve"> a review of </w:t>
      </w:r>
      <w:r w:rsidRPr="00474898">
        <w:rPr>
          <w:rFonts w:ascii="Times New Roman" w:eastAsiaTheme="minorEastAsia" w:hAnsi="Times New Roman" w:cs="Times New Roman"/>
          <w:sz w:val="28"/>
          <w:szCs w:val="28"/>
        </w:rPr>
        <w:t>the facts</w:t>
      </w:r>
      <w:r w:rsidR="00263027">
        <w:rPr>
          <w:rFonts w:ascii="Times New Roman" w:eastAsiaTheme="minorEastAsia" w:hAnsi="Times New Roman" w:cs="Times New Roman"/>
          <w:sz w:val="28"/>
          <w:szCs w:val="28"/>
        </w:rPr>
        <w:t xml:space="preserve"> or the cardholder agreement between Citibank and the Plaintiffs</w:t>
      </w:r>
      <w:r w:rsidRPr="00474898">
        <w:rPr>
          <w:rFonts w:ascii="Times New Roman" w:eastAsiaTheme="minorEastAsia" w:hAnsi="Times New Roman" w:cs="Times New Roman"/>
          <w:sz w:val="28"/>
          <w:szCs w:val="28"/>
        </w:rPr>
        <w:t xml:space="preserve">. </w:t>
      </w:r>
    </w:p>
    <w:p w14:paraId="2E4BD95A" w14:textId="7FE6CE34" w:rsidR="00FF10AB" w:rsidRDefault="00A44491" w:rsidP="000109F7">
      <w:pPr>
        <w:spacing w:after="0" w:line="480" w:lineRule="auto"/>
        <w:ind w:firstLine="720"/>
        <w:rPr>
          <w:rFonts w:ascii="Times New Roman" w:eastAsia="Calibri" w:hAnsi="Times New Roman" w:cs="Times New Roman"/>
          <w:sz w:val="28"/>
          <w:szCs w:val="28"/>
        </w:rPr>
      </w:pPr>
      <w:r w:rsidRPr="00F75BAB">
        <w:rPr>
          <w:rFonts w:ascii="Times New Roman" w:eastAsia="Times New Roman" w:hAnsi="Times New Roman" w:cs="Times New Roman"/>
          <w:sz w:val="28"/>
          <w:szCs w:val="28"/>
        </w:rPr>
        <w:lastRenderedPageBreak/>
        <w:t xml:space="preserve">This Honorable Court should reach the same conclusion as in </w:t>
      </w:r>
      <w:r w:rsidRPr="00F75BAB">
        <w:rPr>
          <w:rFonts w:ascii="Times New Roman" w:eastAsia="Times New Roman" w:hAnsi="Times New Roman" w:cs="Times New Roman"/>
          <w:i/>
          <w:sz w:val="28"/>
          <w:szCs w:val="28"/>
        </w:rPr>
        <w:t>Kuria</w:t>
      </w:r>
      <w:r w:rsidRPr="00F75BAB">
        <w:rPr>
          <w:rFonts w:ascii="Times New Roman" w:eastAsia="Times New Roman" w:hAnsi="Times New Roman" w:cs="Times New Roman"/>
          <w:sz w:val="28"/>
          <w:szCs w:val="28"/>
        </w:rPr>
        <w:t xml:space="preserve">, which held that the plaintiff’s claims stated a plausible case against the Defendants for violations of the FDCPA as result.” </w:t>
      </w:r>
      <w:r w:rsidRPr="00F75BAB">
        <w:rPr>
          <w:rFonts w:ascii="Times New Roman" w:eastAsia="Times New Roman" w:hAnsi="Times New Roman" w:cs="Times New Roman"/>
          <w:i/>
          <w:sz w:val="28"/>
          <w:szCs w:val="28"/>
        </w:rPr>
        <w:t>Id</w:t>
      </w:r>
      <w:r w:rsidRPr="00F75BAB">
        <w:rPr>
          <w:rFonts w:ascii="Times New Roman" w:eastAsia="Times New Roman" w:hAnsi="Times New Roman" w:cs="Times New Roman"/>
          <w:sz w:val="28"/>
          <w:szCs w:val="28"/>
        </w:rPr>
        <w:t>. at 1303.</w:t>
      </w:r>
      <w:r w:rsidR="00FF10AB">
        <w:rPr>
          <w:rFonts w:ascii="Times New Roman" w:eastAsia="Calibri" w:hAnsi="Times New Roman" w:cs="Times New Roman"/>
          <w:sz w:val="28"/>
          <w:szCs w:val="28"/>
        </w:rPr>
        <w:tab/>
      </w:r>
      <w:r w:rsidR="00FF10AB" w:rsidRPr="00551386">
        <w:rPr>
          <w:rFonts w:ascii="Times New Roman" w:eastAsia="Calibri" w:hAnsi="Times New Roman" w:cs="Times New Roman"/>
          <w:sz w:val="28"/>
          <w:szCs w:val="28"/>
        </w:rPr>
        <w:t xml:space="preserve">The false, deceptive, and misleading representations employed by Defendants as set forth above in </w:t>
      </w:r>
      <w:r w:rsidR="003B6AE0">
        <w:rPr>
          <w:rFonts w:ascii="Times New Roman" w:eastAsia="Calibri" w:hAnsi="Times New Roman" w:cs="Times New Roman"/>
          <w:sz w:val="28"/>
          <w:szCs w:val="28"/>
        </w:rPr>
        <w:t>their state collection complaints</w:t>
      </w:r>
      <w:r w:rsidR="00FF10AB" w:rsidRPr="00551386">
        <w:rPr>
          <w:rFonts w:ascii="Times New Roman" w:eastAsia="Calibri" w:hAnsi="Times New Roman" w:cs="Times New Roman"/>
          <w:sz w:val="28"/>
          <w:szCs w:val="28"/>
        </w:rPr>
        <w:t xml:space="preserve"> </w:t>
      </w:r>
      <w:r w:rsidR="003B6AE0">
        <w:rPr>
          <w:rFonts w:ascii="Times New Roman" w:eastAsia="Calibri" w:hAnsi="Times New Roman" w:cs="Times New Roman"/>
          <w:sz w:val="28"/>
          <w:szCs w:val="28"/>
        </w:rPr>
        <w:t>to collect</w:t>
      </w:r>
      <w:r w:rsidR="00FF10AB" w:rsidRPr="00551386">
        <w:rPr>
          <w:rFonts w:ascii="Times New Roman" w:eastAsia="Calibri" w:hAnsi="Times New Roman" w:cs="Times New Roman"/>
          <w:sz w:val="28"/>
          <w:szCs w:val="28"/>
        </w:rPr>
        <w:t xml:space="preserve"> these alleged debts are material to the due process rights of the consumers—who are being sued with false documentation and verifications— in being able to properly respond, and, but-for these material misrepresentations, Plaintiffs would be able to assert meritorious defenses to Plaintiffs’ claims, such as a “lack of ownership of the debt,” or “a no assignment of sale of the debt,” among others. </w:t>
      </w:r>
    </w:p>
    <w:p w14:paraId="4E6A00D8" w14:textId="19E02BE8" w:rsidR="009612BF" w:rsidRPr="009612BF" w:rsidRDefault="009612BF" w:rsidP="009612BF">
      <w:pPr>
        <w:pStyle w:val="ListParagraph"/>
        <w:numPr>
          <w:ilvl w:val="0"/>
          <w:numId w:val="17"/>
        </w:numPr>
        <w:spacing w:after="0" w:line="480" w:lineRule="auto"/>
        <w:rPr>
          <w:rFonts w:ascii="Times New Roman" w:eastAsia="Calibri" w:hAnsi="Times New Roman" w:cs="Times New Roman"/>
          <w:sz w:val="28"/>
          <w:szCs w:val="28"/>
        </w:rPr>
      </w:pPr>
      <w:r w:rsidRPr="009612BF">
        <w:rPr>
          <w:rFonts w:ascii="Times New Roman" w:eastAsia="Calibri" w:hAnsi="Times New Roman" w:cs="Times New Roman"/>
          <w:b/>
          <w:i/>
          <w:sz w:val="28"/>
          <w:szCs w:val="28"/>
        </w:rPr>
        <w:t>New Michigan Court of Appeals case on point</w:t>
      </w:r>
      <w:r>
        <w:rPr>
          <w:rFonts w:ascii="Times New Roman" w:eastAsia="Calibri" w:hAnsi="Times New Roman" w:cs="Times New Roman"/>
          <w:sz w:val="28"/>
          <w:szCs w:val="28"/>
        </w:rPr>
        <w:t>.</w:t>
      </w:r>
    </w:p>
    <w:p w14:paraId="4801151C" w14:textId="264B6AA7" w:rsidR="009612BF" w:rsidRPr="00E142A6" w:rsidRDefault="001E0795" w:rsidP="009612BF">
      <w:pPr>
        <w:spacing w:line="480" w:lineRule="auto"/>
        <w:rPr>
          <w:rFonts w:ascii="Times New Roman" w:hAnsi="Times New Roman" w:cs="Times New Roman"/>
          <w:sz w:val="28"/>
          <w:szCs w:val="28"/>
        </w:rPr>
      </w:pPr>
      <w:r>
        <w:rPr>
          <w:rFonts w:ascii="Times New Roman" w:eastAsia="Calibri" w:hAnsi="Times New Roman" w:cs="Times New Roman"/>
          <w:sz w:val="28"/>
          <w:szCs w:val="28"/>
        </w:rPr>
        <w:tab/>
      </w:r>
      <w:bookmarkStart w:id="1" w:name="_Hlk512516173"/>
      <w:r w:rsidR="009612BF" w:rsidRPr="00E142A6">
        <w:rPr>
          <w:rFonts w:ascii="Times New Roman" w:hAnsi="Times New Roman" w:cs="Times New Roman"/>
          <w:i/>
          <w:sz w:val="28"/>
          <w:szCs w:val="28"/>
        </w:rPr>
        <w:t>Midland Funding, LLC v Michael Bassett</w:t>
      </w:r>
      <w:r w:rsidR="009612BF" w:rsidRPr="00E142A6">
        <w:rPr>
          <w:rFonts w:ascii="Times New Roman" w:hAnsi="Times New Roman" w:cs="Times New Roman"/>
          <w:sz w:val="28"/>
          <w:szCs w:val="28"/>
        </w:rPr>
        <w:t xml:space="preserve">, No. 338404, </w:t>
      </w:r>
      <w:r w:rsidR="009612BF" w:rsidRPr="00E142A6">
        <w:rPr>
          <w:rFonts w:ascii="Times New Roman" w:hAnsi="Times New Roman" w:cs="Times New Roman"/>
          <w:b/>
          <w:sz w:val="28"/>
          <w:szCs w:val="28"/>
        </w:rPr>
        <w:t>April 24, 2018</w:t>
      </w:r>
      <w:r w:rsidR="009612BF" w:rsidRPr="00E142A6">
        <w:rPr>
          <w:rFonts w:ascii="Times New Roman" w:hAnsi="Times New Roman" w:cs="Times New Roman"/>
          <w:sz w:val="28"/>
          <w:szCs w:val="28"/>
        </w:rPr>
        <w:t xml:space="preserve"> just came down from the </w:t>
      </w:r>
      <w:r w:rsidR="00E142A6">
        <w:rPr>
          <w:rFonts w:ascii="Times New Roman" w:hAnsi="Times New Roman" w:cs="Times New Roman"/>
          <w:sz w:val="28"/>
          <w:szCs w:val="28"/>
        </w:rPr>
        <w:t xml:space="preserve">Michigan </w:t>
      </w:r>
      <w:r w:rsidR="009612BF" w:rsidRPr="00E142A6">
        <w:rPr>
          <w:rFonts w:ascii="Times New Roman" w:hAnsi="Times New Roman" w:cs="Times New Roman"/>
          <w:sz w:val="28"/>
          <w:szCs w:val="28"/>
        </w:rPr>
        <w:t>Court of Appeals based upon a trial that Plaintiff’s Counsel litigated in Washtenaw Circuit Court.  Plaintiff</w:t>
      </w:r>
      <w:r w:rsidR="00E142A6">
        <w:rPr>
          <w:rFonts w:ascii="Times New Roman" w:hAnsi="Times New Roman" w:cs="Times New Roman"/>
          <w:sz w:val="28"/>
          <w:szCs w:val="28"/>
        </w:rPr>
        <w:t>s</w:t>
      </w:r>
      <w:r w:rsidR="009612BF" w:rsidRPr="00E142A6">
        <w:rPr>
          <w:rFonts w:ascii="Times New Roman" w:hAnsi="Times New Roman" w:cs="Times New Roman"/>
          <w:sz w:val="28"/>
          <w:szCs w:val="28"/>
        </w:rPr>
        <w:t xml:space="preserve">’ defense </w:t>
      </w:r>
      <w:r w:rsidR="00E142A6">
        <w:rPr>
          <w:rFonts w:ascii="Times New Roman" w:hAnsi="Times New Roman" w:cs="Times New Roman"/>
          <w:sz w:val="28"/>
          <w:szCs w:val="28"/>
        </w:rPr>
        <w:t xml:space="preserve">in </w:t>
      </w:r>
      <w:r w:rsidR="0031124C" w:rsidRPr="00E142A6">
        <w:rPr>
          <w:rFonts w:ascii="Times New Roman" w:hAnsi="Times New Roman" w:cs="Times New Roman"/>
          <w:sz w:val="28"/>
          <w:szCs w:val="28"/>
        </w:rPr>
        <w:t xml:space="preserve">state court and the Federal complaint </w:t>
      </w:r>
      <w:r w:rsidR="008D7332">
        <w:rPr>
          <w:rFonts w:ascii="Times New Roman" w:hAnsi="Times New Roman" w:cs="Times New Roman"/>
          <w:sz w:val="28"/>
          <w:szCs w:val="28"/>
        </w:rPr>
        <w:t xml:space="preserve">here </w:t>
      </w:r>
      <w:r w:rsidR="009612BF" w:rsidRPr="00E142A6">
        <w:rPr>
          <w:rFonts w:ascii="Times New Roman" w:hAnsi="Times New Roman" w:cs="Times New Roman"/>
          <w:sz w:val="28"/>
          <w:szCs w:val="28"/>
        </w:rPr>
        <w:t xml:space="preserve">against </w:t>
      </w:r>
      <w:r w:rsidR="0031124C" w:rsidRPr="00E142A6">
        <w:rPr>
          <w:rFonts w:ascii="Times New Roman" w:hAnsi="Times New Roman" w:cs="Times New Roman"/>
          <w:sz w:val="28"/>
          <w:szCs w:val="28"/>
        </w:rPr>
        <w:t>Cavalry</w:t>
      </w:r>
      <w:r w:rsidR="009612BF" w:rsidRPr="00E142A6">
        <w:rPr>
          <w:rFonts w:ascii="Times New Roman" w:hAnsi="Times New Roman" w:cs="Times New Roman"/>
          <w:sz w:val="28"/>
          <w:szCs w:val="28"/>
        </w:rPr>
        <w:t xml:space="preserve"> </w:t>
      </w:r>
      <w:r w:rsidR="00E142A6">
        <w:rPr>
          <w:rFonts w:ascii="Times New Roman" w:hAnsi="Times New Roman" w:cs="Times New Roman"/>
          <w:sz w:val="28"/>
          <w:szCs w:val="28"/>
        </w:rPr>
        <w:t xml:space="preserve">and RVO </w:t>
      </w:r>
      <w:r w:rsidR="0031124C" w:rsidRPr="00E142A6">
        <w:rPr>
          <w:rFonts w:ascii="Times New Roman" w:hAnsi="Times New Roman" w:cs="Times New Roman"/>
          <w:sz w:val="28"/>
          <w:szCs w:val="28"/>
        </w:rPr>
        <w:t>are</w:t>
      </w:r>
      <w:r w:rsidR="009612BF" w:rsidRPr="00E142A6">
        <w:rPr>
          <w:rFonts w:ascii="Times New Roman" w:hAnsi="Times New Roman" w:cs="Times New Roman"/>
          <w:sz w:val="28"/>
          <w:szCs w:val="28"/>
        </w:rPr>
        <w:t xml:space="preserve"> based upon the same arguments that </w:t>
      </w:r>
      <w:r w:rsidR="00E142A6">
        <w:rPr>
          <w:rFonts w:ascii="Times New Roman" w:hAnsi="Times New Roman" w:cs="Times New Roman"/>
          <w:sz w:val="28"/>
          <w:szCs w:val="28"/>
        </w:rPr>
        <w:t>form</w:t>
      </w:r>
      <w:r w:rsidR="009612BF" w:rsidRPr="00E142A6">
        <w:rPr>
          <w:rFonts w:ascii="Times New Roman" w:hAnsi="Times New Roman" w:cs="Times New Roman"/>
          <w:sz w:val="28"/>
          <w:szCs w:val="28"/>
        </w:rPr>
        <w:t xml:space="preserve"> the basis of the Appeals Court’s Opinion attached at </w:t>
      </w:r>
      <w:r w:rsidR="009612BF" w:rsidRPr="00E142A6">
        <w:rPr>
          <w:rFonts w:ascii="Times New Roman" w:hAnsi="Times New Roman" w:cs="Times New Roman"/>
          <w:b/>
          <w:sz w:val="28"/>
          <w:szCs w:val="28"/>
          <w:u w:val="single"/>
        </w:rPr>
        <w:t xml:space="preserve">Exhibit </w:t>
      </w:r>
      <w:r w:rsidR="00423F9D">
        <w:rPr>
          <w:rFonts w:ascii="Times New Roman" w:hAnsi="Times New Roman" w:cs="Times New Roman"/>
          <w:b/>
          <w:sz w:val="28"/>
          <w:szCs w:val="28"/>
          <w:u w:val="single"/>
        </w:rPr>
        <w:t>1</w:t>
      </w:r>
      <w:r w:rsidR="009612BF" w:rsidRPr="00E142A6">
        <w:rPr>
          <w:rFonts w:ascii="Times New Roman" w:hAnsi="Times New Roman" w:cs="Times New Roman"/>
          <w:sz w:val="28"/>
          <w:szCs w:val="28"/>
        </w:rPr>
        <w:t>.</w:t>
      </w:r>
      <w:r w:rsidR="0031124C" w:rsidRPr="00E142A6">
        <w:rPr>
          <w:rFonts w:ascii="Times New Roman" w:hAnsi="Times New Roman" w:cs="Times New Roman"/>
          <w:sz w:val="28"/>
          <w:szCs w:val="28"/>
        </w:rPr>
        <w:t xml:space="preserve"> </w:t>
      </w:r>
      <w:r w:rsidR="00321047" w:rsidRPr="00E142A6">
        <w:rPr>
          <w:rFonts w:ascii="Times New Roman" w:hAnsi="Times New Roman" w:cs="Times New Roman"/>
          <w:sz w:val="28"/>
          <w:szCs w:val="28"/>
        </w:rPr>
        <w:t xml:space="preserve"> Mr. </w:t>
      </w:r>
      <w:r w:rsidR="00AF5324">
        <w:rPr>
          <w:rFonts w:ascii="Times New Roman" w:hAnsi="Times New Roman" w:cs="Times New Roman"/>
          <w:sz w:val="28"/>
          <w:szCs w:val="28"/>
        </w:rPr>
        <w:t>Ba</w:t>
      </w:r>
      <w:r w:rsidR="00321047" w:rsidRPr="00E142A6">
        <w:rPr>
          <w:rFonts w:ascii="Times New Roman" w:hAnsi="Times New Roman" w:cs="Times New Roman"/>
          <w:sz w:val="28"/>
          <w:szCs w:val="28"/>
        </w:rPr>
        <w:t xml:space="preserve">sset had argued at trial that the debt collector had failed to provide </w:t>
      </w:r>
      <w:r w:rsidR="002546E6" w:rsidRPr="00E142A6">
        <w:rPr>
          <w:rFonts w:ascii="Times New Roman" w:hAnsi="Times New Roman" w:cs="Times New Roman"/>
          <w:sz w:val="28"/>
          <w:szCs w:val="28"/>
        </w:rPr>
        <w:t xml:space="preserve">any </w:t>
      </w:r>
      <w:r w:rsidR="00321047" w:rsidRPr="00E142A6">
        <w:rPr>
          <w:rFonts w:ascii="Times New Roman" w:hAnsi="Times New Roman" w:cs="Times New Roman"/>
          <w:sz w:val="28"/>
          <w:szCs w:val="28"/>
        </w:rPr>
        <w:t xml:space="preserve">proof of ownership of the debt </w:t>
      </w:r>
      <w:r w:rsidR="00423F9D">
        <w:rPr>
          <w:rFonts w:ascii="Times New Roman" w:hAnsi="Times New Roman" w:cs="Times New Roman"/>
          <w:sz w:val="28"/>
          <w:szCs w:val="28"/>
        </w:rPr>
        <w:t>specifically</w:t>
      </w:r>
      <w:r w:rsidR="00321047" w:rsidRPr="00E142A6">
        <w:rPr>
          <w:rFonts w:ascii="Times New Roman" w:hAnsi="Times New Roman" w:cs="Times New Roman"/>
          <w:sz w:val="28"/>
          <w:szCs w:val="28"/>
        </w:rPr>
        <w:t xml:space="preserve"> to Mr. Basset</w:t>
      </w:r>
      <w:r w:rsidR="002546E6" w:rsidRPr="00E142A6">
        <w:rPr>
          <w:rFonts w:ascii="Times New Roman" w:hAnsi="Times New Roman" w:cs="Times New Roman"/>
          <w:sz w:val="28"/>
          <w:szCs w:val="28"/>
        </w:rPr>
        <w:t xml:space="preserve">. </w:t>
      </w:r>
      <w:r w:rsidR="00321047" w:rsidRPr="00E142A6">
        <w:rPr>
          <w:rFonts w:ascii="Times New Roman" w:hAnsi="Times New Roman" w:cs="Times New Roman"/>
          <w:sz w:val="28"/>
          <w:szCs w:val="28"/>
        </w:rPr>
        <w:t xml:space="preserve"> </w:t>
      </w:r>
      <w:r w:rsidR="009612BF" w:rsidRPr="00E142A6">
        <w:rPr>
          <w:rFonts w:ascii="Times New Roman" w:hAnsi="Times New Roman" w:cs="Times New Roman"/>
          <w:sz w:val="28"/>
          <w:szCs w:val="28"/>
        </w:rPr>
        <w:t xml:space="preserve"> </w:t>
      </w:r>
      <w:r w:rsidR="002546E6" w:rsidRPr="00E142A6">
        <w:rPr>
          <w:rFonts w:ascii="Times New Roman" w:hAnsi="Times New Roman" w:cs="Times New Roman"/>
          <w:sz w:val="28"/>
          <w:szCs w:val="28"/>
        </w:rPr>
        <w:t xml:space="preserve">In overturning the Trial Court’s finding that the </w:t>
      </w:r>
      <w:r w:rsidR="003D5528" w:rsidRPr="00E142A6">
        <w:rPr>
          <w:rFonts w:ascii="Times New Roman" w:hAnsi="Times New Roman" w:cs="Times New Roman"/>
          <w:sz w:val="28"/>
          <w:szCs w:val="28"/>
        </w:rPr>
        <w:t xml:space="preserve">debt pool assignments were enough to show ownership by Midland Funding, </w:t>
      </w:r>
      <w:bookmarkEnd w:id="1"/>
      <w:r w:rsidR="009612BF" w:rsidRPr="00E142A6">
        <w:rPr>
          <w:rFonts w:ascii="Times New Roman" w:hAnsi="Times New Roman" w:cs="Times New Roman"/>
          <w:sz w:val="28"/>
          <w:szCs w:val="28"/>
        </w:rPr>
        <w:t>The Appeals Court held:</w:t>
      </w:r>
    </w:p>
    <w:p w14:paraId="6C93A4FE" w14:textId="77777777" w:rsidR="009612BF" w:rsidRPr="00E142A6" w:rsidRDefault="009612BF" w:rsidP="009612BF">
      <w:pPr>
        <w:ind w:left="720"/>
        <w:rPr>
          <w:rFonts w:ascii="Times New Roman" w:hAnsi="Times New Roman" w:cs="Times New Roman"/>
          <w:sz w:val="28"/>
          <w:szCs w:val="28"/>
        </w:rPr>
      </w:pPr>
      <w:r w:rsidRPr="00E142A6">
        <w:rPr>
          <w:rFonts w:ascii="Times New Roman" w:hAnsi="Times New Roman" w:cs="Times New Roman"/>
          <w:sz w:val="28"/>
          <w:szCs w:val="28"/>
        </w:rPr>
        <w:lastRenderedPageBreak/>
        <w:t>“However, there was no information identifying any individual debtors in any of the chain of sale documents with respect to the sale between FIA Card Services, N.A. and Asset Acceptance, LLC, and likewise, no field data report, or similar document, was produced with respect to that sale. Therefore, there is a break in the chain of title as it relates to the inclusion of defendant’s debt in the charged off debt pool.</w:t>
      </w:r>
    </w:p>
    <w:p w14:paraId="29515901" w14:textId="02422430" w:rsidR="009612BF" w:rsidRPr="00E142A6" w:rsidRDefault="009612BF" w:rsidP="009612BF">
      <w:pPr>
        <w:ind w:left="720"/>
        <w:rPr>
          <w:rFonts w:ascii="Times New Roman" w:hAnsi="Times New Roman" w:cs="Times New Roman"/>
          <w:sz w:val="28"/>
          <w:szCs w:val="28"/>
        </w:rPr>
      </w:pPr>
      <w:r w:rsidRPr="00E142A6">
        <w:rPr>
          <w:rFonts w:ascii="Times New Roman" w:hAnsi="Times New Roman" w:cs="Times New Roman"/>
          <w:sz w:val="28"/>
          <w:szCs w:val="28"/>
        </w:rPr>
        <w:t xml:space="preserve">Based on the foregoing, we conclude that plaintiff failed to affirmatively establish a continuous chain of title to defendant’s debt between FIA Card Services, N.A. and Midland Funding. Instead, plaintiff only established a continuous chain of title to a generic debt pool… Because Midland Funding failed to prove by a preponderance of the evidence that it owned defendant’s debt, defendant was entitled to judgment in his favor.” </w:t>
      </w:r>
      <w:r w:rsidRPr="00E142A6">
        <w:rPr>
          <w:rFonts w:ascii="Times New Roman" w:hAnsi="Times New Roman" w:cs="Times New Roman"/>
          <w:b/>
          <w:sz w:val="28"/>
          <w:szCs w:val="28"/>
          <w:u w:val="single"/>
        </w:rPr>
        <w:t xml:space="preserve">Page 5 of the COA Opinion at Exhibit </w:t>
      </w:r>
      <w:r w:rsidR="005178DC">
        <w:rPr>
          <w:rFonts w:ascii="Times New Roman" w:hAnsi="Times New Roman" w:cs="Times New Roman"/>
          <w:b/>
          <w:sz w:val="28"/>
          <w:szCs w:val="28"/>
          <w:u w:val="single"/>
        </w:rPr>
        <w:t>1</w:t>
      </w:r>
      <w:r w:rsidRPr="00E142A6">
        <w:rPr>
          <w:rFonts w:ascii="Times New Roman" w:hAnsi="Times New Roman" w:cs="Times New Roman"/>
          <w:sz w:val="28"/>
          <w:szCs w:val="28"/>
        </w:rPr>
        <w:t>.</w:t>
      </w:r>
    </w:p>
    <w:p w14:paraId="3B7E6979" w14:textId="57D26E33" w:rsidR="00761E77" w:rsidRPr="00E142A6" w:rsidRDefault="009612BF" w:rsidP="00907C3D">
      <w:pPr>
        <w:spacing w:after="0" w:line="480" w:lineRule="auto"/>
        <w:ind w:firstLine="720"/>
        <w:rPr>
          <w:rFonts w:ascii="Times New Roman" w:hAnsi="Times New Roman" w:cs="Times New Roman"/>
          <w:sz w:val="28"/>
          <w:szCs w:val="28"/>
        </w:rPr>
      </w:pPr>
      <w:r w:rsidRPr="00E142A6">
        <w:rPr>
          <w:rFonts w:ascii="Times New Roman" w:hAnsi="Times New Roman" w:cs="Times New Roman"/>
          <w:sz w:val="28"/>
          <w:szCs w:val="28"/>
        </w:rPr>
        <w:t xml:space="preserve">This is exactly the facts of the </w:t>
      </w:r>
      <w:r w:rsidR="003D5528" w:rsidRPr="00E142A6">
        <w:rPr>
          <w:rFonts w:ascii="Times New Roman" w:hAnsi="Times New Roman" w:cs="Times New Roman"/>
          <w:sz w:val="28"/>
          <w:szCs w:val="28"/>
        </w:rPr>
        <w:t>Federal case and state Court defense of Plaintiffs</w:t>
      </w:r>
      <w:r w:rsidRPr="00E142A6">
        <w:rPr>
          <w:rFonts w:ascii="Times New Roman" w:hAnsi="Times New Roman" w:cs="Times New Roman"/>
          <w:sz w:val="28"/>
          <w:szCs w:val="28"/>
        </w:rPr>
        <w:t xml:space="preserve">. There are no </w:t>
      </w:r>
      <w:r w:rsidR="00525D4A">
        <w:rPr>
          <w:rFonts w:ascii="Times New Roman" w:hAnsi="Times New Roman" w:cs="Times New Roman"/>
          <w:sz w:val="28"/>
          <w:szCs w:val="28"/>
        </w:rPr>
        <w:t xml:space="preserve">specific </w:t>
      </w:r>
      <w:r w:rsidRPr="00E142A6">
        <w:rPr>
          <w:rFonts w:ascii="Times New Roman" w:hAnsi="Times New Roman" w:cs="Times New Roman"/>
          <w:sz w:val="28"/>
          <w:szCs w:val="28"/>
        </w:rPr>
        <w:t xml:space="preserve">assignments </w:t>
      </w:r>
      <w:r w:rsidR="009267BB">
        <w:rPr>
          <w:rFonts w:ascii="Times New Roman" w:hAnsi="Times New Roman" w:cs="Times New Roman"/>
          <w:sz w:val="28"/>
          <w:szCs w:val="28"/>
        </w:rPr>
        <w:t>between</w:t>
      </w:r>
      <w:r w:rsidR="005178DC">
        <w:rPr>
          <w:rFonts w:ascii="Times New Roman" w:hAnsi="Times New Roman" w:cs="Times New Roman"/>
          <w:sz w:val="28"/>
          <w:szCs w:val="28"/>
        </w:rPr>
        <w:t xml:space="preserve"> </w:t>
      </w:r>
      <w:r w:rsidRPr="00E142A6">
        <w:rPr>
          <w:rFonts w:ascii="Times New Roman" w:hAnsi="Times New Roman" w:cs="Times New Roman"/>
          <w:sz w:val="28"/>
          <w:szCs w:val="28"/>
        </w:rPr>
        <w:t>C</w:t>
      </w:r>
      <w:r w:rsidR="003D5528" w:rsidRPr="00E142A6">
        <w:rPr>
          <w:rFonts w:ascii="Times New Roman" w:hAnsi="Times New Roman" w:cs="Times New Roman"/>
          <w:sz w:val="28"/>
          <w:szCs w:val="28"/>
        </w:rPr>
        <w:t>avalry and Citibank</w:t>
      </w:r>
      <w:r w:rsidRPr="00E142A6">
        <w:rPr>
          <w:rFonts w:ascii="Times New Roman" w:hAnsi="Times New Roman" w:cs="Times New Roman"/>
          <w:sz w:val="28"/>
          <w:szCs w:val="28"/>
        </w:rPr>
        <w:t xml:space="preserve">, that show any connection to </w:t>
      </w:r>
      <w:r w:rsidR="003D5528" w:rsidRPr="00E142A6">
        <w:rPr>
          <w:rFonts w:ascii="Times New Roman" w:hAnsi="Times New Roman" w:cs="Times New Roman"/>
          <w:sz w:val="28"/>
          <w:szCs w:val="28"/>
        </w:rPr>
        <w:t>the Plaintiffs debts</w:t>
      </w:r>
      <w:r w:rsidRPr="00E142A6">
        <w:rPr>
          <w:rFonts w:ascii="Times New Roman" w:hAnsi="Times New Roman" w:cs="Times New Roman"/>
          <w:sz w:val="28"/>
          <w:szCs w:val="28"/>
        </w:rPr>
        <w:t>. Just a “</w:t>
      </w:r>
      <w:r w:rsidRPr="00E142A6">
        <w:rPr>
          <w:rFonts w:ascii="Times New Roman" w:hAnsi="Times New Roman" w:cs="Times New Roman"/>
          <w:b/>
          <w:i/>
          <w:sz w:val="28"/>
          <w:szCs w:val="28"/>
        </w:rPr>
        <w:t>generic debt pool</w:t>
      </w:r>
      <w:r w:rsidRPr="00E142A6">
        <w:rPr>
          <w:rFonts w:ascii="Times New Roman" w:hAnsi="Times New Roman" w:cs="Times New Roman"/>
          <w:sz w:val="28"/>
          <w:szCs w:val="28"/>
        </w:rPr>
        <w:t xml:space="preserve">.”  Also, the Bill of Sale and Assignment between </w:t>
      </w:r>
      <w:r w:rsidR="00C45C77" w:rsidRPr="00E142A6">
        <w:rPr>
          <w:rFonts w:ascii="Times New Roman" w:hAnsi="Times New Roman" w:cs="Times New Roman"/>
          <w:sz w:val="28"/>
          <w:szCs w:val="28"/>
        </w:rPr>
        <w:t>Citibank and Cavalry</w:t>
      </w:r>
      <w:r w:rsidRPr="00E142A6">
        <w:rPr>
          <w:rFonts w:ascii="Times New Roman" w:hAnsi="Times New Roman" w:cs="Times New Roman"/>
          <w:sz w:val="28"/>
          <w:szCs w:val="28"/>
        </w:rPr>
        <w:t xml:space="preserve"> </w:t>
      </w:r>
      <w:r w:rsidRPr="00E142A6">
        <w:rPr>
          <w:rFonts w:ascii="Times New Roman" w:hAnsi="Times New Roman" w:cs="Times New Roman"/>
          <w:b/>
          <w:i/>
          <w:sz w:val="28"/>
          <w:szCs w:val="28"/>
        </w:rPr>
        <w:t>is not signed by</w:t>
      </w:r>
      <w:r w:rsidR="00C45C77" w:rsidRPr="00E142A6">
        <w:rPr>
          <w:rFonts w:ascii="Times New Roman" w:hAnsi="Times New Roman" w:cs="Times New Roman"/>
          <w:b/>
          <w:i/>
          <w:sz w:val="28"/>
          <w:szCs w:val="28"/>
        </w:rPr>
        <w:t xml:space="preserve"> any</w:t>
      </w:r>
      <w:r w:rsidRPr="00E142A6">
        <w:rPr>
          <w:rFonts w:ascii="Times New Roman" w:hAnsi="Times New Roman" w:cs="Times New Roman"/>
          <w:b/>
          <w:i/>
          <w:sz w:val="28"/>
          <w:szCs w:val="28"/>
        </w:rPr>
        <w:t xml:space="preserve"> “assignee,”</w:t>
      </w:r>
      <w:r w:rsidRPr="00E142A6">
        <w:rPr>
          <w:rFonts w:ascii="Times New Roman" w:hAnsi="Times New Roman" w:cs="Times New Roman"/>
          <w:sz w:val="28"/>
          <w:szCs w:val="28"/>
        </w:rPr>
        <w:t xml:space="preserve"> </w:t>
      </w:r>
      <w:r w:rsidR="00C45C77" w:rsidRPr="00E142A6">
        <w:rPr>
          <w:rFonts w:ascii="Times New Roman" w:hAnsi="Times New Roman" w:cs="Times New Roman"/>
          <w:sz w:val="28"/>
          <w:szCs w:val="28"/>
        </w:rPr>
        <w:t>such as Cavalry</w:t>
      </w:r>
      <w:r w:rsidRPr="00E142A6">
        <w:rPr>
          <w:rFonts w:ascii="Times New Roman" w:hAnsi="Times New Roman" w:cs="Times New Roman"/>
          <w:sz w:val="28"/>
          <w:szCs w:val="28"/>
        </w:rPr>
        <w:t>. So, there is no assignment of the debt under Michigan’s Statute of Frauds</w:t>
      </w:r>
      <w:r w:rsidR="00907C3D">
        <w:rPr>
          <w:rFonts w:ascii="Times New Roman" w:hAnsi="Times New Roman" w:cs="Times New Roman"/>
          <w:sz w:val="28"/>
          <w:szCs w:val="28"/>
        </w:rPr>
        <w:t xml:space="preserve"> showing any ownership of the specific debts of Plaintiffs</w:t>
      </w:r>
      <w:r w:rsidRPr="00E142A6">
        <w:rPr>
          <w:rFonts w:ascii="Times New Roman" w:hAnsi="Times New Roman" w:cs="Times New Roman"/>
          <w:sz w:val="28"/>
          <w:szCs w:val="28"/>
        </w:rPr>
        <w:t xml:space="preserve">. </w:t>
      </w:r>
      <w:r w:rsidR="00761E77" w:rsidRPr="00E142A6">
        <w:rPr>
          <w:rFonts w:ascii="Times New Roman" w:hAnsi="Times New Roman" w:cs="Times New Roman"/>
          <w:sz w:val="28"/>
          <w:szCs w:val="28"/>
        </w:rPr>
        <w:t xml:space="preserve"> </w:t>
      </w:r>
    </w:p>
    <w:p w14:paraId="21A13496" w14:textId="28E213C1" w:rsidR="009612BF" w:rsidRPr="00E142A6" w:rsidRDefault="00761E77" w:rsidP="00907C3D">
      <w:pPr>
        <w:spacing w:after="0" w:line="480" w:lineRule="auto"/>
        <w:ind w:firstLine="720"/>
        <w:rPr>
          <w:rFonts w:ascii="Times New Roman" w:hAnsi="Times New Roman" w:cs="Times New Roman"/>
          <w:sz w:val="28"/>
          <w:szCs w:val="28"/>
        </w:rPr>
      </w:pPr>
      <w:r w:rsidRPr="00E142A6">
        <w:rPr>
          <w:rFonts w:ascii="Times New Roman" w:hAnsi="Times New Roman" w:cs="Times New Roman"/>
          <w:sz w:val="28"/>
          <w:szCs w:val="28"/>
        </w:rPr>
        <w:t xml:space="preserve">There exists no current or future right for Cavalry to sue the Plaintiffs. </w:t>
      </w:r>
      <w:r w:rsidR="009612BF" w:rsidRPr="00E142A6">
        <w:rPr>
          <w:rFonts w:ascii="Times New Roman" w:hAnsi="Times New Roman" w:cs="Times New Roman"/>
          <w:sz w:val="28"/>
          <w:szCs w:val="28"/>
        </w:rPr>
        <w:t>At any time before the lawsuit someone could have created an assignment or affidavit saying the</w:t>
      </w:r>
      <w:r w:rsidR="00907C3D">
        <w:rPr>
          <w:rFonts w:ascii="Times New Roman" w:hAnsi="Times New Roman" w:cs="Times New Roman"/>
          <w:sz w:val="28"/>
          <w:szCs w:val="28"/>
        </w:rPr>
        <w:t xml:space="preserve"> specific</w:t>
      </w:r>
      <w:r w:rsidR="009612BF" w:rsidRPr="00E142A6">
        <w:rPr>
          <w:rFonts w:ascii="Times New Roman" w:hAnsi="Times New Roman" w:cs="Times New Roman"/>
          <w:sz w:val="28"/>
          <w:szCs w:val="28"/>
        </w:rPr>
        <w:t xml:space="preserve"> debt of </w:t>
      </w:r>
      <w:r w:rsidR="002925FA" w:rsidRPr="00E142A6">
        <w:rPr>
          <w:rFonts w:ascii="Times New Roman" w:hAnsi="Times New Roman" w:cs="Times New Roman"/>
          <w:sz w:val="28"/>
          <w:szCs w:val="28"/>
        </w:rPr>
        <w:t>Plaintiffs</w:t>
      </w:r>
      <w:r w:rsidR="009612BF" w:rsidRPr="00E142A6">
        <w:rPr>
          <w:rFonts w:ascii="Times New Roman" w:hAnsi="Times New Roman" w:cs="Times New Roman"/>
          <w:sz w:val="28"/>
          <w:szCs w:val="28"/>
        </w:rPr>
        <w:t xml:space="preserve"> passed with each sale but that has not happened. You have nothing more than a “generic pool of debt” and no assignment </w:t>
      </w:r>
      <w:r w:rsidR="009612BF" w:rsidRPr="00E142A6">
        <w:rPr>
          <w:rFonts w:ascii="Times New Roman" w:hAnsi="Times New Roman" w:cs="Times New Roman"/>
          <w:sz w:val="28"/>
          <w:szCs w:val="28"/>
        </w:rPr>
        <w:lastRenderedPageBreak/>
        <w:t>specific to the debt they sue upon</w:t>
      </w:r>
      <w:r w:rsidR="002925FA" w:rsidRPr="00E142A6">
        <w:rPr>
          <w:rFonts w:ascii="Times New Roman" w:hAnsi="Times New Roman" w:cs="Times New Roman"/>
          <w:sz w:val="28"/>
          <w:szCs w:val="28"/>
        </w:rPr>
        <w:t xml:space="preserve"> that the Attorney, Mr. Roosen felt was enough to sign off on</w:t>
      </w:r>
      <w:r w:rsidR="009612BF" w:rsidRPr="00E142A6">
        <w:rPr>
          <w:rFonts w:ascii="Times New Roman" w:hAnsi="Times New Roman" w:cs="Times New Roman"/>
          <w:sz w:val="28"/>
          <w:szCs w:val="28"/>
        </w:rPr>
        <w:t>.</w:t>
      </w:r>
    </w:p>
    <w:p w14:paraId="3510FF26" w14:textId="0A990271" w:rsidR="00A71542" w:rsidRDefault="004D090C" w:rsidP="002A271E">
      <w:pPr>
        <w:spacing w:after="0" w:line="48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With no </w:t>
      </w:r>
      <w:r w:rsidR="0065365B">
        <w:rPr>
          <w:rFonts w:ascii="Times New Roman" w:eastAsia="Calibri" w:hAnsi="Times New Roman" w:cs="Times New Roman"/>
          <w:sz w:val="28"/>
          <w:szCs w:val="28"/>
        </w:rPr>
        <w:t xml:space="preserve">charge off information or credit card holder agreement, </w:t>
      </w:r>
      <w:r w:rsidR="00907C3D">
        <w:rPr>
          <w:rFonts w:ascii="Times New Roman" w:eastAsia="Calibri" w:hAnsi="Times New Roman" w:cs="Times New Roman"/>
          <w:sz w:val="28"/>
          <w:szCs w:val="28"/>
        </w:rPr>
        <w:t>the Court here can’t infer</w:t>
      </w:r>
      <w:r w:rsidR="001E0795">
        <w:rPr>
          <w:rFonts w:ascii="Times New Roman" w:eastAsia="Calibri" w:hAnsi="Times New Roman" w:cs="Times New Roman"/>
          <w:sz w:val="28"/>
          <w:szCs w:val="28"/>
        </w:rPr>
        <w:t xml:space="preserve"> that the attorney signing the State lawsuits </w:t>
      </w:r>
      <w:r w:rsidR="00780988">
        <w:rPr>
          <w:rFonts w:ascii="Times New Roman" w:eastAsia="Calibri" w:hAnsi="Times New Roman" w:cs="Times New Roman"/>
          <w:sz w:val="28"/>
          <w:szCs w:val="28"/>
        </w:rPr>
        <w:t xml:space="preserve">made a meaningful review of each client account and </w:t>
      </w:r>
      <w:r w:rsidR="001E0795">
        <w:rPr>
          <w:rFonts w:ascii="Times New Roman" w:eastAsia="Calibri" w:hAnsi="Times New Roman" w:cs="Times New Roman"/>
          <w:sz w:val="28"/>
          <w:szCs w:val="28"/>
        </w:rPr>
        <w:t xml:space="preserve">believed </w:t>
      </w:r>
      <w:r w:rsidR="007F2454">
        <w:rPr>
          <w:rFonts w:ascii="Times New Roman" w:eastAsia="Calibri" w:hAnsi="Times New Roman" w:cs="Times New Roman"/>
          <w:sz w:val="28"/>
          <w:szCs w:val="28"/>
        </w:rPr>
        <w:t>that account statements from as far back as 2012</w:t>
      </w:r>
      <w:r w:rsidR="00543906" w:rsidRPr="0054390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and 2014 </w:t>
      </w:r>
      <w:r w:rsidR="00052812">
        <w:rPr>
          <w:rFonts w:ascii="Times New Roman" w:eastAsia="Calibri" w:hAnsi="Times New Roman" w:cs="Times New Roman"/>
          <w:sz w:val="28"/>
          <w:szCs w:val="28"/>
        </w:rPr>
        <w:t xml:space="preserve">were enough </w:t>
      </w:r>
      <w:r>
        <w:rPr>
          <w:rFonts w:ascii="Times New Roman" w:eastAsia="Calibri" w:hAnsi="Times New Roman" w:cs="Times New Roman"/>
          <w:sz w:val="28"/>
          <w:szCs w:val="28"/>
        </w:rPr>
        <w:t xml:space="preserve">to prove the correct debt amount </w:t>
      </w:r>
      <w:r w:rsidR="00052812">
        <w:rPr>
          <w:rFonts w:ascii="Times New Roman" w:eastAsia="Calibri" w:hAnsi="Times New Roman" w:cs="Times New Roman"/>
          <w:sz w:val="28"/>
          <w:szCs w:val="28"/>
        </w:rPr>
        <w:t xml:space="preserve">and that the </w:t>
      </w:r>
      <w:r w:rsidR="007F2454">
        <w:rPr>
          <w:rFonts w:ascii="Times New Roman" w:eastAsia="Calibri" w:hAnsi="Times New Roman" w:cs="Times New Roman"/>
          <w:sz w:val="28"/>
          <w:szCs w:val="28"/>
        </w:rPr>
        <w:t>lack of any specific assignment from the original creditor</w:t>
      </w:r>
      <w:r w:rsidR="00780988">
        <w:rPr>
          <w:rFonts w:ascii="Times New Roman" w:eastAsia="Calibri" w:hAnsi="Times New Roman" w:cs="Times New Roman"/>
          <w:sz w:val="28"/>
          <w:szCs w:val="28"/>
        </w:rPr>
        <w:t xml:space="preserve"> to Cavalry</w:t>
      </w:r>
      <w:r w:rsidR="006876DD">
        <w:rPr>
          <w:rFonts w:ascii="Times New Roman" w:eastAsia="Calibri" w:hAnsi="Times New Roman" w:cs="Times New Roman"/>
          <w:sz w:val="28"/>
          <w:szCs w:val="28"/>
        </w:rPr>
        <w:t xml:space="preserve"> showed ownership of the debt</w:t>
      </w:r>
      <w:r>
        <w:rPr>
          <w:rFonts w:ascii="Times New Roman" w:eastAsia="Calibri" w:hAnsi="Times New Roman" w:cs="Times New Roman"/>
          <w:sz w:val="28"/>
          <w:szCs w:val="28"/>
        </w:rPr>
        <w:t xml:space="preserve"> and supported a case against the Plaintiffs.</w:t>
      </w:r>
      <w:r w:rsidR="0065365B">
        <w:rPr>
          <w:rFonts w:ascii="Times New Roman" w:eastAsia="Calibri" w:hAnsi="Times New Roman" w:cs="Times New Roman"/>
          <w:sz w:val="28"/>
          <w:szCs w:val="28"/>
        </w:rPr>
        <w:t xml:space="preserve"> </w:t>
      </w:r>
    </w:p>
    <w:p w14:paraId="77EFD73C" w14:textId="337D9189" w:rsidR="002A271E" w:rsidRDefault="005F0967" w:rsidP="002A271E">
      <w:pPr>
        <w:spacing w:after="0" w:line="48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As the complaint here details, </w:t>
      </w:r>
      <w:r w:rsidR="002A271E">
        <w:rPr>
          <w:rFonts w:ascii="Times New Roman" w:eastAsia="Calibri" w:hAnsi="Times New Roman" w:cs="Times New Roman"/>
          <w:sz w:val="28"/>
          <w:szCs w:val="28"/>
        </w:rPr>
        <w:t xml:space="preserve">Mr. Roosen </w:t>
      </w:r>
      <w:r w:rsidR="00393689">
        <w:rPr>
          <w:rFonts w:ascii="Times New Roman" w:eastAsia="Calibri" w:hAnsi="Times New Roman" w:cs="Times New Roman"/>
          <w:sz w:val="28"/>
          <w:szCs w:val="28"/>
        </w:rPr>
        <w:t xml:space="preserve">and his law firm </w:t>
      </w:r>
      <w:r w:rsidR="002A271E">
        <w:rPr>
          <w:rFonts w:ascii="Times New Roman" w:eastAsia="Calibri" w:hAnsi="Times New Roman" w:cs="Times New Roman"/>
          <w:sz w:val="28"/>
          <w:szCs w:val="28"/>
        </w:rPr>
        <w:t xml:space="preserve">signed off on the </w:t>
      </w:r>
      <w:r w:rsidR="00B01D83">
        <w:rPr>
          <w:rFonts w:ascii="Times New Roman" w:eastAsia="Calibri" w:hAnsi="Times New Roman" w:cs="Times New Roman"/>
          <w:sz w:val="28"/>
          <w:szCs w:val="28"/>
        </w:rPr>
        <w:t xml:space="preserve">computer template </w:t>
      </w:r>
      <w:r w:rsidR="002A271E">
        <w:rPr>
          <w:rFonts w:ascii="Times New Roman" w:eastAsia="Calibri" w:hAnsi="Times New Roman" w:cs="Times New Roman"/>
          <w:sz w:val="28"/>
          <w:szCs w:val="28"/>
        </w:rPr>
        <w:t>complaint with</w:t>
      </w:r>
      <w:r w:rsidR="0032515B">
        <w:rPr>
          <w:rFonts w:ascii="Times New Roman" w:eastAsia="Calibri" w:hAnsi="Times New Roman" w:cs="Times New Roman"/>
          <w:sz w:val="28"/>
          <w:szCs w:val="28"/>
        </w:rPr>
        <w:t>:</w:t>
      </w:r>
    </w:p>
    <w:p w14:paraId="7EFAB89C" w14:textId="7A898AAA" w:rsidR="0032515B" w:rsidRDefault="0032515B" w:rsidP="0032515B">
      <w:pPr>
        <w:pStyle w:val="ListParagraph"/>
        <w:numPr>
          <w:ilvl w:val="0"/>
          <w:numId w:val="18"/>
        </w:numPr>
        <w:spacing w:after="0" w:line="480" w:lineRule="auto"/>
        <w:rPr>
          <w:rFonts w:ascii="Times New Roman" w:eastAsia="Calibri" w:hAnsi="Times New Roman" w:cs="Times New Roman"/>
          <w:sz w:val="28"/>
          <w:szCs w:val="28"/>
        </w:rPr>
      </w:pPr>
      <w:r>
        <w:rPr>
          <w:rFonts w:ascii="Times New Roman" w:eastAsia="Calibri" w:hAnsi="Times New Roman" w:cs="Times New Roman"/>
          <w:sz w:val="28"/>
          <w:szCs w:val="28"/>
        </w:rPr>
        <w:t>No ownership proof</w:t>
      </w:r>
      <w:r w:rsidR="00536FFB">
        <w:rPr>
          <w:rFonts w:ascii="Times New Roman" w:eastAsia="Calibri" w:hAnsi="Times New Roman" w:cs="Times New Roman"/>
          <w:sz w:val="28"/>
          <w:szCs w:val="28"/>
        </w:rPr>
        <w:t xml:space="preserve"> of the Plaintiffs’ debt</w:t>
      </w:r>
      <w:r>
        <w:rPr>
          <w:rFonts w:ascii="Times New Roman" w:eastAsia="Calibri" w:hAnsi="Times New Roman" w:cs="Times New Roman"/>
          <w:sz w:val="28"/>
          <w:szCs w:val="28"/>
        </w:rPr>
        <w:t>;</w:t>
      </w:r>
    </w:p>
    <w:p w14:paraId="10A8DF2C" w14:textId="693120FD" w:rsidR="0032515B" w:rsidRDefault="0032515B" w:rsidP="0032515B">
      <w:pPr>
        <w:pStyle w:val="ListParagraph"/>
        <w:numPr>
          <w:ilvl w:val="0"/>
          <w:numId w:val="18"/>
        </w:numPr>
        <w:spacing w:after="0" w:line="480" w:lineRule="auto"/>
        <w:rPr>
          <w:rFonts w:ascii="Times New Roman" w:eastAsia="Calibri" w:hAnsi="Times New Roman" w:cs="Times New Roman"/>
          <w:sz w:val="28"/>
          <w:szCs w:val="28"/>
        </w:rPr>
      </w:pPr>
      <w:r>
        <w:rPr>
          <w:rFonts w:ascii="Times New Roman" w:eastAsia="Calibri" w:hAnsi="Times New Roman" w:cs="Times New Roman"/>
          <w:sz w:val="28"/>
          <w:szCs w:val="28"/>
        </w:rPr>
        <w:t>No Cardholder agreement;</w:t>
      </w:r>
    </w:p>
    <w:p w14:paraId="1CCB85EB" w14:textId="50D64A5A" w:rsidR="0032515B" w:rsidRDefault="00C649D7" w:rsidP="0032515B">
      <w:pPr>
        <w:pStyle w:val="ListParagraph"/>
        <w:numPr>
          <w:ilvl w:val="0"/>
          <w:numId w:val="18"/>
        </w:numPr>
        <w:spacing w:after="0" w:line="480" w:lineRule="auto"/>
        <w:rPr>
          <w:rFonts w:ascii="Times New Roman" w:eastAsia="Calibri" w:hAnsi="Times New Roman" w:cs="Times New Roman"/>
          <w:sz w:val="28"/>
          <w:szCs w:val="28"/>
        </w:rPr>
      </w:pPr>
      <w:r>
        <w:rPr>
          <w:rFonts w:ascii="Times New Roman" w:eastAsia="Calibri" w:hAnsi="Times New Roman" w:cs="Times New Roman"/>
          <w:sz w:val="28"/>
          <w:szCs w:val="28"/>
        </w:rPr>
        <w:t>No proof of what was owed in 2018 and with account statements as far back as 2012;</w:t>
      </w:r>
    </w:p>
    <w:p w14:paraId="47EF4FE9" w14:textId="13E1FDA3" w:rsidR="00C649D7" w:rsidRDefault="00F1022B" w:rsidP="0032515B">
      <w:pPr>
        <w:pStyle w:val="ListParagraph"/>
        <w:numPr>
          <w:ilvl w:val="0"/>
          <w:numId w:val="18"/>
        </w:numPr>
        <w:spacing w:after="0" w:line="480" w:lineRule="auto"/>
        <w:rPr>
          <w:rFonts w:ascii="Times New Roman" w:eastAsia="Calibri" w:hAnsi="Times New Roman" w:cs="Times New Roman"/>
          <w:sz w:val="28"/>
          <w:szCs w:val="28"/>
        </w:rPr>
      </w:pPr>
      <w:r>
        <w:rPr>
          <w:rFonts w:ascii="Times New Roman" w:eastAsia="Calibri" w:hAnsi="Times New Roman" w:cs="Times New Roman"/>
          <w:sz w:val="28"/>
          <w:szCs w:val="28"/>
        </w:rPr>
        <w:t>No specific assignment for each Plaintiff other than a</w:t>
      </w:r>
      <w:r w:rsidR="00EF7A57">
        <w:rPr>
          <w:rFonts w:ascii="Times New Roman" w:eastAsia="Calibri" w:hAnsi="Times New Roman" w:cs="Times New Roman"/>
          <w:sz w:val="28"/>
          <w:szCs w:val="28"/>
        </w:rPr>
        <w:t xml:space="preserve"> Bill of Sale and Assignment of a </w:t>
      </w:r>
      <w:r>
        <w:rPr>
          <w:rFonts w:ascii="Times New Roman" w:eastAsia="Calibri" w:hAnsi="Times New Roman" w:cs="Times New Roman"/>
          <w:sz w:val="28"/>
          <w:szCs w:val="28"/>
        </w:rPr>
        <w:t xml:space="preserve">generic pool </w:t>
      </w:r>
      <w:r w:rsidR="005F0967">
        <w:rPr>
          <w:rFonts w:ascii="Times New Roman" w:eastAsia="Calibri" w:hAnsi="Times New Roman" w:cs="Times New Roman"/>
          <w:sz w:val="28"/>
          <w:szCs w:val="28"/>
        </w:rPr>
        <w:t>of debt with no attachment to the debtor being sued</w:t>
      </w:r>
      <w:r w:rsidR="005100E5">
        <w:rPr>
          <w:rFonts w:ascii="Times New Roman" w:eastAsia="Calibri" w:hAnsi="Times New Roman" w:cs="Times New Roman"/>
          <w:sz w:val="28"/>
          <w:szCs w:val="28"/>
        </w:rPr>
        <w:t>; and</w:t>
      </w:r>
    </w:p>
    <w:p w14:paraId="34C73881" w14:textId="59CF7B03" w:rsidR="005100E5" w:rsidRPr="005100E5" w:rsidRDefault="005100E5" w:rsidP="005100E5">
      <w:pPr>
        <w:pStyle w:val="NormalWeb"/>
        <w:numPr>
          <w:ilvl w:val="0"/>
          <w:numId w:val="18"/>
        </w:numPr>
        <w:spacing w:line="480" w:lineRule="auto"/>
        <w:jc w:val="both"/>
        <w:rPr>
          <w:sz w:val="28"/>
          <w:szCs w:val="28"/>
        </w:rPr>
      </w:pPr>
      <w:r w:rsidRPr="005100E5">
        <w:rPr>
          <w:rFonts w:eastAsia="Calibri"/>
          <w:color w:val="000000"/>
          <w:sz w:val="28"/>
          <w:szCs w:val="28"/>
        </w:rPr>
        <w:t>A</w:t>
      </w:r>
      <w:r w:rsidRPr="005100E5">
        <w:rPr>
          <w:sz w:val="28"/>
          <w:szCs w:val="28"/>
        </w:rPr>
        <w:t>ll three actions are barred by the six</w:t>
      </w:r>
      <w:r>
        <w:rPr>
          <w:sz w:val="28"/>
          <w:szCs w:val="28"/>
        </w:rPr>
        <w:t xml:space="preserve"> </w:t>
      </w:r>
      <w:r w:rsidRPr="005100E5">
        <w:rPr>
          <w:sz w:val="28"/>
          <w:szCs w:val="28"/>
        </w:rPr>
        <w:t xml:space="preserve">(6) year statute of limitations.  See MCL 600.5807. </w:t>
      </w:r>
    </w:p>
    <w:p w14:paraId="7DE3C930" w14:textId="77777777" w:rsidR="00D041F9" w:rsidRDefault="00616F89" w:rsidP="00D041F9">
      <w:pPr>
        <w:spacing w:after="0" w:line="48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There are </w:t>
      </w:r>
      <w:r w:rsidR="00B926A7">
        <w:rPr>
          <w:rFonts w:ascii="Times New Roman" w:eastAsia="Calibri" w:hAnsi="Times New Roman" w:cs="Times New Roman"/>
          <w:sz w:val="28"/>
          <w:szCs w:val="28"/>
        </w:rPr>
        <w:t>no</w:t>
      </w:r>
      <w:r w:rsidR="0065365B">
        <w:rPr>
          <w:rFonts w:ascii="Times New Roman" w:eastAsia="Calibri" w:hAnsi="Times New Roman" w:cs="Times New Roman"/>
          <w:sz w:val="28"/>
          <w:szCs w:val="28"/>
        </w:rPr>
        <w:t xml:space="preserve"> documents</w:t>
      </w:r>
      <w:r w:rsidR="00963084">
        <w:rPr>
          <w:rFonts w:ascii="Times New Roman" w:eastAsia="Calibri" w:hAnsi="Times New Roman" w:cs="Times New Roman"/>
          <w:sz w:val="28"/>
          <w:szCs w:val="28"/>
        </w:rPr>
        <w:t xml:space="preserve"> or ownership paperwork</w:t>
      </w:r>
      <w:r w:rsidR="0065365B">
        <w:rPr>
          <w:rFonts w:ascii="Times New Roman" w:eastAsia="Calibri" w:hAnsi="Times New Roman" w:cs="Times New Roman"/>
          <w:sz w:val="28"/>
          <w:szCs w:val="28"/>
        </w:rPr>
        <w:t xml:space="preserve"> attached to the collection lawsuits that show </w:t>
      </w:r>
      <w:r w:rsidR="00A71542">
        <w:rPr>
          <w:rFonts w:ascii="Times New Roman" w:eastAsia="Calibri" w:hAnsi="Times New Roman" w:cs="Times New Roman"/>
          <w:sz w:val="28"/>
          <w:szCs w:val="28"/>
        </w:rPr>
        <w:t>the attorney could sign</w:t>
      </w:r>
      <w:r w:rsidR="00276273">
        <w:rPr>
          <w:rFonts w:ascii="Times New Roman" w:eastAsia="Calibri" w:hAnsi="Times New Roman" w:cs="Times New Roman"/>
          <w:sz w:val="28"/>
          <w:szCs w:val="28"/>
        </w:rPr>
        <w:t xml:space="preserve"> his name to the lawsuit </w:t>
      </w:r>
      <w:r w:rsidR="000C4EC0">
        <w:rPr>
          <w:rFonts w:ascii="Times New Roman" w:eastAsia="Calibri" w:hAnsi="Times New Roman" w:cs="Times New Roman"/>
          <w:sz w:val="28"/>
          <w:szCs w:val="28"/>
        </w:rPr>
        <w:t>“</w:t>
      </w:r>
      <w:r w:rsidR="00856396" w:rsidRPr="00DF5DD5">
        <w:rPr>
          <w:rFonts w:ascii="Times New Roman" w:hAnsi="Times New Roman" w:cs="Times New Roman"/>
          <w:sz w:val="28"/>
          <w:szCs w:val="28"/>
        </w:rPr>
        <w:t>to the best of his or her knowledge, information, and belief formed after reasonable inquiry</w:t>
      </w:r>
      <w:r w:rsidR="00A71542">
        <w:rPr>
          <w:rFonts w:ascii="Times New Roman" w:hAnsi="Times New Roman" w:cs="Times New Roman"/>
          <w:sz w:val="28"/>
          <w:szCs w:val="28"/>
        </w:rPr>
        <w:t xml:space="preserve"> and</w:t>
      </w:r>
      <w:r w:rsidR="00856396" w:rsidRPr="00DF5DD5">
        <w:rPr>
          <w:rFonts w:ascii="Times New Roman" w:hAnsi="Times New Roman" w:cs="Times New Roman"/>
          <w:sz w:val="28"/>
          <w:szCs w:val="28"/>
        </w:rPr>
        <w:t xml:space="preserve"> the document is well grounded in fact</w:t>
      </w:r>
      <w:r w:rsidR="00856396">
        <w:rPr>
          <w:rFonts w:ascii="Times New Roman" w:hAnsi="Times New Roman" w:cs="Times New Roman"/>
          <w:sz w:val="28"/>
          <w:szCs w:val="28"/>
        </w:rPr>
        <w:t>”</w:t>
      </w:r>
      <w:r w:rsidR="00856396" w:rsidRPr="00DF5DD5">
        <w:rPr>
          <w:rFonts w:ascii="Times New Roman" w:hAnsi="Times New Roman" w:cs="Times New Roman"/>
          <w:sz w:val="28"/>
          <w:szCs w:val="28"/>
        </w:rPr>
        <w:t xml:space="preserve"> </w:t>
      </w:r>
      <w:r w:rsidR="000C4EC0">
        <w:rPr>
          <w:rFonts w:ascii="Times New Roman" w:hAnsi="Times New Roman" w:cs="Times New Roman"/>
          <w:sz w:val="28"/>
          <w:szCs w:val="28"/>
        </w:rPr>
        <w:t>under the signature rules of MCR 2.114</w:t>
      </w:r>
      <w:r w:rsidR="00A71542">
        <w:rPr>
          <w:rFonts w:ascii="Times New Roman" w:hAnsi="Times New Roman" w:cs="Times New Roman"/>
          <w:sz w:val="28"/>
          <w:szCs w:val="28"/>
        </w:rPr>
        <w:t>(D)</w:t>
      </w:r>
      <w:r w:rsidR="000C4EC0">
        <w:rPr>
          <w:rFonts w:ascii="Times New Roman" w:hAnsi="Times New Roman" w:cs="Times New Roman"/>
          <w:sz w:val="28"/>
          <w:szCs w:val="28"/>
        </w:rPr>
        <w:t>.</w:t>
      </w:r>
      <w:r w:rsidR="00276273">
        <w:rPr>
          <w:rFonts w:ascii="Times New Roman" w:eastAsia="Calibri" w:hAnsi="Times New Roman" w:cs="Times New Roman"/>
          <w:sz w:val="28"/>
          <w:szCs w:val="28"/>
        </w:rPr>
        <w:t xml:space="preserve"> </w:t>
      </w:r>
      <w:r w:rsidR="0065365B">
        <w:rPr>
          <w:rFonts w:ascii="Times New Roman" w:eastAsia="Calibri" w:hAnsi="Times New Roman" w:cs="Times New Roman"/>
          <w:sz w:val="28"/>
          <w:szCs w:val="28"/>
        </w:rPr>
        <w:t xml:space="preserve"> </w:t>
      </w:r>
    </w:p>
    <w:p w14:paraId="08516275" w14:textId="2D352F73" w:rsidR="006F5D19" w:rsidRDefault="009D6200" w:rsidP="00D041F9">
      <w:pPr>
        <w:spacing w:after="0" w:line="48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Appropriately, the court should find a lack of meaningful involvement </w:t>
      </w:r>
      <w:r w:rsidR="00734068">
        <w:rPr>
          <w:rFonts w:ascii="Times New Roman" w:eastAsia="Calibri" w:hAnsi="Times New Roman" w:cs="Times New Roman"/>
          <w:sz w:val="28"/>
          <w:szCs w:val="28"/>
        </w:rPr>
        <w:t xml:space="preserve">of the specific debt </w:t>
      </w:r>
      <w:r w:rsidR="00D041F9">
        <w:rPr>
          <w:rFonts w:ascii="Times New Roman" w:eastAsia="Calibri" w:hAnsi="Times New Roman" w:cs="Times New Roman"/>
          <w:sz w:val="28"/>
          <w:szCs w:val="28"/>
        </w:rPr>
        <w:t xml:space="preserve">information </w:t>
      </w:r>
      <w:r w:rsidR="00734068">
        <w:rPr>
          <w:rFonts w:ascii="Times New Roman" w:eastAsia="Calibri" w:hAnsi="Times New Roman" w:cs="Times New Roman"/>
          <w:sz w:val="28"/>
          <w:szCs w:val="28"/>
        </w:rPr>
        <w:t xml:space="preserve">of Plaintiffs prior to signing the lawsuits under MCR 2.114 and deny Defendants’ Motion. </w:t>
      </w:r>
    </w:p>
    <w:p w14:paraId="53029B66" w14:textId="16BB4D67" w:rsidR="006A0398" w:rsidRPr="00FF10AB" w:rsidRDefault="00FF10AB" w:rsidP="006A0398">
      <w:pPr>
        <w:spacing w:after="0" w:line="480" w:lineRule="auto"/>
        <w:jc w:val="both"/>
        <w:rPr>
          <w:rFonts w:ascii="Times New Roman" w:eastAsia="Calibri" w:hAnsi="Times New Roman" w:cs="Times New Roman"/>
          <w:b/>
          <w:sz w:val="28"/>
          <w:szCs w:val="28"/>
        </w:rPr>
      </w:pPr>
      <w:r w:rsidRPr="00FF10AB">
        <w:rPr>
          <w:rFonts w:ascii="Times New Roman" w:eastAsia="Calibri" w:hAnsi="Times New Roman" w:cs="Times New Roman"/>
          <w:b/>
          <w:sz w:val="28"/>
          <w:szCs w:val="28"/>
        </w:rPr>
        <w:t>D.</w:t>
      </w:r>
      <w:r w:rsidRPr="00FF10AB">
        <w:rPr>
          <w:rFonts w:ascii="Times New Roman" w:eastAsia="Calibri" w:hAnsi="Times New Roman" w:cs="Times New Roman"/>
          <w:b/>
          <w:sz w:val="28"/>
          <w:szCs w:val="28"/>
        </w:rPr>
        <w:tab/>
        <w:t>PLAINTIFFS STATE A SUFFICIENT CLAIM UNDER THE FDCPA</w:t>
      </w:r>
    </w:p>
    <w:p w14:paraId="0978976B" w14:textId="5AD94CE2" w:rsidR="00194F60" w:rsidRPr="005D3669" w:rsidRDefault="006802E0" w:rsidP="005D3669">
      <w:pPr>
        <w:spacing w:after="0" w:line="240" w:lineRule="auto"/>
        <w:ind w:left="1440" w:hanging="648"/>
        <w:jc w:val="both"/>
        <w:rPr>
          <w:rFonts w:ascii="Times New Roman" w:eastAsia="Calibri" w:hAnsi="Times New Roman" w:cs="Times New Roman"/>
          <w:b/>
          <w:i/>
          <w:sz w:val="28"/>
          <w:szCs w:val="28"/>
        </w:rPr>
      </w:pPr>
      <w:r>
        <w:rPr>
          <w:rFonts w:ascii="Times New Roman" w:eastAsia="Calibri" w:hAnsi="Times New Roman" w:cs="Times New Roman"/>
          <w:sz w:val="28"/>
          <w:szCs w:val="28"/>
        </w:rPr>
        <w:t>a.</w:t>
      </w:r>
      <w:r>
        <w:rPr>
          <w:rFonts w:ascii="Times New Roman" w:eastAsia="Calibri" w:hAnsi="Times New Roman" w:cs="Times New Roman"/>
          <w:sz w:val="28"/>
          <w:szCs w:val="28"/>
        </w:rPr>
        <w:tab/>
      </w:r>
      <w:r w:rsidR="00194F60" w:rsidRPr="005D3669">
        <w:rPr>
          <w:rFonts w:ascii="Times New Roman" w:eastAsia="Calibri" w:hAnsi="Times New Roman" w:cs="Times New Roman"/>
          <w:b/>
          <w:i/>
          <w:sz w:val="28"/>
          <w:szCs w:val="28"/>
        </w:rPr>
        <w:t xml:space="preserve">Cavalry has not signed any documents for even the pool of debts it claims to own and has not alleged that the specific Plaintiffs’ debts are part of. </w:t>
      </w:r>
    </w:p>
    <w:p w14:paraId="16E4EE66" w14:textId="763B4FA8" w:rsidR="00980CE7" w:rsidRDefault="00C02CE3" w:rsidP="000B4431">
      <w:pPr>
        <w:spacing w:after="0" w:line="48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 review of the </w:t>
      </w:r>
      <w:r w:rsidR="00C14C30">
        <w:rPr>
          <w:rFonts w:ascii="Times New Roman" w:eastAsia="Calibri" w:hAnsi="Times New Roman" w:cs="Times New Roman"/>
          <w:sz w:val="28"/>
          <w:szCs w:val="28"/>
        </w:rPr>
        <w:t xml:space="preserve">seven (7) </w:t>
      </w:r>
      <w:r w:rsidR="00EE1576">
        <w:rPr>
          <w:rFonts w:ascii="Times New Roman" w:eastAsia="Calibri" w:hAnsi="Times New Roman" w:cs="Times New Roman"/>
          <w:sz w:val="28"/>
          <w:szCs w:val="28"/>
        </w:rPr>
        <w:t xml:space="preserve">allegations of Defendants </w:t>
      </w:r>
      <w:r>
        <w:rPr>
          <w:rFonts w:ascii="Times New Roman" w:eastAsia="Calibri" w:hAnsi="Times New Roman" w:cs="Times New Roman"/>
          <w:sz w:val="28"/>
          <w:szCs w:val="28"/>
        </w:rPr>
        <w:t xml:space="preserve">in the </w:t>
      </w:r>
      <w:r w:rsidR="00EE1576">
        <w:rPr>
          <w:rFonts w:ascii="Times New Roman" w:eastAsia="Calibri" w:hAnsi="Times New Roman" w:cs="Times New Roman"/>
          <w:sz w:val="28"/>
          <w:szCs w:val="28"/>
        </w:rPr>
        <w:t xml:space="preserve">state collection complaints </w:t>
      </w:r>
      <w:r w:rsidR="00980CE7">
        <w:rPr>
          <w:rFonts w:ascii="Times New Roman" w:eastAsia="Calibri" w:hAnsi="Times New Roman" w:cs="Times New Roman"/>
          <w:sz w:val="28"/>
          <w:szCs w:val="28"/>
        </w:rPr>
        <w:t>against each Plaintiff refer</w:t>
      </w:r>
      <w:r>
        <w:rPr>
          <w:rFonts w:ascii="Times New Roman" w:eastAsia="Calibri" w:hAnsi="Times New Roman" w:cs="Times New Roman"/>
          <w:sz w:val="28"/>
          <w:szCs w:val="28"/>
        </w:rPr>
        <w:t xml:space="preserve">s no </w:t>
      </w:r>
      <w:r w:rsidR="00980CE7">
        <w:rPr>
          <w:rFonts w:ascii="Times New Roman" w:eastAsia="Calibri" w:hAnsi="Times New Roman" w:cs="Times New Roman"/>
          <w:sz w:val="28"/>
          <w:szCs w:val="28"/>
        </w:rPr>
        <w:t>ownership paperwork, assignments or any proof that the Plaintiff</w:t>
      </w:r>
      <w:r w:rsidR="006E3790">
        <w:rPr>
          <w:rFonts w:ascii="Times New Roman" w:eastAsia="Calibri" w:hAnsi="Times New Roman" w:cs="Times New Roman"/>
          <w:sz w:val="28"/>
          <w:szCs w:val="28"/>
        </w:rPr>
        <w:t>s</w:t>
      </w:r>
      <w:r w:rsidR="00980CE7">
        <w:rPr>
          <w:rFonts w:ascii="Times New Roman" w:eastAsia="Calibri" w:hAnsi="Times New Roman" w:cs="Times New Roman"/>
          <w:sz w:val="28"/>
          <w:szCs w:val="28"/>
        </w:rPr>
        <w:t xml:space="preserve"> owe the debt</w:t>
      </w:r>
      <w:r w:rsidR="006E3790">
        <w:rPr>
          <w:rFonts w:ascii="Times New Roman" w:eastAsia="Calibri" w:hAnsi="Times New Roman" w:cs="Times New Roman"/>
          <w:sz w:val="28"/>
          <w:szCs w:val="28"/>
        </w:rPr>
        <w:t>s</w:t>
      </w:r>
      <w:r w:rsidR="00980CE7">
        <w:rPr>
          <w:rFonts w:ascii="Times New Roman" w:eastAsia="Calibri" w:hAnsi="Times New Roman" w:cs="Times New Roman"/>
          <w:sz w:val="28"/>
          <w:szCs w:val="28"/>
        </w:rPr>
        <w:t xml:space="preserve"> to Cavalry. </w:t>
      </w:r>
      <w:r w:rsidR="006E3790">
        <w:rPr>
          <w:rFonts w:ascii="Times New Roman" w:eastAsia="Calibri" w:hAnsi="Times New Roman" w:cs="Times New Roman"/>
          <w:sz w:val="28"/>
          <w:szCs w:val="28"/>
        </w:rPr>
        <w:t xml:space="preserve">No allegations in the state complaint show any </w:t>
      </w:r>
      <w:r w:rsidR="005D3669">
        <w:rPr>
          <w:rFonts w:ascii="Times New Roman" w:eastAsia="Calibri" w:hAnsi="Times New Roman" w:cs="Times New Roman"/>
          <w:sz w:val="28"/>
          <w:szCs w:val="28"/>
        </w:rPr>
        <w:t xml:space="preserve">connection to </w:t>
      </w:r>
      <w:r w:rsidR="00854552">
        <w:rPr>
          <w:rFonts w:ascii="Times New Roman" w:eastAsia="Calibri" w:hAnsi="Times New Roman" w:cs="Times New Roman"/>
          <w:sz w:val="28"/>
          <w:szCs w:val="28"/>
        </w:rPr>
        <w:t>each</w:t>
      </w:r>
      <w:r w:rsidR="005D3669">
        <w:rPr>
          <w:rFonts w:ascii="Times New Roman" w:eastAsia="Calibri" w:hAnsi="Times New Roman" w:cs="Times New Roman"/>
          <w:sz w:val="28"/>
          <w:szCs w:val="28"/>
        </w:rPr>
        <w:t xml:space="preserve"> </w:t>
      </w:r>
      <w:r w:rsidR="00854552">
        <w:rPr>
          <w:rFonts w:ascii="Times New Roman" w:eastAsia="Calibri" w:hAnsi="Times New Roman" w:cs="Times New Roman"/>
          <w:sz w:val="28"/>
          <w:szCs w:val="28"/>
        </w:rPr>
        <w:t>nondescript “Exhibit”</w:t>
      </w:r>
      <w:r w:rsidR="005D3669">
        <w:rPr>
          <w:rFonts w:ascii="Times New Roman" w:eastAsia="Calibri" w:hAnsi="Times New Roman" w:cs="Times New Roman"/>
          <w:sz w:val="28"/>
          <w:szCs w:val="28"/>
        </w:rPr>
        <w:t xml:space="preserve"> stapled to </w:t>
      </w:r>
      <w:r w:rsidR="00E40C91">
        <w:rPr>
          <w:rFonts w:ascii="Times New Roman" w:eastAsia="Calibri" w:hAnsi="Times New Roman" w:cs="Times New Roman"/>
          <w:sz w:val="28"/>
          <w:szCs w:val="28"/>
        </w:rPr>
        <w:t>lawsuits.</w:t>
      </w:r>
      <w:r w:rsidR="00CE40C7">
        <w:rPr>
          <w:rFonts w:ascii="Times New Roman" w:eastAsia="Calibri" w:hAnsi="Times New Roman" w:cs="Times New Roman"/>
          <w:sz w:val="28"/>
          <w:szCs w:val="28"/>
        </w:rPr>
        <w:t xml:space="preserve"> </w:t>
      </w:r>
    </w:p>
    <w:p w14:paraId="2A9517B3" w14:textId="587F4921" w:rsidR="00FF10AB" w:rsidRPr="006A0398" w:rsidRDefault="00AD64E5" w:rsidP="000B4431">
      <w:pPr>
        <w:spacing w:after="0" w:line="48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Unlike </w:t>
      </w:r>
      <w:r w:rsidR="00E36861">
        <w:rPr>
          <w:rFonts w:ascii="Times New Roman" w:eastAsia="Calibri" w:hAnsi="Times New Roman" w:cs="Times New Roman"/>
          <w:sz w:val="28"/>
          <w:szCs w:val="28"/>
        </w:rPr>
        <w:t xml:space="preserve">the </w:t>
      </w:r>
      <w:r w:rsidR="00E36861" w:rsidRPr="001A7AC0">
        <w:rPr>
          <w:rFonts w:ascii="Times New Roman" w:eastAsia="Calibri" w:hAnsi="Times New Roman" w:cs="Times New Roman"/>
          <w:i/>
          <w:sz w:val="28"/>
          <w:szCs w:val="28"/>
        </w:rPr>
        <w:t>Harvey</w:t>
      </w:r>
      <w:r w:rsidR="00E36861">
        <w:rPr>
          <w:rFonts w:ascii="Times New Roman" w:eastAsia="Calibri" w:hAnsi="Times New Roman" w:cs="Times New Roman"/>
          <w:sz w:val="28"/>
          <w:szCs w:val="28"/>
        </w:rPr>
        <w:t xml:space="preserve"> debt collectors, the</w:t>
      </w:r>
      <w:r>
        <w:rPr>
          <w:rFonts w:ascii="Times New Roman" w:eastAsia="Calibri" w:hAnsi="Times New Roman" w:cs="Times New Roman"/>
          <w:color w:val="000000"/>
          <w:sz w:val="28"/>
          <w:szCs w:val="28"/>
        </w:rPr>
        <w:t xml:space="preserve"> Defendants are filing collection lawsuits “</w:t>
      </w:r>
      <w:r w:rsidRPr="00AB5F46">
        <w:rPr>
          <w:rFonts w:ascii="Times New Roman" w:hAnsi="Times New Roman" w:cs="Times New Roman"/>
          <w:sz w:val="28"/>
          <w:szCs w:val="28"/>
        </w:rPr>
        <w:t>without the means of ever being able to obtain sufficient proof of the debt-collection action.”</w:t>
      </w:r>
      <w:r w:rsidR="0016516F">
        <w:rPr>
          <w:rFonts w:ascii="Times New Roman" w:hAnsi="Times New Roman" w:cs="Times New Roman"/>
          <w:sz w:val="28"/>
          <w:szCs w:val="28"/>
        </w:rPr>
        <w:t xml:space="preserve"> T</w:t>
      </w:r>
      <w:r w:rsidR="00E04C58">
        <w:rPr>
          <w:rFonts w:ascii="Times New Roman" w:hAnsi="Times New Roman" w:cs="Times New Roman"/>
          <w:sz w:val="28"/>
          <w:szCs w:val="28"/>
        </w:rPr>
        <w:t xml:space="preserve">he </w:t>
      </w:r>
      <w:r w:rsidR="00E04C58" w:rsidRPr="002C1A2E">
        <w:rPr>
          <w:rFonts w:ascii="Times New Roman" w:hAnsi="Times New Roman" w:cs="Times New Roman"/>
          <w:i/>
          <w:sz w:val="28"/>
          <w:szCs w:val="28"/>
        </w:rPr>
        <w:t>Harvey</w:t>
      </w:r>
      <w:r w:rsidR="00E04C58">
        <w:rPr>
          <w:rFonts w:ascii="Times New Roman" w:hAnsi="Times New Roman" w:cs="Times New Roman"/>
          <w:sz w:val="28"/>
          <w:szCs w:val="28"/>
        </w:rPr>
        <w:t xml:space="preserve"> Court’s analysis </w:t>
      </w:r>
      <w:r w:rsidR="002C1A2E">
        <w:rPr>
          <w:rFonts w:ascii="Times New Roman" w:hAnsi="Times New Roman" w:cs="Times New Roman"/>
          <w:sz w:val="28"/>
          <w:szCs w:val="28"/>
        </w:rPr>
        <w:t xml:space="preserve">was based upon </w:t>
      </w:r>
      <w:r w:rsidR="003D2D8F">
        <w:rPr>
          <w:rFonts w:ascii="Times New Roman" w:hAnsi="Times New Roman" w:cs="Times New Roman"/>
          <w:sz w:val="28"/>
          <w:szCs w:val="28"/>
        </w:rPr>
        <w:t xml:space="preserve">allegations where </w:t>
      </w:r>
      <w:r w:rsidR="002C6DAC">
        <w:rPr>
          <w:rFonts w:ascii="Times New Roman" w:hAnsi="Times New Roman" w:cs="Times New Roman"/>
          <w:sz w:val="28"/>
          <w:szCs w:val="28"/>
        </w:rPr>
        <w:t>debt collectors file</w:t>
      </w:r>
      <w:r w:rsidR="0016516F">
        <w:rPr>
          <w:rFonts w:ascii="Times New Roman" w:hAnsi="Times New Roman" w:cs="Times New Roman"/>
          <w:sz w:val="28"/>
          <w:szCs w:val="28"/>
        </w:rPr>
        <w:t>d</w:t>
      </w:r>
      <w:r>
        <w:rPr>
          <w:rFonts w:ascii="Times New Roman" w:eastAsia="Calibri" w:hAnsi="Times New Roman" w:cs="Times New Roman"/>
          <w:sz w:val="28"/>
          <w:szCs w:val="28"/>
        </w:rPr>
        <w:t xml:space="preserve"> </w:t>
      </w:r>
      <w:r w:rsidR="003D2D8F">
        <w:rPr>
          <w:rFonts w:ascii="Times New Roman" w:eastAsia="Calibri" w:hAnsi="Times New Roman" w:cs="Times New Roman"/>
          <w:sz w:val="28"/>
          <w:szCs w:val="28"/>
        </w:rPr>
        <w:t>lawsuits that do not</w:t>
      </w:r>
      <w:r w:rsidR="002C1A2E">
        <w:rPr>
          <w:rFonts w:ascii="Times New Roman" w:eastAsia="Calibri" w:hAnsi="Times New Roman" w:cs="Times New Roman"/>
          <w:color w:val="000000"/>
          <w:sz w:val="28"/>
          <w:szCs w:val="28"/>
        </w:rPr>
        <w:t xml:space="preserve"> have the means on hand of proving the complaint at </w:t>
      </w:r>
      <w:r w:rsidR="002C1A2E" w:rsidRPr="00570A3D">
        <w:rPr>
          <w:rFonts w:ascii="Times New Roman" w:eastAsia="Calibri" w:hAnsi="Times New Roman" w:cs="Times New Roman"/>
          <w:i/>
          <w:color w:val="000000"/>
          <w:sz w:val="28"/>
          <w:szCs w:val="28"/>
        </w:rPr>
        <w:t>the time of</w:t>
      </w:r>
      <w:r w:rsidR="002C1A2E">
        <w:rPr>
          <w:rFonts w:ascii="Times New Roman" w:eastAsia="Calibri" w:hAnsi="Times New Roman" w:cs="Times New Roman"/>
          <w:color w:val="000000"/>
          <w:sz w:val="28"/>
          <w:szCs w:val="28"/>
        </w:rPr>
        <w:t xml:space="preserve"> </w:t>
      </w:r>
      <w:r w:rsidR="002C1A2E" w:rsidRPr="00570A3D">
        <w:rPr>
          <w:rFonts w:ascii="Times New Roman" w:eastAsia="Calibri" w:hAnsi="Times New Roman" w:cs="Times New Roman"/>
          <w:i/>
          <w:color w:val="000000"/>
          <w:sz w:val="28"/>
          <w:szCs w:val="28"/>
        </w:rPr>
        <w:t>filing the complaint</w:t>
      </w:r>
      <w:r w:rsidR="002C1A2E">
        <w:rPr>
          <w:rFonts w:ascii="Times New Roman" w:eastAsia="Calibri" w:hAnsi="Times New Roman" w:cs="Times New Roman"/>
          <w:color w:val="000000"/>
          <w:sz w:val="28"/>
          <w:szCs w:val="28"/>
        </w:rPr>
        <w:t xml:space="preserve">. </w:t>
      </w:r>
      <w:r w:rsidR="00FD1994">
        <w:rPr>
          <w:rFonts w:ascii="Times New Roman" w:eastAsia="Calibri" w:hAnsi="Times New Roman" w:cs="Times New Roman"/>
          <w:sz w:val="28"/>
          <w:szCs w:val="28"/>
        </w:rPr>
        <w:t xml:space="preserve">The “gist” of the Plaintiffs’ principal claims is not that the RVO Defendants violated the FDCPA by failing to produce mere paperwork confirming that SPV purchased the Plaintiff’s specific debts </w:t>
      </w:r>
      <w:proofErr w:type="gramStart"/>
      <w:r w:rsidR="00FD1994">
        <w:rPr>
          <w:rFonts w:ascii="Times New Roman" w:eastAsia="Calibri" w:hAnsi="Times New Roman" w:cs="Times New Roman"/>
          <w:sz w:val="28"/>
          <w:szCs w:val="28"/>
        </w:rPr>
        <w:t xml:space="preserve">from  </w:t>
      </w:r>
      <w:r w:rsidR="00FD1994">
        <w:rPr>
          <w:rFonts w:ascii="Times New Roman" w:eastAsia="Calibri" w:hAnsi="Times New Roman" w:cs="Times New Roman"/>
          <w:sz w:val="28"/>
          <w:szCs w:val="28"/>
        </w:rPr>
        <w:lastRenderedPageBreak/>
        <w:t>Citibank</w:t>
      </w:r>
      <w:proofErr w:type="gramEnd"/>
      <w:r w:rsidR="00FD1994">
        <w:rPr>
          <w:rFonts w:ascii="Times New Roman" w:eastAsia="Calibri" w:hAnsi="Times New Roman" w:cs="Times New Roman"/>
          <w:sz w:val="28"/>
          <w:szCs w:val="28"/>
        </w:rPr>
        <w:t>- it’s that SPV did not purchase the Plaintiffs’ specific debts from Citibank (which of course then extends to the logical corollary that the Defendants could not produce paperwork confirming otherwise, because it does not exist).</w:t>
      </w:r>
      <w:r w:rsidR="00A97C6E">
        <w:rPr>
          <w:rFonts w:ascii="Times New Roman" w:eastAsia="Calibri" w:hAnsi="Times New Roman" w:cs="Times New Roman"/>
          <w:sz w:val="28"/>
          <w:szCs w:val="28"/>
        </w:rPr>
        <w:t xml:space="preserve"> Cavalry has noting to show any ownership of the debt and their failure to show specific assignments</w:t>
      </w:r>
      <w:r w:rsidR="002148EF">
        <w:rPr>
          <w:rFonts w:ascii="Times New Roman" w:eastAsia="Calibri" w:hAnsi="Times New Roman" w:cs="Times New Roman"/>
          <w:sz w:val="28"/>
          <w:szCs w:val="28"/>
        </w:rPr>
        <w:t xml:space="preserve"> of each Plaintiff</w:t>
      </w:r>
      <w:r w:rsidR="00A97C6E">
        <w:rPr>
          <w:rFonts w:ascii="Times New Roman" w:eastAsia="Calibri" w:hAnsi="Times New Roman" w:cs="Times New Roman"/>
          <w:sz w:val="28"/>
          <w:szCs w:val="28"/>
        </w:rPr>
        <w:t xml:space="preserve"> or </w:t>
      </w:r>
      <w:r w:rsidR="002148EF">
        <w:rPr>
          <w:rFonts w:ascii="Times New Roman" w:eastAsia="Calibri" w:hAnsi="Times New Roman" w:cs="Times New Roman"/>
          <w:sz w:val="28"/>
          <w:szCs w:val="28"/>
        </w:rPr>
        <w:t xml:space="preserve">even </w:t>
      </w:r>
      <w:r w:rsidR="00A97C6E">
        <w:rPr>
          <w:rFonts w:ascii="Times New Roman" w:eastAsia="Calibri" w:hAnsi="Times New Roman" w:cs="Times New Roman"/>
          <w:sz w:val="28"/>
          <w:szCs w:val="28"/>
        </w:rPr>
        <w:t xml:space="preserve">sign the </w:t>
      </w:r>
      <w:r w:rsidR="002148EF">
        <w:rPr>
          <w:rFonts w:ascii="Times New Roman" w:eastAsia="Calibri" w:hAnsi="Times New Roman" w:cs="Times New Roman"/>
          <w:sz w:val="28"/>
          <w:szCs w:val="28"/>
        </w:rPr>
        <w:t>“Bill of Sale and Assignment” with the state complaint shows they never will</w:t>
      </w:r>
      <w:r w:rsidR="00A97C6E">
        <w:rPr>
          <w:rFonts w:ascii="Times New Roman" w:eastAsia="Calibri" w:hAnsi="Times New Roman" w:cs="Times New Roman"/>
          <w:sz w:val="28"/>
          <w:szCs w:val="28"/>
        </w:rPr>
        <w:t xml:space="preserve">. </w:t>
      </w:r>
    </w:p>
    <w:p w14:paraId="11EAF079" w14:textId="173D4932" w:rsidR="002D29A3" w:rsidRPr="005100E5" w:rsidRDefault="001B5A2B" w:rsidP="000B4431">
      <w:pPr>
        <w:pStyle w:val="NormalWeb"/>
        <w:spacing w:before="0" w:beforeAutospacing="0" w:after="0" w:afterAutospacing="0" w:line="480" w:lineRule="auto"/>
        <w:ind w:firstLine="720"/>
        <w:jc w:val="both"/>
        <w:rPr>
          <w:sz w:val="28"/>
          <w:szCs w:val="28"/>
        </w:rPr>
      </w:pPr>
      <w:r>
        <w:rPr>
          <w:rFonts w:eastAsia="Calibri"/>
          <w:color w:val="000000"/>
          <w:sz w:val="28"/>
          <w:szCs w:val="28"/>
        </w:rPr>
        <w:t xml:space="preserve">  </w:t>
      </w:r>
      <w:r w:rsidR="00FD1994">
        <w:rPr>
          <w:rFonts w:eastAsia="Calibri"/>
          <w:color w:val="000000"/>
          <w:sz w:val="28"/>
          <w:szCs w:val="28"/>
        </w:rPr>
        <w:t xml:space="preserve">While it may be otherwise true that the Sixth Circuit rejected the Defendants’ chosen theory of the case in </w:t>
      </w:r>
      <w:r w:rsidR="00FD1994" w:rsidRPr="00FD1994">
        <w:rPr>
          <w:rFonts w:eastAsia="Calibri"/>
          <w:i/>
          <w:color w:val="000000"/>
          <w:sz w:val="28"/>
          <w:szCs w:val="28"/>
        </w:rPr>
        <w:t>Harvey</w:t>
      </w:r>
      <w:r w:rsidR="00FD1994">
        <w:rPr>
          <w:rFonts w:eastAsia="Calibri"/>
          <w:color w:val="000000"/>
          <w:sz w:val="28"/>
          <w:szCs w:val="28"/>
        </w:rPr>
        <w:t>, they’ll unfortunately have to save that argument for another case-</w:t>
      </w:r>
      <w:r w:rsidR="00723A11">
        <w:rPr>
          <w:rFonts w:eastAsia="Calibri"/>
          <w:color w:val="000000"/>
          <w:sz w:val="28"/>
          <w:szCs w:val="28"/>
        </w:rPr>
        <w:t xml:space="preserve"> the</w:t>
      </w:r>
      <w:r w:rsidR="00A4566A" w:rsidRPr="001B5A2B">
        <w:rPr>
          <w:rFonts w:eastAsia="Calibri"/>
          <w:color w:val="000000"/>
          <w:sz w:val="28"/>
          <w:szCs w:val="28"/>
        </w:rPr>
        <w:t xml:space="preserve"> Plaintiffs’ </w:t>
      </w:r>
      <w:r w:rsidR="00FD1994">
        <w:rPr>
          <w:rFonts w:eastAsia="Calibri"/>
          <w:color w:val="000000"/>
          <w:sz w:val="28"/>
          <w:szCs w:val="28"/>
        </w:rPr>
        <w:t>claims are entirely</w:t>
      </w:r>
      <w:r w:rsidR="00A4566A" w:rsidRPr="001B5A2B">
        <w:rPr>
          <w:rFonts w:eastAsia="Calibri"/>
          <w:color w:val="000000"/>
          <w:sz w:val="28"/>
          <w:szCs w:val="28"/>
        </w:rPr>
        <w:t xml:space="preserve"> distinguishable from the holding set forth in </w:t>
      </w:r>
      <w:r w:rsidR="00E370E3">
        <w:rPr>
          <w:rFonts w:eastAsia="Calibri"/>
          <w:i/>
          <w:color w:val="000000"/>
          <w:sz w:val="28"/>
          <w:szCs w:val="28"/>
        </w:rPr>
        <w:t>Harvey</w:t>
      </w:r>
      <w:r w:rsidR="00FD1994">
        <w:rPr>
          <w:rFonts w:eastAsia="Calibri"/>
          <w:i/>
          <w:color w:val="000000"/>
          <w:sz w:val="28"/>
          <w:szCs w:val="28"/>
        </w:rPr>
        <w:t>.</w:t>
      </w:r>
      <w:r w:rsidR="002C4045">
        <w:rPr>
          <w:rFonts w:eastAsia="Calibri"/>
          <w:i/>
          <w:color w:val="000000"/>
          <w:sz w:val="28"/>
          <w:szCs w:val="28"/>
        </w:rPr>
        <w:t xml:space="preserve">  </w:t>
      </w:r>
      <w:r w:rsidR="00A4566A" w:rsidRPr="001B5A2B">
        <w:rPr>
          <w:rFonts w:eastAsia="Calibri"/>
          <w:color w:val="000000"/>
          <w:sz w:val="28"/>
          <w:szCs w:val="28"/>
        </w:rPr>
        <w:t xml:space="preserve">Unlike </w:t>
      </w:r>
      <w:r w:rsidR="00A4566A" w:rsidRPr="001B5A2B">
        <w:rPr>
          <w:rFonts w:eastAsia="Calibri"/>
          <w:i/>
          <w:color w:val="000000"/>
          <w:sz w:val="28"/>
          <w:szCs w:val="28"/>
        </w:rPr>
        <w:t xml:space="preserve">Harvey </w:t>
      </w:r>
      <w:r w:rsidR="00A4566A" w:rsidRPr="001B5A2B">
        <w:rPr>
          <w:rFonts w:eastAsia="Calibri"/>
          <w:color w:val="000000"/>
          <w:sz w:val="28"/>
          <w:szCs w:val="28"/>
        </w:rPr>
        <w:t xml:space="preserve">where the plaintiffs’ FDCPA claims were based </w:t>
      </w:r>
      <w:r w:rsidR="00A4566A" w:rsidRPr="00723A11">
        <w:rPr>
          <w:rFonts w:eastAsia="Calibri"/>
          <w:color w:val="000000"/>
          <w:sz w:val="28"/>
          <w:szCs w:val="28"/>
        </w:rPr>
        <w:t>on the mere</w:t>
      </w:r>
      <w:r w:rsidR="00A4566A" w:rsidRPr="00723A11">
        <w:rPr>
          <w:rFonts w:eastAsia="Calibri"/>
          <w:i/>
          <w:color w:val="000000"/>
          <w:sz w:val="28"/>
          <w:szCs w:val="28"/>
        </w:rPr>
        <w:t xml:space="preserve"> filing</w:t>
      </w:r>
      <w:r w:rsidR="00A4566A" w:rsidRPr="00723A11">
        <w:rPr>
          <w:rFonts w:eastAsia="Calibri"/>
          <w:color w:val="000000"/>
          <w:sz w:val="28"/>
          <w:szCs w:val="28"/>
        </w:rPr>
        <w:t xml:space="preserve"> of a lawsuit</w:t>
      </w:r>
      <w:r w:rsidR="00D30946" w:rsidRPr="00723A11">
        <w:rPr>
          <w:rFonts w:eastAsia="Calibri"/>
          <w:color w:val="000000"/>
          <w:sz w:val="28"/>
          <w:szCs w:val="28"/>
        </w:rPr>
        <w:t xml:space="preserve"> alone</w:t>
      </w:r>
      <w:r w:rsidR="00FD1994">
        <w:rPr>
          <w:rFonts w:eastAsia="Calibri"/>
          <w:color w:val="000000"/>
          <w:sz w:val="28"/>
          <w:szCs w:val="28"/>
        </w:rPr>
        <w:t xml:space="preserve">, </w:t>
      </w:r>
      <w:r w:rsidR="00FB7427" w:rsidRPr="00723A11">
        <w:rPr>
          <w:rFonts w:eastAsia="Calibri"/>
          <w:color w:val="000000"/>
          <w:sz w:val="28"/>
          <w:szCs w:val="28"/>
          <w:u w:val="single"/>
        </w:rPr>
        <w:t xml:space="preserve">the Plaintiffs’ position instead is that no such assignment documentation exists </w:t>
      </w:r>
      <w:r w:rsidR="00723A11" w:rsidRPr="00723A11">
        <w:rPr>
          <w:rFonts w:eastAsia="Calibri"/>
          <w:i/>
          <w:color w:val="000000"/>
          <w:sz w:val="28"/>
          <w:szCs w:val="28"/>
          <w:u w:val="single"/>
        </w:rPr>
        <w:t>at all</w:t>
      </w:r>
      <w:r w:rsidR="00E370E3">
        <w:rPr>
          <w:rFonts w:eastAsia="Calibri"/>
          <w:i/>
          <w:color w:val="000000"/>
          <w:sz w:val="28"/>
          <w:szCs w:val="28"/>
          <w:u w:val="single"/>
        </w:rPr>
        <w:t xml:space="preserve">, </w:t>
      </w:r>
      <w:r w:rsidR="00E370E3">
        <w:rPr>
          <w:rFonts w:eastAsia="Calibri"/>
          <w:color w:val="000000"/>
          <w:sz w:val="28"/>
          <w:szCs w:val="28"/>
          <w:u w:val="single"/>
        </w:rPr>
        <w:t>because the Defendants were never legally assigned the debts at issue</w:t>
      </w:r>
      <w:r w:rsidR="00FB7427">
        <w:rPr>
          <w:rFonts w:eastAsia="Calibri"/>
          <w:color w:val="000000"/>
          <w:sz w:val="28"/>
          <w:szCs w:val="28"/>
        </w:rPr>
        <w:t xml:space="preserve">. </w:t>
      </w:r>
      <w:r w:rsidR="00771695">
        <w:rPr>
          <w:rFonts w:eastAsia="Calibri"/>
          <w:color w:val="000000"/>
          <w:sz w:val="28"/>
          <w:szCs w:val="28"/>
        </w:rPr>
        <w:t xml:space="preserve"> Cavalry has not even signed the document title </w:t>
      </w:r>
      <w:r w:rsidR="00771695" w:rsidRPr="00DC151F">
        <w:rPr>
          <w:rFonts w:eastAsia="Calibri"/>
          <w:i/>
          <w:color w:val="000000"/>
          <w:sz w:val="28"/>
          <w:szCs w:val="28"/>
        </w:rPr>
        <w:t>Bill of Sale and Assignment</w:t>
      </w:r>
      <w:r w:rsidR="00E370E3">
        <w:rPr>
          <w:rFonts w:eastAsia="Calibri"/>
          <w:color w:val="000000"/>
          <w:sz w:val="28"/>
          <w:szCs w:val="28"/>
        </w:rPr>
        <w:t xml:space="preserve"> </w:t>
      </w:r>
      <w:r w:rsidR="00DC151F">
        <w:rPr>
          <w:rFonts w:eastAsia="Calibri"/>
          <w:color w:val="000000"/>
          <w:sz w:val="28"/>
          <w:szCs w:val="28"/>
        </w:rPr>
        <w:t xml:space="preserve">attached to each lawsuit. </w:t>
      </w:r>
      <w:r w:rsidR="00FB7427">
        <w:rPr>
          <w:rFonts w:eastAsia="Calibri"/>
          <w:color w:val="000000"/>
          <w:sz w:val="28"/>
          <w:szCs w:val="28"/>
        </w:rPr>
        <w:t xml:space="preserve"> </w:t>
      </w:r>
      <w:r w:rsidR="00153AB3">
        <w:rPr>
          <w:rFonts w:eastAsia="Calibri"/>
          <w:color w:val="000000"/>
          <w:sz w:val="28"/>
          <w:szCs w:val="28"/>
        </w:rPr>
        <w:t xml:space="preserve">Defendants no proof of ownership or any proof of </w:t>
      </w:r>
      <w:r w:rsidR="00A92220">
        <w:rPr>
          <w:rFonts w:eastAsia="Calibri"/>
          <w:color w:val="000000"/>
          <w:sz w:val="28"/>
          <w:szCs w:val="28"/>
        </w:rPr>
        <w:t>use of the card or credit by the Plaintiffs</w:t>
      </w:r>
      <w:r w:rsidR="00F07CA5">
        <w:rPr>
          <w:rFonts w:eastAsia="Calibri"/>
          <w:color w:val="000000"/>
          <w:sz w:val="28"/>
          <w:szCs w:val="28"/>
        </w:rPr>
        <w:t xml:space="preserve"> in six years</w:t>
      </w:r>
      <w:r w:rsidR="00A92220">
        <w:rPr>
          <w:rFonts w:eastAsia="Calibri"/>
          <w:color w:val="000000"/>
          <w:sz w:val="28"/>
          <w:szCs w:val="28"/>
        </w:rPr>
        <w:t xml:space="preserve">. </w:t>
      </w:r>
      <w:r w:rsidR="00B05C4E">
        <w:rPr>
          <w:rFonts w:eastAsia="Calibri"/>
          <w:color w:val="000000"/>
          <w:sz w:val="28"/>
          <w:szCs w:val="28"/>
        </w:rPr>
        <w:t xml:space="preserve"> </w:t>
      </w:r>
      <w:r w:rsidR="002D29A3" w:rsidRPr="005100E5">
        <w:rPr>
          <w:rFonts w:eastAsia="Calibri"/>
          <w:color w:val="000000"/>
          <w:sz w:val="28"/>
          <w:szCs w:val="28"/>
        </w:rPr>
        <w:t>A</w:t>
      </w:r>
      <w:r w:rsidR="002D29A3" w:rsidRPr="005100E5">
        <w:rPr>
          <w:sz w:val="28"/>
          <w:szCs w:val="28"/>
        </w:rPr>
        <w:t xml:space="preserve">ll three actions </w:t>
      </w:r>
      <w:r w:rsidR="00BE52D1">
        <w:rPr>
          <w:sz w:val="28"/>
          <w:szCs w:val="28"/>
        </w:rPr>
        <w:t xml:space="preserve">should be </w:t>
      </w:r>
      <w:r w:rsidR="002D29A3" w:rsidRPr="005100E5">
        <w:rPr>
          <w:sz w:val="28"/>
          <w:szCs w:val="28"/>
        </w:rPr>
        <w:t>barred by the six</w:t>
      </w:r>
      <w:r w:rsidR="00B848BF">
        <w:rPr>
          <w:sz w:val="28"/>
          <w:szCs w:val="28"/>
        </w:rPr>
        <w:t xml:space="preserve"> </w:t>
      </w:r>
      <w:r w:rsidR="002D29A3" w:rsidRPr="005100E5">
        <w:rPr>
          <w:sz w:val="28"/>
          <w:szCs w:val="28"/>
        </w:rPr>
        <w:t xml:space="preserve">(6) year statute of limitations.  See MCL 600.5807. </w:t>
      </w:r>
    </w:p>
    <w:p w14:paraId="78F41D64" w14:textId="398F2B46" w:rsidR="005B6A58" w:rsidRPr="0076201F" w:rsidRDefault="005B6A58" w:rsidP="005B6A58">
      <w:pPr>
        <w:spacing w:after="0" w:line="480"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sz w:val="28"/>
          <w:szCs w:val="28"/>
        </w:rPr>
        <w:t xml:space="preserve">While </w:t>
      </w:r>
      <w:r w:rsidR="00BE52D1">
        <w:rPr>
          <w:rFonts w:ascii="Times New Roman" w:eastAsia="Calibri" w:hAnsi="Times New Roman" w:cs="Times New Roman"/>
          <w:sz w:val="28"/>
          <w:szCs w:val="28"/>
        </w:rPr>
        <w:t xml:space="preserve">also </w:t>
      </w:r>
      <w:r>
        <w:rPr>
          <w:rFonts w:ascii="Times New Roman" w:eastAsia="Calibri" w:hAnsi="Times New Roman" w:cs="Times New Roman"/>
          <w:sz w:val="28"/>
          <w:szCs w:val="28"/>
        </w:rPr>
        <w:t>true that the</w:t>
      </w:r>
      <w:r w:rsidRPr="0076201F">
        <w:rPr>
          <w:rFonts w:ascii="Times New Roman" w:eastAsia="Calibri" w:hAnsi="Times New Roman" w:cs="Times New Roman"/>
          <w:sz w:val="28"/>
          <w:szCs w:val="28"/>
        </w:rPr>
        <w:t xml:space="preserve"> </w:t>
      </w:r>
      <w:r w:rsidRPr="0076201F">
        <w:rPr>
          <w:rFonts w:ascii="Times New Roman" w:eastAsia="Calibri" w:hAnsi="Times New Roman" w:cs="Times New Roman"/>
          <w:i/>
          <w:sz w:val="28"/>
          <w:szCs w:val="28"/>
        </w:rPr>
        <w:t>Harvey</w:t>
      </w:r>
      <w:r w:rsidRPr="0076201F">
        <w:rPr>
          <w:rFonts w:ascii="Times New Roman" w:eastAsia="Calibri" w:hAnsi="Times New Roman" w:cs="Times New Roman"/>
          <w:sz w:val="28"/>
          <w:szCs w:val="28"/>
        </w:rPr>
        <w:t xml:space="preserve"> court </w:t>
      </w:r>
      <w:r>
        <w:rPr>
          <w:rFonts w:ascii="Times New Roman" w:eastAsia="Calibri" w:hAnsi="Times New Roman" w:cs="Times New Roman"/>
          <w:sz w:val="28"/>
          <w:szCs w:val="28"/>
        </w:rPr>
        <w:t xml:space="preserve">established that the </w:t>
      </w:r>
      <w:r w:rsidRPr="0076201F">
        <w:rPr>
          <w:rFonts w:ascii="Times New Roman" w:eastAsia="Calibri" w:hAnsi="Times New Roman" w:cs="Times New Roman"/>
          <w:sz w:val="28"/>
          <w:szCs w:val="28"/>
        </w:rPr>
        <w:t>“filing of a lawsuit without the immediate means of proving the debt owed</w:t>
      </w:r>
      <w:r>
        <w:rPr>
          <w:rFonts w:ascii="Times New Roman" w:eastAsia="Calibri" w:hAnsi="Times New Roman" w:cs="Times New Roman"/>
          <w:sz w:val="28"/>
          <w:szCs w:val="28"/>
        </w:rPr>
        <w:t>”</w:t>
      </w:r>
      <w:r w:rsidRPr="0076201F">
        <w:rPr>
          <w:rFonts w:ascii="Times New Roman" w:eastAsia="Calibri" w:hAnsi="Times New Roman" w:cs="Times New Roman"/>
          <w:sz w:val="28"/>
          <w:szCs w:val="28"/>
        </w:rPr>
        <w:t xml:space="preserve"> did not constitute a deceptive practice</w:t>
      </w:r>
      <w:r>
        <w:rPr>
          <w:rFonts w:ascii="Times New Roman" w:eastAsia="Calibri" w:hAnsi="Times New Roman" w:cs="Times New Roman"/>
          <w:sz w:val="28"/>
          <w:szCs w:val="28"/>
        </w:rPr>
        <w:t xml:space="preserve"> in and of itself</w:t>
      </w:r>
      <w:r w:rsidRPr="0076201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the Defendants (like their fellow co-Defendants) fail to further acknowledge that the Court in </w:t>
      </w:r>
      <w:r w:rsidRPr="005B6A58">
        <w:rPr>
          <w:rFonts w:ascii="Times New Roman" w:eastAsia="Calibri" w:hAnsi="Times New Roman" w:cs="Times New Roman"/>
          <w:i/>
          <w:sz w:val="28"/>
          <w:szCs w:val="28"/>
        </w:rPr>
        <w:t>Harvey</w:t>
      </w:r>
      <w:r>
        <w:rPr>
          <w:rFonts w:ascii="Times New Roman" w:eastAsia="Calibri" w:hAnsi="Times New Roman" w:cs="Times New Roman"/>
          <w:sz w:val="28"/>
          <w:szCs w:val="28"/>
        </w:rPr>
        <w:t xml:space="preserve"> went further by additionally </w:t>
      </w:r>
      <w:r>
        <w:rPr>
          <w:rFonts w:ascii="Times New Roman" w:eastAsia="Calibri" w:hAnsi="Times New Roman" w:cs="Times New Roman"/>
          <w:sz w:val="28"/>
          <w:szCs w:val="28"/>
        </w:rPr>
        <w:lastRenderedPageBreak/>
        <w:t>distinguishing that case from</w:t>
      </w:r>
      <w:r w:rsidRPr="0076201F">
        <w:rPr>
          <w:rFonts w:ascii="Times New Roman" w:eastAsia="Calibri" w:hAnsi="Times New Roman" w:cs="Times New Roman"/>
          <w:sz w:val="28"/>
          <w:szCs w:val="28"/>
        </w:rPr>
        <w:t xml:space="preserve"> the case of </w:t>
      </w:r>
      <w:r w:rsidRPr="0076201F">
        <w:rPr>
          <w:rFonts w:ascii="Times New Roman" w:eastAsia="Calibri" w:hAnsi="Times New Roman" w:cs="Times New Roman"/>
          <w:i/>
          <w:sz w:val="28"/>
          <w:szCs w:val="28"/>
        </w:rPr>
        <w:t>Delawder v. Platinum Financial Services Corp</w:t>
      </w:r>
      <w:r w:rsidRPr="0076201F">
        <w:rPr>
          <w:rFonts w:ascii="Times New Roman" w:eastAsia="Calibri" w:hAnsi="Times New Roman" w:cs="Times New Roman"/>
          <w:sz w:val="28"/>
          <w:szCs w:val="28"/>
        </w:rPr>
        <w:t xml:space="preserve">., No. C–1–04–680, 2005 U.S. Dist. LEXIS 40139 (S.D. Ohio March 1, 2005).  As is the case here, the district court in </w:t>
      </w:r>
      <w:r w:rsidRPr="0076201F">
        <w:rPr>
          <w:rFonts w:ascii="Times New Roman" w:eastAsia="Calibri" w:hAnsi="Times New Roman" w:cs="Times New Roman"/>
          <w:i/>
          <w:sz w:val="28"/>
          <w:szCs w:val="28"/>
        </w:rPr>
        <w:t>Delawder</w:t>
      </w:r>
      <w:r w:rsidRPr="0076201F">
        <w:rPr>
          <w:rFonts w:ascii="Times New Roman" w:eastAsia="Calibri" w:hAnsi="Times New Roman" w:cs="Times New Roman"/>
          <w:sz w:val="28"/>
          <w:szCs w:val="28"/>
        </w:rPr>
        <w:t xml:space="preserve"> upheld claims under 15 U.S.C. § 1692</w:t>
      </w:r>
      <w:r w:rsidR="00980285" w:rsidRPr="0076201F">
        <w:rPr>
          <w:rFonts w:ascii="Times New Roman" w:eastAsia="Calibri" w:hAnsi="Times New Roman" w:cs="Times New Roman"/>
          <w:sz w:val="28"/>
          <w:szCs w:val="28"/>
        </w:rPr>
        <w:t>e (</w:t>
      </w:r>
      <w:r w:rsidRPr="0076201F">
        <w:rPr>
          <w:rFonts w:ascii="Times New Roman" w:eastAsia="Calibri" w:hAnsi="Times New Roman" w:cs="Times New Roman"/>
          <w:sz w:val="28"/>
          <w:szCs w:val="28"/>
        </w:rPr>
        <w:t xml:space="preserve">10) in a case where the debt collector put forth an unsubstantiated debt-collection claim. </w:t>
      </w:r>
      <w:r w:rsidRPr="0076201F">
        <w:rPr>
          <w:rFonts w:ascii="Times New Roman" w:eastAsia="Calibri" w:hAnsi="Times New Roman" w:cs="Times New Roman"/>
          <w:i/>
          <w:sz w:val="28"/>
          <w:szCs w:val="28"/>
        </w:rPr>
        <w:t>Id</w:t>
      </w:r>
      <w:r w:rsidRPr="0076201F">
        <w:rPr>
          <w:rFonts w:ascii="Times New Roman" w:eastAsia="Calibri" w:hAnsi="Times New Roman" w:cs="Times New Roman"/>
          <w:sz w:val="28"/>
          <w:szCs w:val="28"/>
        </w:rPr>
        <w:t xml:space="preserve">. at *14–15.” </w:t>
      </w:r>
      <w:r w:rsidRPr="0076201F">
        <w:rPr>
          <w:rFonts w:ascii="Times New Roman" w:eastAsia="Calibri" w:hAnsi="Times New Roman" w:cs="Times New Roman"/>
          <w:i/>
          <w:sz w:val="28"/>
          <w:szCs w:val="28"/>
        </w:rPr>
        <w:t>Harvey</w:t>
      </w:r>
      <w:r>
        <w:rPr>
          <w:rFonts w:ascii="Times New Roman" w:eastAsia="Calibri" w:hAnsi="Times New Roman" w:cs="Times New Roman"/>
          <w:sz w:val="28"/>
          <w:szCs w:val="28"/>
        </w:rPr>
        <w:t xml:space="preserve"> at 331.  More specifically, and as exemplified by the Motion now before this Court for consideration, the </w:t>
      </w:r>
      <w:r w:rsidRPr="0076201F">
        <w:rPr>
          <w:rFonts w:ascii="Times New Roman" w:eastAsia="Calibri" w:hAnsi="Times New Roman" w:cs="Times New Roman"/>
          <w:i/>
          <w:sz w:val="28"/>
          <w:szCs w:val="28"/>
        </w:rPr>
        <w:t>Delawder</w:t>
      </w:r>
      <w:r>
        <w:rPr>
          <w:rFonts w:ascii="Times New Roman" w:eastAsia="Calibri" w:hAnsi="Times New Roman" w:cs="Times New Roman"/>
          <w:sz w:val="28"/>
          <w:szCs w:val="28"/>
        </w:rPr>
        <w:t xml:space="preserve"> </w:t>
      </w:r>
      <w:r w:rsidRPr="009257EB">
        <w:rPr>
          <w:rFonts w:ascii="Times New Roman" w:eastAsia="Calibri" w:hAnsi="Times New Roman" w:cs="Times New Roman"/>
          <w:color w:val="000000"/>
          <w:sz w:val="28"/>
          <w:szCs w:val="28"/>
        </w:rPr>
        <w:t>court concluded,</w:t>
      </w:r>
    </w:p>
    <w:p w14:paraId="48188814" w14:textId="7BD83019" w:rsidR="005B6A58" w:rsidRPr="009257EB" w:rsidRDefault="005B6A58" w:rsidP="005B6A58">
      <w:pPr>
        <w:widowControl w:val="0"/>
        <w:autoSpaceDE w:val="0"/>
        <w:autoSpaceDN w:val="0"/>
        <w:adjustRightInd w:val="0"/>
        <w:spacing w:after="0" w:line="240" w:lineRule="auto"/>
        <w:ind w:left="720" w:right="720"/>
        <w:rPr>
          <w:rFonts w:ascii="Times New Roman" w:eastAsia="Calibri" w:hAnsi="Times New Roman" w:cs="Times New Roman"/>
          <w:color w:val="000000"/>
          <w:sz w:val="28"/>
          <w:szCs w:val="28"/>
        </w:rPr>
      </w:pPr>
      <w:r w:rsidRPr="009257EB">
        <w:rPr>
          <w:rFonts w:ascii="Times New Roman" w:eastAsia="Calibri" w:hAnsi="Times New Roman" w:cs="Times New Roman"/>
          <w:color w:val="000000"/>
          <w:sz w:val="28"/>
          <w:szCs w:val="28"/>
        </w:rPr>
        <w:t>Defendants wrongly construe Delawder’s claims as based only upon “the mere filing of a lawsuit, and voluntary dismissal.”  (See doc. # 14, p. 2.) First, Delawder claims that Defendants violated Section 1692</w:t>
      </w:r>
      <w:r w:rsidR="00980285" w:rsidRPr="009257EB">
        <w:rPr>
          <w:rFonts w:ascii="Times New Roman" w:eastAsia="Calibri" w:hAnsi="Times New Roman" w:cs="Times New Roman"/>
          <w:color w:val="000000"/>
          <w:sz w:val="28"/>
          <w:szCs w:val="28"/>
        </w:rPr>
        <w:t>e (</w:t>
      </w:r>
      <w:r w:rsidRPr="009257EB">
        <w:rPr>
          <w:rFonts w:ascii="Times New Roman" w:eastAsia="Calibri" w:hAnsi="Times New Roman" w:cs="Times New Roman"/>
          <w:color w:val="000000"/>
          <w:sz w:val="28"/>
          <w:szCs w:val="28"/>
        </w:rPr>
        <w:t xml:space="preserve">2) by falsely representing </w:t>
      </w:r>
      <w:r w:rsidRPr="00B103BF">
        <w:rPr>
          <w:rFonts w:ascii="Times New Roman" w:eastAsia="Calibri" w:hAnsi="Times New Roman" w:cs="Times New Roman"/>
          <w:i/>
          <w:color w:val="000000"/>
          <w:sz w:val="28"/>
          <w:szCs w:val="28"/>
          <w:u w:val="single"/>
        </w:rPr>
        <w:t>the character, amount, or legal status of a debt</w:t>
      </w:r>
      <w:r w:rsidRPr="009257EB">
        <w:rPr>
          <w:rFonts w:ascii="Times New Roman" w:eastAsia="Calibri" w:hAnsi="Times New Roman" w:cs="Times New Roman"/>
          <w:color w:val="000000"/>
          <w:sz w:val="28"/>
          <w:szCs w:val="28"/>
        </w:rPr>
        <w:t>. Second, Delawder claims that Defendants violated Section 1692</w:t>
      </w:r>
      <w:r w:rsidR="00980285" w:rsidRPr="009257EB">
        <w:rPr>
          <w:rFonts w:ascii="Times New Roman" w:eastAsia="Calibri" w:hAnsi="Times New Roman" w:cs="Times New Roman"/>
          <w:color w:val="000000"/>
          <w:sz w:val="28"/>
          <w:szCs w:val="28"/>
        </w:rPr>
        <w:t>f (</w:t>
      </w:r>
      <w:r w:rsidRPr="009257EB">
        <w:rPr>
          <w:rFonts w:ascii="Times New Roman" w:eastAsia="Calibri" w:hAnsi="Times New Roman" w:cs="Times New Roman"/>
          <w:color w:val="000000"/>
          <w:sz w:val="28"/>
          <w:szCs w:val="28"/>
        </w:rPr>
        <w:t xml:space="preserve">1), by attempting to collect an amount of debt when that amount was </w:t>
      </w:r>
      <w:r w:rsidRPr="00114688">
        <w:rPr>
          <w:rFonts w:ascii="Times New Roman" w:eastAsia="Calibri" w:hAnsi="Times New Roman" w:cs="Times New Roman"/>
          <w:i/>
          <w:color w:val="000000"/>
          <w:sz w:val="28"/>
          <w:szCs w:val="28"/>
          <w:u w:val="single"/>
        </w:rPr>
        <w:t>not expressly authorized by the agreement</w:t>
      </w:r>
      <w:r w:rsidRPr="009257EB">
        <w:rPr>
          <w:rFonts w:ascii="Times New Roman" w:eastAsia="Calibri" w:hAnsi="Times New Roman" w:cs="Times New Roman"/>
          <w:color w:val="000000"/>
          <w:sz w:val="28"/>
          <w:szCs w:val="28"/>
        </w:rPr>
        <w:t xml:space="preserve"> creating the debt </w:t>
      </w:r>
      <w:r w:rsidRPr="00B103BF">
        <w:rPr>
          <w:rFonts w:ascii="Times New Roman" w:eastAsia="Calibri" w:hAnsi="Times New Roman" w:cs="Times New Roman"/>
          <w:i/>
          <w:color w:val="000000"/>
          <w:sz w:val="28"/>
          <w:szCs w:val="28"/>
          <w:u w:val="single"/>
        </w:rPr>
        <w:t>or permitted by law</w:t>
      </w:r>
      <w:r w:rsidRPr="009257EB">
        <w:rPr>
          <w:rFonts w:ascii="Times New Roman" w:eastAsia="Calibri" w:hAnsi="Times New Roman" w:cs="Times New Roman"/>
          <w:color w:val="000000"/>
          <w:sz w:val="28"/>
          <w:szCs w:val="28"/>
        </w:rPr>
        <w:t>. (See doc. # 1, ¶ 14.) Courts have recognized claims under Section 1692</w:t>
      </w:r>
      <w:r w:rsidR="00980285" w:rsidRPr="009257EB">
        <w:rPr>
          <w:rFonts w:ascii="Times New Roman" w:eastAsia="Calibri" w:hAnsi="Times New Roman" w:cs="Times New Roman"/>
          <w:color w:val="000000"/>
          <w:sz w:val="28"/>
          <w:szCs w:val="28"/>
        </w:rPr>
        <w:t>f (</w:t>
      </w:r>
      <w:r w:rsidRPr="009257EB">
        <w:rPr>
          <w:rFonts w:ascii="Times New Roman" w:eastAsia="Calibri" w:hAnsi="Times New Roman" w:cs="Times New Roman"/>
          <w:color w:val="000000"/>
          <w:sz w:val="28"/>
          <w:szCs w:val="28"/>
        </w:rPr>
        <w:t xml:space="preserve">1) where, as here, a debt collector files a lawsuit </w:t>
      </w:r>
      <w:r w:rsidRPr="00B103BF">
        <w:rPr>
          <w:rFonts w:ascii="Times New Roman" w:eastAsia="Calibri" w:hAnsi="Times New Roman" w:cs="Times New Roman"/>
          <w:i/>
          <w:color w:val="000000"/>
          <w:sz w:val="28"/>
          <w:szCs w:val="28"/>
          <w:u w:val="single"/>
        </w:rPr>
        <w:t>seeking an amount allegedly greater than the amount owed under a debt agreement</w:t>
      </w:r>
      <w:r w:rsidRPr="009257EB">
        <w:rPr>
          <w:rFonts w:ascii="Times New Roman" w:eastAsia="Calibri" w:hAnsi="Times New Roman" w:cs="Times New Roman"/>
          <w:color w:val="000000"/>
          <w:sz w:val="28"/>
          <w:szCs w:val="28"/>
        </w:rPr>
        <w:t xml:space="preserve">. See, e.g., </w:t>
      </w:r>
      <w:r w:rsidRPr="009257EB">
        <w:rPr>
          <w:rFonts w:ascii="Times New Roman" w:eastAsia="Calibri" w:hAnsi="Times New Roman" w:cs="Times New Roman"/>
          <w:i/>
          <w:color w:val="000000"/>
          <w:sz w:val="28"/>
          <w:szCs w:val="28"/>
        </w:rPr>
        <w:t>Conner v. Howe</w:t>
      </w:r>
      <w:r w:rsidRPr="009257EB">
        <w:rPr>
          <w:rFonts w:ascii="Times New Roman" w:eastAsia="Calibri" w:hAnsi="Times New Roman" w:cs="Times New Roman"/>
          <w:color w:val="000000"/>
          <w:sz w:val="28"/>
          <w:szCs w:val="28"/>
        </w:rPr>
        <w:t xml:space="preserve">, </w:t>
      </w:r>
      <w:hyperlink r:id="rId11" w:history="1">
        <w:r w:rsidRPr="009257EB">
          <w:rPr>
            <w:rFonts w:ascii="Times New Roman" w:eastAsia="Calibri" w:hAnsi="Times New Roman" w:cs="Times New Roman"/>
            <w:color w:val="000000"/>
            <w:sz w:val="28"/>
            <w:szCs w:val="28"/>
            <w:u w:color="073F78"/>
          </w:rPr>
          <w:t>344 F.Supp.2d 1164</w:t>
        </w:r>
      </w:hyperlink>
      <w:r w:rsidRPr="009257EB">
        <w:rPr>
          <w:rFonts w:ascii="Times New Roman" w:eastAsia="Calibri" w:hAnsi="Times New Roman" w:cs="Times New Roman"/>
          <w:color w:val="000000"/>
          <w:sz w:val="28"/>
          <w:szCs w:val="28"/>
        </w:rPr>
        <w:t xml:space="preserve">, 1172-73 (S.D.Ind.2004) (granting plaintiff summary judgment for Section 1692f(1) claim against debt collector-attorney for filing lawsuit seeking to collect amount greater than permitted by loan agreement, that additionally was invalid); see also </w:t>
      </w:r>
      <w:r w:rsidRPr="009257EB">
        <w:rPr>
          <w:rFonts w:ascii="Times New Roman" w:eastAsia="Calibri" w:hAnsi="Times New Roman" w:cs="Times New Roman"/>
          <w:i/>
          <w:color w:val="000000"/>
          <w:sz w:val="28"/>
          <w:szCs w:val="28"/>
        </w:rPr>
        <w:t>Miller v. Wolpoff &amp; Abramson</w:t>
      </w:r>
      <w:r w:rsidRPr="009257EB">
        <w:rPr>
          <w:rFonts w:ascii="Times New Roman" w:eastAsia="Calibri" w:hAnsi="Times New Roman" w:cs="Times New Roman"/>
          <w:color w:val="000000"/>
          <w:sz w:val="28"/>
          <w:szCs w:val="28"/>
        </w:rPr>
        <w:t xml:space="preserve">, </w:t>
      </w:r>
      <w:hyperlink r:id="rId12" w:history="1">
        <w:r w:rsidRPr="009257EB">
          <w:rPr>
            <w:rFonts w:ascii="Times New Roman" w:eastAsia="Calibri" w:hAnsi="Times New Roman" w:cs="Times New Roman"/>
            <w:color w:val="000000"/>
            <w:sz w:val="28"/>
            <w:szCs w:val="28"/>
            <w:u w:color="073F78"/>
          </w:rPr>
          <w:t>321 F.3d 292</w:t>
        </w:r>
      </w:hyperlink>
      <w:r w:rsidRPr="009257EB">
        <w:rPr>
          <w:rFonts w:ascii="Times New Roman" w:eastAsia="Calibri" w:hAnsi="Times New Roman" w:cs="Times New Roman"/>
          <w:color w:val="000000"/>
          <w:sz w:val="28"/>
          <w:szCs w:val="28"/>
        </w:rPr>
        <w:t>, 308 (2nd Cir.2003) (recognizing plaintiffs would state a claim against defendant law firm if law firm sued to collect an amount not permitted by debt agreement or by law</w:t>
      </w:r>
      <w:r>
        <w:rPr>
          <w:rFonts w:ascii="Times New Roman" w:eastAsia="Calibri" w:hAnsi="Times New Roman" w:cs="Times New Roman"/>
          <w:color w:val="000000"/>
          <w:sz w:val="28"/>
          <w:szCs w:val="28"/>
        </w:rPr>
        <w:t>.)</w:t>
      </w:r>
      <w:r w:rsidRPr="009257EB">
        <w:rPr>
          <w:rFonts w:ascii="Times New Roman" w:eastAsia="Calibri" w:hAnsi="Times New Roman" w:cs="Times New Roman"/>
          <w:color w:val="000000"/>
          <w:sz w:val="28"/>
          <w:szCs w:val="28"/>
        </w:rPr>
        <w:t xml:space="preserve"> </w:t>
      </w:r>
    </w:p>
    <w:p w14:paraId="70293FC1" w14:textId="77777777" w:rsidR="005B6A58" w:rsidRDefault="005B6A58" w:rsidP="005B6A58">
      <w:pPr>
        <w:spacing w:after="0" w:line="240" w:lineRule="auto"/>
        <w:rPr>
          <w:rFonts w:ascii="Times New Roman" w:eastAsia="Calibri" w:hAnsi="Times New Roman" w:cs="Times New Roman"/>
          <w:b/>
          <w:sz w:val="28"/>
          <w:szCs w:val="28"/>
        </w:rPr>
      </w:pPr>
    </w:p>
    <w:p w14:paraId="53B3FA05" w14:textId="77777777" w:rsidR="00E6475C" w:rsidRDefault="005B6A58" w:rsidP="005B6A58">
      <w:pPr>
        <w:spacing w:after="0" w:line="480" w:lineRule="auto"/>
        <w:rPr>
          <w:rFonts w:ascii="Times New Roman" w:eastAsia="Calibri" w:hAnsi="Times New Roman" w:cs="Times New Roman"/>
          <w:sz w:val="28"/>
          <w:szCs w:val="28"/>
        </w:rPr>
      </w:pPr>
      <w:r>
        <w:rPr>
          <w:rFonts w:ascii="Times New Roman" w:eastAsia="Calibri" w:hAnsi="Times New Roman" w:cs="Times New Roman"/>
          <w:sz w:val="28"/>
          <w:szCs w:val="28"/>
        </w:rPr>
        <w:tab/>
        <w:t>It is important to note that the</w:t>
      </w:r>
      <w:r w:rsidRPr="00114688">
        <w:rPr>
          <w:rFonts w:ascii="Times New Roman" w:eastAsia="Calibri" w:hAnsi="Times New Roman" w:cs="Times New Roman"/>
          <w:sz w:val="28"/>
          <w:szCs w:val="28"/>
        </w:rPr>
        <w:t xml:space="preserve"> </w:t>
      </w:r>
      <w:r w:rsidRPr="00551386">
        <w:rPr>
          <w:rFonts w:ascii="Times New Roman" w:eastAsia="Calibri" w:hAnsi="Times New Roman" w:cs="Times New Roman"/>
          <w:i/>
          <w:sz w:val="28"/>
          <w:szCs w:val="28"/>
        </w:rPr>
        <w:t>Harvey</w:t>
      </w:r>
      <w:r>
        <w:rPr>
          <w:rFonts w:ascii="Times New Roman" w:eastAsia="Calibri" w:hAnsi="Times New Roman" w:cs="Times New Roman"/>
          <w:sz w:val="28"/>
          <w:szCs w:val="28"/>
        </w:rPr>
        <w:t xml:space="preserve"> </w:t>
      </w:r>
      <w:r w:rsidRPr="00114688">
        <w:rPr>
          <w:rFonts w:ascii="Times New Roman" w:eastAsia="Calibri" w:hAnsi="Times New Roman" w:cs="Times New Roman"/>
          <w:sz w:val="28"/>
          <w:szCs w:val="28"/>
        </w:rPr>
        <w:t xml:space="preserve">Court went on to </w:t>
      </w:r>
      <w:r>
        <w:rPr>
          <w:rFonts w:ascii="Times New Roman" w:eastAsia="Calibri" w:hAnsi="Times New Roman" w:cs="Times New Roman"/>
          <w:sz w:val="28"/>
          <w:szCs w:val="28"/>
        </w:rPr>
        <w:t xml:space="preserve">clearly stipulate </w:t>
      </w:r>
      <w:r w:rsidRPr="00114688">
        <w:rPr>
          <w:rFonts w:ascii="Times New Roman" w:eastAsia="Calibri" w:hAnsi="Times New Roman" w:cs="Times New Roman"/>
          <w:sz w:val="28"/>
          <w:szCs w:val="28"/>
        </w:rPr>
        <w:t xml:space="preserve">that </w:t>
      </w:r>
      <w:r>
        <w:rPr>
          <w:rFonts w:ascii="Times New Roman" w:eastAsia="Calibri" w:hAnsi="Times New Roman" w:cs="Times New Roman"/>
          <w:sz w:val="28"/>
          <w:szCs w:val="28"/>
        </w:rPr>
        <w:t xml:space="preserve">it was in fact </w:t>
      </w:r>
      <w:r w:rsidRPr="00114688">
        <w:rPr>
          <w:rFonts w:ascii="Times New Roman" w:eastAsia="Calibri" w:hAnsi="Times New Roman" w:cs="Times New Roman"/>
          <w:sz w:val="28"/>
          <w:szCs w:val="28"/>
        </w:rPr>
        <w:t xml:space="preserve">because </w:t>
      </w:r>
      <w:r>
        <w:rPr>
          <w:rFonts w:ascii="Times New Roman" w:eastAsia="Calibri" w:hAnsi="Times New Roman" w:cs="Times New Roman"/>
          <w:sz w:val="28"/>
          <w:szCs w:val="28"/>
        </w:rPr>
        <w:t>the plaintiff in that case</w:t>
      </w:r>
      <w:r w:rsidRPr="00114688">
        <w:rPr>
          <w:rFonts w:ascii="Times New Roman" w:eastAsia="Calibri" w:hAnsi="Times New Roman" w:cs="Times New Roman"/>
          <w:sz w:val="28"/>
          <w:szCs w:val="28"/>
        </w:rPr>
        <w:t xml:space="preserve"> did “</w:t>
      </w:r>
      <w:r w:rsidRPr="001D61D5">
        <w:rPr>
          <w:rFonts w:ascii="Times New Roman" w:eastAsia="Calibri" w:hAnsi="Times New Roman" w:cs="Times New Roman"/>
          <w:sz w:val="28"/>
          <w:szCs w:val="28"/>
        </w:rPr>
        <w:t xml:space="preserve">not </w:t>
      </w:r>
      <w:r w:rsidRPr="001D61D5">
        <w:rPr>
          <w:rFonts w:ascii="Times New Roman" w:eastAsia="Calibri" w:hAnsi="Times New Roman" w:cs="Times New Roman"/>
          <w:i/>
          <w:sz w:val="28"/>
          <w:szCs w:val="28"/>
        </w:rPr>
        <w:t>allege</w:t>
      </w:r>
      <w:r w:rsidRPr="00114688">
        <w:rPr>
          <w:rFonts w:ascii="Times New Roman" w:eastAsia="Calibri" w:hAnsi="Times New Roman" w:cs="Times New Roman"/>
          <w:sz w:val="28"/>
          <w:szCs w:val="28"/>
        </w:rPr>
        <w:t xml:space="preserve"> that Defendants attached a false document to the ... complaint, </w:t>
      </w:r>
      <w:r w:rsidRPr="00114688">
        <w:rPr>
          <w:rFonts w:ascii="Times New Roman" w:eastAsia="Calibri" w:hAnsi="Times New Roman" w:cs="Times New Roman"/>
          <w:i/>
          <w:sz w:val="28"/>
          <w:szCs w:val="28"/>
          <w:u w:val="single"/>
        </w:rPr>
        <w:t>nor even that [their] claims regarding the debt were false</w:t>
      </w:r>
      <w:r w:rsidRPr="00114688">
        <w:rPr>
          <w:rFonts w:ascii="Times New Roman" w:eastAsia="Calibri" w:hAnsi="Times New Roman" w:cs="Times New Roman"/>
          <w:sz w:val="28"/>
          <w:szCs w:val="28"/>
        </w:rPr>
        <w:t xml:space="preserve">,” the district court in the present case held that </w:t>
      </w:r>
      <w:r w:rsidRPr="00114688">
        <w:rPr>
          <w:rFonts w:ascii="Times New Roman" w:eastAsia="Calibri" w:hAnsi="Times New Roman" w:cs="Times New Roman"/>
          <w:i/>
          <w:sz w:val="28"/>
          <w:szCs w:val="28"/>
        </w:rPr>
        <w:lastRenderedPageBreak/>
        <w:t>Harvey</w:t>
      </w:r>
      <w:r w:rsidRPr="00114688">
        <w:rPr>
          <w:rFonts w:ascii="Times New Roman" w:eastAsia="Calibri" w:hAnsi="Times New Roman" w:cs="Times New Roman"/>
          <w:sz w:val="28"/>
          <w:szCs w:val="28"/>
        </w:rPr>
        <w:t xml:space="preserve"> did not state a claim under 15 U.S.C. § 1692</w:t>
      </w:r>
      <w:proofErr w:type="gramStart"/>
      <w:r w:rsidRPr="00114688">
        <w:rPr>
          <w:rFonts w:ascii="Times New Roman" w:eastAsia="Calibri" w:hAnsi="Times New Roman" w:cs="Times New Roman"/>
          <w:sz w:val="28"/>
          <w:szCs w:val="28"/>
        </w:rPr>
        <w:t>e(</w:t>
      </w:r>
      <w:proofErr w:type="gramEnd"/>
      <w:r w:rsidRPr="00114688">
        <w:rPr>
          <w:rFonts w:ascii="Times New Roman" w:eastAsia="Calibri" w:hAnsi="Times New Roman" w:cs="Times New Roman"/>
          <w:sz w:val="28"/>
          <w:szCs w:val="28"/>
        </w:rPr>
        <w:t xml:space="preserve">10).” </w:t>
      </w:r>
      <w:r w:rsidRPr="00114688">
        <w:rPr>
          <w:rFonts w:ascii="Times New Roman" w:eastAsia="Calibri" w:hAnsi="Times New Roman" w:cs="Times New Roman"/>
          <w:i/>
          <w:sz w:val="28"/>
          <w:szCs w:val="28"/>
        </w:rPr>
        <w:t>Id</w:t>
      </w:r>
      <w:r w:rsidRPr="0011468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Neither is applicable in this case.  </w:t>
      </w:r>
    </w:p>
    <w:p w14:paraId="253E23A2" w14:textId="535EDE6F" w:rsidR="008C0DC2" w:rsidRDefault="005B6A58" w:rsidP="00E6475C">
      <w:pPr>
        <w:spacing w:after="0" w:line="48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The Plaintiffs have demonstrably set forth that the state court complaints against them were themselves false documents purporting to state a claim for relief which the Defendants did not lawfully possess at that time and as such it was and remains the Plaintiffs’ well-articulated position </w:t>
      </w:r>
      <w:r w:rsidR="00E6475C">
        <w:rPr>
          <w:rFonts w:ascii="Times New Roman" w:eastAsia="Calibri" w:hAnsi="Times New Roman" w:cs="Times New Roman"/>
          <w:sz w:val="28"/>
          <w:szCs w:val="28"/>
        </w:rPr>
        <w:t xml:space="preserve">in their complaint and above </w:t>
      </w:r>
      <w:r>
        <w:rPr>
          <w:rFonts w:ascii="Times New Roman" w:eastAsia="Calibri" w:hAnsi="Times New Roman" w:cs="Times New Roman"/>
          <w:sz w:val="28"/>
          <w:szCs w:val="28"/>
        </w:rPr>
        <w:t xml:space="preserve">that </w:t>
      </w:r>
      <w:proofErr w:type="gramStart"/>
      <w:r>
        <w:rPr>
          <w:rFonts w:ascii="Times New Roman" w:eastAsia="Calibri" w:hAnsi="Times New Roman" w:cs="Times New Roman"/>
          <w:sz w:val="28"/>
          <w:szCs w:val="28"/>
        </w:rPr>
        <w:t>all of</w:t>
      </w:r>
      <w:proofErr w:type="gramEnd"/>
      <w:r>
        <w:rPr>
          <w:rFonts w:ascii="Times New Roman" w:eastAsia="Calibri" w:hAnsi="Times New Roman" w:cs="Times New Roman"/>
          <w:sz w:val="28"/>
          <w:szCs w:val="28"/>
        </w:rPr>
        <w:t xml:space="preserve"> the Defendants previous claims regarding ownership of the debt were false.  </w:t>
      </w:r>
    </w:p>
    <w:p w14:paraId="264B758A" w14:textId="45C599A3" w:rsidR="00205577" w:rsidRDefault="005B6A58" w:rsidP="008C0DC2">
      <w:pPr>
        <w:spacing w:after="0" w:line="480" w:lineRule="auto"/>
        <w:ind w:firstLine="720"/>
        <w:rPr>
          <w:rFonts w:ascii="Times New Roman" w:eastAsia="Times New Roman" w:hAnsi="Times New Roman" w:cs="Times New Roman"/>
          <w:sz w:val="28"/>
          <w:szCs w:val="28"/>
        </w:rPr>
      </w:pPr>
      <w:r w:rsidRPr="008D0977">
        <w:rPr>
          <w:rFonts w:ascii="Times New Roman" w:eastAsia="Times New Roman" w:hAnsi="Times New Roman" w:cs="Times New Roman"/>
          <w:sz w:val="28"/>
          <w:szCs w:val="28"/>
        </w:rPr>
        <w:t xml:space="preserve">Thus, this Honorable Court should distinguish the conclusion reached in </w:t>
      </w:r>
      <w:r w:rsidRPr="008D0977">
        <w:rPr>
          <w:rFonts w:ascii="Times New Roman" w:eastAsia="Times New Roman" w:hAnsi="Times New Roman" w:cs="Times New Roman"/>
          <w:i/>
          <w:sz w:val="28"/>
          <w:szCs w:val="28"/>
        </w:rPr>
        <w:t>Harvey</w:t>
      </w:r>
      <w:r w:rsidRPr="008D0977">
        <w:rPr>
          <w:rFonts w:ascii="Times New Roman" w:eastAsia="Times New Roman" w:hAnsi="Times New Roman" w:cs="Times New Roman"/>
          <w:sz w:val="28"/>
          <w:szCs w:val="28"/>
        </w:rPr>
        <w:t xml:space="preserve">, and find that Defendants violated </w:t>
      </w:r>
      <w:r>
        <w:rPr>
          <w:rFonts w:ascii="Times New Roman" w:eastAsia="Times New Roman" w:hAnsi="Times New Roman" w:cs="Times New Roman"/>
          <w:sz w:val="28"/>
          <w:szCs w:val="28"/>
        </w:rPr>
        <w:t xml:space="preserve">the applicable subsections of the FDCPA, MRCPA, and/or </w:t>
      </w:r>
      <w:proofErr w:type="gramStart"/>
      <w:r>
        <w:rPr>
          <w:rFonts w:ascii="Times New Roman" w:eastAsia="Times New Roman" w:hAnsi="Times New Roman" w:cs="Times New Roman"/>
          <w:sz w:val="28"/>
          <w:szCs w:val="28"/>
        </w:rPr>
        <w:t xml:space="preserve">MOC </w:t>
      </w:r>
      <w:r w:rsidRPr="008D0977">
        <w:rPr>
          <w:rFonts w:ascii="Times New Roman" w:eastAsia="Times New Roman" w:hAnsi="Times New Roman" w:cs="Times New Roman"/>
          <w:sz w:val="28"/>
          <w:szCs w:val="28"/>
        </w:rPr>
        <w:t xml:space="preserve"> via</w:t>
      </w:r>
      <w:proofErr w:type="gramEnd"/>
      <w:r w:rsidRPr="008D0977">
        <w:rPr>
          <w:rFonts w:ascii="Times New Roman" w:eastAsia="Times New Roman" w:hAnsi="Times New Roman" w:cs="Times New Roman"/>
          <w:sz w:val="28"/>
          <w:szCs w:val="28"/>
        </w:rPr>
        <w:t xml:space="preserve"> their conduct </w:t>
      </w:r>
      <w:r w:rsidRPr="008D0977">
        <w:rPr>
          <w:rFonts w:ascii="Times New Roman" w:eastAsia="Times New Roman" w:hAnsi="Times New Roman" w:cs="Times New Roman"/>
          <w:i/>
          <w:sz w:val="28"/>
          <w:szCs w:val="28"/>
        </w:rPr>
        <w:t>and intent</w:t>
      </w:r>
      <w:r w:rsidRPr="008D0977">
        <w:rPr>
          <w:rFonts w:ascii="Times New Roman" w:eastAsia="Times New Roman" w:hAnsi="Times New Roman" w:cs="Times New Roman"/>
          <w:sz w:val="28"/>
          <w:szCs w:val="28"/>
        </w:rPr>
        <w:t xml:space="preserve"> of creating and filing these </w:t>
      </w:r>
      <w:r w:rsidR="008C0DC2">
        <w:rPr>
          <w:rFonts w:ascii="Times New Roman" w:eastAsia="Times New Roman" w:hAnsi="Times New Roman" w:cs="Times New Roman"/>
          <w:sz w:val="28"/>
          <w:szCs w:val="28"/>
        </w:rPr>
        <w:t xml:space="preserve">computer </w:t>
      </w:r>
      <w:r w:rsidR="00E333F0">
        <w:rPr>
          <w:rFonts w:ascii="Times New Roman" w:eastAsia="Times New Roman" w:hAnsi="Times New Roman" w:cs="Times New Roman"/>
          <w:sz w:val="28"/>
          <w:szCs w:val="28"/>
        </w:rPr>
        <w:t>template lawsuit (all three are the same but for the numbers)</w:t>
      </w:r>
      <w:r w:rsidRPr="008D0977">
        <w:rPr>
          <w:rFonts w:ascii="Times New Roman" w:eastAsia="Times New Roman" w:hAnsi="Times New Roman" w:cs="Times New Roman"/>
          <w:sz w:val="28"/>
          <w:szCs w:val="28"/>
        </w:rPr>
        <w:t xml:space="preserve"> with the purpose of oppressing, harassing, and abusing Plaintiffs into paying alleged debts to Defendants </w:t>
      </w:r>
      <w:r>
        <w:rPr>
          <w:rFonts w:ascii="Times New Roman" w:eastAsia="Times New Roman" w:hAnsi="Times New Roman" w:cs="Times New Roman"/>
          <w:sz w:val="28"/>
          <w:szCs w:val="28"/>
        </w:rPr>
        <w:t>which the Defendants have  no lawful right to collect.</w:t>
      </w:r>
    </w:p>
    <w:p w14:paraId="48A3D802" w14:textId="2BA0DF00" w:rsidR="00F020C7" w:rsidRPr="004F27D3" w:rsidRDefault="00F020C7" w:rsidP="008C0DC2">
      <w:pPr>
        <w:spacing w:after="0" w:line="480" w:lineRule="auto"/>
        <w:ind w:firstLine="720"/>
        <w:rPr>
          <w:rFonts w:ascii="Times New Roman" w:eastAsia="Calibri" w:hAnsi="Times New Roman" w:cs="Times New Roman"/>
          <w:sz w:val="28"/>
          <w:szCs w:val="28"/>
        </w:rPr>
      </w:pPr>
      <w:r w:rsidRPr="004F27D3">
        <w:rPr>
          <w:rFonts w:ascii="Times New Roman" w:eastAsia="Calibri" w:hAnsi="Times New Roman" w:cs="Times New Roman"/>
          <w:sz w:val="28"/>
          <w:szCs w:val="28"/>
        </w:rPr>
        <w:t xml:space="preserve">Appropriately and given the lack of any proof that Cavalry </w:t>
      </w:r>
      <w:r w:rsidR="004F27D3" w:rsidRPr="004F27D3">
        <w:rPr>
          <w:rFonts w:ascii="Times New Roman" w:eastAsia="Calibri" w:hAnsi="Times New Roman" w:cs="Times New Roman"/>
          <w:sz w:val="28"/>
          <w:szCs w:val="28"/>
        </w:rPr>
        <w:t xml:space="preserve">signed for or owns even the pool of the debts it claims Plaintiffs are part of, this Court </w:t>
      </w:r>
      <w:r w:rsidR="004D00F2">
        <w:rPr>
          <w:rFonts w:ascii="Times New Roman" w:eastAsia="Calibri" w:hAnsi="Times New Roman" w:cs="Times New Roman"/>
          <w:sz w:val="28"/>
          <w:szCs w:val="28"/>
        </w:rPr>
        <w:t xml:space="preserve">is asked to </w:t>
      </w:r>
      <w:r w:rsidR="004F27D3" w:rsidRPr="004F27D3">
        <w:rPr>
          <w:rFonts w:ascii="Times New Roman" w:eastAsia="Calibri" w:hAnsi="Times New Roman" w:cs="Times New Roman"/>
          <w:sz w:val="28"/>
          <w:szCs w:val="28"/>
        </w:rPr>
        <w:t>Deny Defendants</w:t>
      </w:r>
      <w:r w:rsidR="004D00F2">
        <w:rPr>
          <w:rFonts w:ascii="Times New Roman" w:eastAsia="Calibri" w:hAnsi="Times New Roman" w:cs="Times New Roman"/>
          <w:sz w:val="28"/>
          <w:szCs w:val="28"/>
        </w:rPr>
        <w:t>’</w:t>
      </w:r>
      <w:r w:rsidR="004F27D3" w:rsidRPr="004F27D3">
        <w:rPr>
          <w:rFonts w:ascii="Times New Roman" w:eastAsia="Calibri" w:hAnsi="Times New Roman" w:cs="Times New Roman"/>
          <w:sz w:val="28"/>
          <w:szCs w:val="28"/>
        </w:rPr>
        <w:t xml:space="preserve"> Motions.</w:t>
      </w:r>
    </w:p>
    <w:p w14:paraId="4CC37C8D" w14:textId="0AB11432" w:rsidR="007B0BB5" w:rsidRPr="005B6A58" w:rsidRDefault="005B6A58" w:rsidP="008339B4">
      <w:pPr>
        <w:spacing w:after="0" w:line="480" w:lineRule="auto"/>
        <w:rPr>
          <w:rFonts w:ascii="Times New Roman" w:eastAsia="Calibri" w:hAnsi="Times New Roman" w:cs="Times New Roman"/>
          <w:b/>
          <w:color w:val="000000"/>
          <w:sz w:val="28"/>
          <w:szCs w:val="28"/>
        </w:rPr>
      </w:pPr>
      <w:r w:rsidRPr="005B6A58">
        <w:rPr>
          <w:rFonts w:ascii="Times New Roman" w:eastAsia="Calibri" w:hAnsi="Times New Roman" w:cs="Times New Roman"/>
          <w:b/>
          <w:color w:val="000000"/>
          <w:sz w:val="28"/>
          <w:szCs w:val="28"/>
        </w:rPr>
        <w:t>E.</w:t>
      </w:r>
      <w:r w:rsidRPr="005B6A58">
        <w:rPr>
          <w:rFonts w:ascii="Times New Roman" w:eastAsia="Calibri" w:hAnsi="Times New Roman" w:cs="Times New Roman"/>
          <w:b/>
          <w:color w:val="000000"/>
          <w:sz w:val="28"/>
          <w:szCs w:val="28"/>
        </w:rPr>
        <w:tab/>
        <w:t xml:space="preserve">THE COURT SHOULD </w:t>
      </w:r>
      <w:r w:rsidR="008D7286">
        <w:rPr>
          <w:rFonts w:ascii="Times New Roman" w:eastAsia="Calibri" w:hAnsi="Times New Roman" w:cs="Times New Roman"/>
          <w:b/>
          <w:color w:val="000000"/>
          <w:sz w:val="28"/>
          <w:szCs w:val="28"/>
        </w:rPr>
        <w:t xml:space="preserve">NOT </w:t>
      </w:r>
      <w:r w:rsidRPr="005B6A58">
        <w:rPr>
          <w:rFonts w:ascii="Times New Roman" w:eastAsia="Calibri" w:hAnsi="Times New Roman" w:cs="Times New Roman"/>
          <w:b/>
          <w:color w:val="000000"/>
          <w:sz w:val="28"/>
          <w:szCs w:val="28"/>
        </w:rPr>
        <w:t>DISMISS COUNTS II AND III</w:t>
      </w:r>
      <w:r w:rsidR="00205577" w:rsidRPr="005B6A58">
        <w:rPr>
          <w:rFonts w:ascii="Times New Roman" w:eastAsia="Calibri" w:hAnsi="Times New Roman" w:cs="Times New Roman"/>
          <w:b/>
          <w:color w:val="000000"/>
          <w:sz w:val="28"/>
          <w:szCs w:val="28"/>
        </w:rPr>
        <w:tab/>
      </w:r>
    </w:p>
    <w:p w14:paraId="2AD80221" w14:textId="6BFE3540" w:rsidR="00F3630F" w:rsidRDefault="00991B99" w:rsidP="00F3630F">
      <w:pPr>
        <w:spacing w:after="0" w:line="48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ab/>
      </w:r>
      <w:r w:rsidR="00F3630F" w:rsidRPr="002A44A2">
        <w:rPr>
          <w:rFonts w:ascii="Times New Roman" w:eastAsia="Calibri" w:hAnsi="Times New Roman" w:cs="Times New Roman"/>
          <w:sz w:val="28"/>
          <w:szCs w:val="28"/>
          <w:shd w:val="clear" w:color="auto" w:fill="FFFFFF"/>
        </w:rPr>
        <w:t xml:space="preserve">The RCPA/MCPA “prohibits the use of unfair, unconscionable, or deceptive methods, practices in the conduct of trade or commerce.”  </w:t>
      </w:r>
      <w:r w:rsidR="00F3630F" w:rsidRPr="002A44A2">
        <w:rPr>
          <w:rFonts w:ascii="Times New Roman" w:eastAsia="Calibri" w:hAnsi="Times New Roman" w:cs="Times New Roman"/>
          <w:i/>
          <w:sz w:val="28"/>
          <w:szCs w:val="28"/>
          <w:shd w:val="clear" w:color="auto" w:fill="FFFFFF"/>
        </w:rPr>
        <w:t>Zine v Chrysler Corp,</w:t>
      </w:r>
      <w:r w:rsidR="00F3630F" w:rsidRPr="002A44A2">
        <w:rPr>
          <w:rFonts w:ascii="Times New Roman" w:eastAsia="Calibri" w:hAnsi="Times New Roman" w:cs="Times New Roman"/>
          <w:sz w:val="28"/>
          <w:szCs w:val="28"/>
          <w:shd w:val="clear" w:color="auto" w:fill="FFFFFF"/>
        </w:rPr>
        <w:t xml:space="preserve"> 236 Mich App 261, 270-271; 600 NW2d 834 (1999).  The RCPA "prohibits </w:t>
      </w:r>
      <w:r w:rsidR="00F3630F" w:rsidRPr="002A44A2">
        <w:rPr>
          <w:rFonts w:ascii="Times New Roman" w:eastAsia="Calibri" w:hAnsi="Times New Roman" w:cs="Times New Roman"/>
          <w:sz w:val="28"/>
          <w:szCs w:val="28"/>
          <w:shd w:val="clear" w:color="auto" w:fill="FFFFFF"/>
        </w:rPr>
        <w:lastRenderedPageBreak/>
        <w:t>abusive collection efforts . . . with respect to obligations arising out of a `purchase made primarily for personal, family, or household purposes.'" </w:t>
      </w:r>
      <w:r w:rsidR="00F3630F" w:rsidRPr="002A44A2">
        <w:rPr>
          <w:rFonts w:ascii="Times New Roman" w:eastAsia="Calibri" w:hAnsi="Times New Roman" w:cs="Times New Roman"/>
          <w:i/>
          <w:iCs/>
          <w:sz w:val="28"/>
          <w:szCs w:val="28"/>
          <w:shd w:val="clear" w:color="auto" w:fill="FFFFFF"/>
        </w:rPr>
        <w:t>Levant v. Am. Honda Fin. Corp.,</w:t>
      </w:r>
      <w:r w:rsidR="00F3630F" w:rsidRPr="002A44A2">
        <w:rPr>
          <w:rFonts w:ascii="Times New Roman" w:eastAsia="Calibri" w:hAnsi="Times New Roman" w:cs="Times New Roman"/>
          <w:sz w:val="28"/>
          <w:szCs w:val="28"/>
          <w:shd w:val="clear" w:color="auto" w:fill="FFFFFF"/>
        </w:rPr>
        <w:t> </w:t>
      </w:r>
      <w:hyperlink r:id="rId13" w:history="1">
        <w:r w:rsidR="00F3630F" w:rsidRPr="002A44A2">
          <w:rPr>
            <w:rFonts w:ascii="Times New Roman" w:eastAsia="Calibri" w:hAnsi="Times New Roman" w:cs="Times New Roman"/>
            <w:sz w:val="28"/>
            <w:szCs w:val="28"/>
          </w:rPr>
          <w:t>356 F.Supp.2d 776</w:t>
        </w:r>
      </w:hyperlink>
      <w:r w:rsidR="00F3630F" w:rsidRPr="002A44A2">
        <w:rPr>
          <w:rFonts w:ascii="Times New Roman" w:eastAsia="Calibri" w:hAnsi="Times New Roman" w:cs="Times New Roman"/>
          <w:sz w:val="28"/>
          <w:szCs w:val="28"/>
          <w:shd w:val="clear" w:color="auto" w:fill="FFFFFF"/>
        </w:rPr>
        <w:t xml:space="preserve">, 782 (E.D. Mich. 2005).  Standing in Michigan is otherwise confirmed where there is a concrete, particularized, and actual injury that is </w:t>
      </w:r>
      <w:proofErr w:type="gramStart"/>
      <w:r w:rsidR="00F3630F" w:rsidRPr="002A44A2">
        <w:rPr>
          <w:rFonts w:ascii="Times New Roman" w:eastAsia="Calibri" w:hAnsi="Times New Roman" w:cs="Times New Roman"/>
          <w:sz w:val="28"/>
          <w:szCs w:val="28"/>
          <w:shd w:val="clear" w:color="auto" w:fill="FFFFFF"/>
        </w:rPr>
        <w:t>fairly traceable</w:t>
      </w:r>
      <w:proofErr w:type="gramEnd"/>
      <w:r w:rsidR="00F3630F" w:rsidRPr="002A44A2">
        <w:rPr>
          <w:rFonts w:ascii="Times New Roman" w:eastAsia="Calibri" w:hAnsi="Times New Roman" w:cs="Times New Roman"/>
          <w:sz w:val="28"/>
          <w:szCs w:val="28"/>
          <w:shd w:val="clear" w:color="auto" w:fill="FFFFFF"/>
        </w:rPr>
        <w:t xml:space="preserve"> to the challenged action of the Defendants and capable of being redressed by a favorable decision.  See </w:t>
      </w:r>
      <w:r w:rsidR="00F3630F" w:rsidRPr="002A44A2">
        <w:rPr>
          <w:rFonts w:ascii="Times New Roman" w:eastAsia="Calibri" w:hAnsi="Times New Roman" w:cs="Times New Roman"/>
          <w:i/>
          <w:sz w:val="28"/>
          <w:szCs w:val="28"/>
          <w:shd w:val="clear" w:color="auto" w:fill="FFFFFF"/>
        </w:rPr>
        <w:t>El-Seblani v. IndyMac Mortgage Services</w:t>
      </w:r>
      <w:r w:rsidR="00F3630F" w:rsidRPr="002A44A2">
        <w:rPr>
          <w:rFonts w:ascii="Times New Roman" w:eastAsia="Calibri" w:hAnsi="Times New Roman" w:cs="Times New Roman"/>
          <w:sz w:val="28"/>
          <w:szCs w:val="28"/>
          <w:shd w:val="clear" w:color="auto" w:fill="FFFFFF"/>
        </w:rPr>
        <w:t>, 510 Fed. Appx. 425, 428 (6</w:t>
      </w:r>
      <w:r w:rsidR="00F3630F" w:rsidRPr="002A44A2">
        <w:rPr>
          <w:rFonts w:ascii="Times New Roman" w:eastAsia="Calibri" w:hAnsi="Times New Roman" w:cs="Times New Roman"/>
          <w:sz w:val="28"/>
          <w:szCs w:val="28"/>
          <w:shd w:val="clear" w:color="auto" w:fill="FFFFFF"/>
          <w:vertAlign w:val="superscript"/>
        </w:rPr>
        <w:t>th</w:t>
      </w:r>
      <w:r w:rsidR="00F3630F" w:rsidRPr="002A44A2">
        <w:rPr>
          <w:rFonts w:ascii="Times New Roman" w:eastAsia="Calibri" w:hAnsi="Times New Roman" w:cs="Times New Roman"/>
          <w:sz w:val="28"/>
          <w:szCs w:val="28"/>
          <w:shd w:val="clear" w:color="auto" w:fill="FFFFFF"/>
        </w:rPr>
        <w:t xml:space="preserve"> Cir. 2013); </w:t>
      </w:r>
      <w:r w:rsidR="00F3630F" w:rsidRPr="002A44A2">
        <w:rPr>
          <w:rFonts w:ascii="Times New Roman" w:eastAsia="Calibri" w:hAnsi="Times New Roman" w:cs="Times New Roman"/>
          <w:i/>
          <w:sz w:val="28"/>
          <w:szCs w:val="28"/>
          <w:shd w:val="clear" w:color="auto" w:fill="FFFFFF"/>
        </w:rPr>
        <w:t>Friends of the Earth, Inc. v. Laidlaw Envtl. Servs. (TOC), Inc</w:t>
      </w:r>
      <w:r w:rsidR="00F3630F" w:rsidRPr="002A44A2">
        <w:rPr>
          <w:rFonts w:ascii="Times New Roman" w:eastAsia="Calibri" w:hAnsi="Times New Roman" w:cs="Times New Roman"/>
          <w:sz w:val="28"/>
          <w:szCs w:val="28"/>
          <w:shd w:val="clear" w:color="auto" w:fill="FFFFFF"/>
        </w:rPr>
        <w:t>., 528 U.S. 167, 180-81 (2000).</w:t>
      </w:r>
    </w:p>
    <w:p w14:paraId="3BD66D7A" w14:textId="77777777" w:rsidR="00F3630F" w:rsidRPr="004F732E" w:rsidRDefault="00F3630F" w:rsidP="00F3630F">
      <w:pPr>
        <w:spacing w:after="0" w:line="48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ab/>
      </w:r>
      <w:r w:rsidRPr="004F732E">
        <w:rPr>
          <w:rFonts w:ascii="Times New Roman" w:eastAsia="Calibri" w:hAnsi="Times New Roman" w:cs="Times New Roman"/>
          <w:sz w:val="28"/>
          <w:szCs w:val="28"/>
        </w:rPr>
        <w:t xml:space="preserve">There is a compelling and valid basis for this Court to exercise supplemental jurisdiction of Plaintiffs’ claims under the Michigan Regulation of Collection Practices Act (known as MRCPA or MCPA).  The most pertinent case </w:t>
      </w:r>
      <w:proofErr w:type="gramStart"/>
      <w:r w:rsidRPr="004F732E">
        <w:rPr>
          <w:rFonts w:ascii="Times New Roman" w:eastAsia="Calibri" w:hAnsi="Times New Roman" w:cs="Times New Roman"/>
          <w:sz w:val="28"/>
          <w:szCs w:val="28"/>
        </w:rPr>
        <w:t>in regards to</w:t>
      </w:r>
      <w:proofErr w:type="gramEnd"/>
      <w:r w:rsidRPr="004F732E">
        <w:rPr>
          <w:rFonts w:ascii="Times New Roman" w:eastAsia="Calibri" w:hAnsi="Times New Roman" w:cs="Times New Roman"/>
          <w:sz w:val="28"/>
          <w:szCs w:val="28"/>
        </w:rPr>
        <w:t xml:space="preserve"> this issue is </w:t>
      </w:r>
      <w:r w:rsidRPr="004F732E">
        <w:rPr>
          <w:rFonts w:ascii="Times New Roman" w:eastAsia="Calibri" w:hAnsi="Times New Roman" w:cs="Times New Roman"/>
          <w:i/>
          <w:sz w:val="28"/>
          <w:szCs w:val="28"/>
        </w:rPr>
        <w:t>Baltierra v. Orlans Associates PC</w:t>
      </w:r>
      <w:r w:rsidRPr="004F732E">
        <w:rPr>
          <w:rFonts w:ascii="Times New Roman" w:eastAsia="Calibri" w:hAnsi="Times New Roman" w:cs="Times New Roman"/>
          <w:sz w:val="28"/>
          <w:szCs w:val="28"/>
        </w:rPr>
        <w:t xml:space="preserve">, No. 15-cv-10008 (E.D. Mich. Oct. 7, 2015).  </w:t>
      </w:r>
      <w:r w:rsidRPr="004F732E">
        <w:rPr>
          <w:rFonts w:ascii="Times New Roman" w:eastAsia="Calibri" w:hAnsi="Times New Roman" w:cs="Times New Roman"/>
          <w:color w:val="171717"/>
          <w:sz w:val="28"/>
          <w:szCs w:val="28"/>
        </w:rPr>
        <w:t xml:space="preserve">Just like </w:t>
      </w:r>
      <w:r w:rsidRPr="004F732E">
        <w:rPr>
          <w:rFonts w:ascii="Times New Roman" w:eastAsia="Calibri" w:hAnsi="Times New Roman" w:cs="Times New Roman"/>
          <w:i/>
          <w:color w:val="171717"/>
          <w:sz w:val="28"/>
          <w:szCs w:val="28"/>
        </w:rPr>
        <w:t>Baltierra</w:t>
      </w:r>
      <w:r w:rsidRPr="004F732E">
        <w:rPr>
          <w:rFonts w:ascii="Times New Roman" w:eastAsia="Calibri" w:hAnsi="Times New Roman" w:cs="Times New Roman"/>
          <w:color w:val="171717"/>
          <w:sz w:val="28"/>
          <w:szCs w:val="28"/>
        </w:rPr>
        <w:t xml:space="preserve">, the factual allegations for Plaintiffs’ FDCPA and MRCPA claims </w:t>
      </w:r>
      <w:r w:rsidRPr="004F732E">
        <w:rPr>
          <w:rFonts w:ascii="Times New Roman" w:eastAsia="Calibri" w:hAnsi="Times New Roman" w:cs="Times New Roman"/>
          <w:color w:val="171717"/>
          <w:sz w:val="28"/>
          <w:szCs w:val="28"/>
          <w:u w:val="single"/>
        </w:rPr>
        <w:t>are the same</w:t>
      </w:r>
      <w:r w:rsidRPr="004F732E">
        <w:rPr>
          <w:rFonts w:ascii="Times New Roman" w:eastAsia="Calibri" w:hAnsi="Times New Roman" w:cs="Times New Roman"/>
          <w:color w:val="171717"/>
          <w:sz w:val="28"/>
          <w:szCs w:val="28"/>
        </w:rPr>
        <w:t xml:space="preserve">, which involves claims that Defendants’ debt collection lawsuits against Plaintiffs and Plaintiff class contained fraudulent, misleading and deceptive pleadings, affidavits, and other statements.  </w:t>
      </w:r>
      <w:proofErr w:type="gramStart"/>
      <w:r>
        <w:rPr>
          <w:rFonts w:ascii="Times New Roman" w:eastAsia="Calibri" w:hAnsi="Times New Roman" w:cs="Times New Roman"/>
          <w:color w:val="171717"/>
          <w:sz w:val="28"/>
          <w:szCs w:val="28"/>
        </w:rPr>
        <w:t xml:space="preserve">In </w:t>
      </w:r>
      <w:r w:rsidRPr="004F732E">
        <w:rPr>
          <w:rFonts w:ascii="Times New Roman" w:eastAsia="Calibri" w:hAnsi="Times New Roman" w:cs="Times New Roman"/>
          <w:color w:val="171717"/>
          <w:sz w:val="28"/>
          <w:szCs w:val="28"/>
        </w:rPr>
        <w:t>light of</w:t>
      </w:r>
      <w:proofErr w:type="gramEnd"/>
      <w:r w:rsidRPr="004F732E">
        <w:rPr>
          <w:rFonts w:ascii="Times New Roman" w:eastAsia="Calibri" w:hAnsi="Times New Roman" w:cs="Times New Roman"/>
          <w:color w:val="171717"/>
          <w:sz w:val="28"/>
          <w:szCs w:val="28"/>
        </w:rPr>
        <w:t xml:space="preserve"> </w:t>
      </w:r>
      <w:r w:rsidRPr="004F732E">
        <w:rPr>
          <w:rFonts w:ascii="Times New Roman" w:eastAsia="Calibri" w:hAnsi="Times New Roman" w:cs="Times New Roman"/>
          <w:i/>
          <w:color w:val="171717"/>
          <w:sz w:val="28"/>
          <w:szCs w:val="28"/>
        </w:rPr>
        <w:t>Baltierra</w:t>
      </w:r>
      <w:r>
        <w:rPr>
          <w:rFonts w:ascii="Times New Roman" w:eastAsia="Calibri" w:hAnsi="Times New Roman" w:cs="Times New Roman"/>
          <w:color w:val="171717"/>
          <w:sz w:val="28"/>
          <w:szCs w:val="28"/>
        </w:rPr>
        <w:t xml:space="preserve"> alone</w:t>
      </w:r>
      <w:r w:rsidRPr="004F732E">
        <w:rPr>
          <w:rFonts w:ascii="Times New Roman" w:eastAsia="Calibri" w:hAnsi="Times New Roman" w:cs="Times New Roman"/>
          <w:color w:val="171717"/>
          <w:sz w:val="28"/>
          <w:szCs w:val="28"/>
        </w:rPr>
        <w:t>, this court should exercise supplemental jurisdiction over Plaintiffs’ MRCPA claims.</w:t>
      </w:r>
    </w:p>
    <w:p w14:paraId="380B2357" w14:textId="0484F5FE" w:rsidR="00551386" w:rsidRDefault="00400493" w:rsidP="00400493">
      <w:pPr>
        <w:pStyle w:val="ListParagraph"/>
        <w:numPr>
          <w:ilvl w:val="0"/>
          <w:numId w:val="20"/>
        </w:numPr>
        <w:spacing w:after="0" w:line="240" w:lineRule="auto"/>
        <w:rPr>
          <w:rFonts w:ascii="Times New Roman" w:eastAsia="Calibri" w:hAnsi="Times New Roman" w:cs="Times New Roman"/>
          <w:b/>
          <w:sz w:val="28"/>
          <w:szCs w:val="28"/>
        </w:rPr>
      </w:pPr>
      <w:r w:rsidRPr="00400493">
        <w:rPr>
          <w:rFonts w:ascii="Times New Roman" w:eastAsia="Calibri" w:hAnsi="Times New Roman" w:cs="Times New Roman"/>
          <w:b/>
          <w:sz w:val="28"/>
          <w:szCs w:val="28"/>
        </w:rPr>
        <w:t>RCPA</w:t>
      </w:r>
      <w:r w:rsidR="007406D6">
        <w:rPr>
          <w:rFonts w:ascii="Times New Roman" w:eastAsia="Calibri" w:hAnsi="Times New Roman" w:cs="Times New Roman"/>
          <w:b/>
          <w:sz w:val="28"/>
          <w:szCs w:val="28"/>
        </w:rPr>
        <w:t xml:space="preserve"> </w:t>
      </w:r>
      <w:r w:rsidR="004D00F2">
        <w:rPr>
          <w:rFonts w:ascii="Times New Roman" w:eastAsia="Calibri" w:hAnsi="Times New Roman" w:cs="Times New Roman"/>
          <w:b/>
          <w:sz w:val="28"/>
          <w:szCs w:val="28"/>
        </w:rPr>
        <w:t>applies to RVO and Roosen</w:t>
      </w:r>
    </w:p>
    <w:p w14:paraId="0DFD589C" w14:textId="1424C838" w:rsidR="00400493" w:rsidRDefault="00400493" w:rsidP="00400493">
      <w:pPr>
        <w:spacing w:after="0" w:line="240" w:lineRule="auto"/>
        <w:rPr>
          <w:rFonts w:ascii="Times New Roman" w:eastAsia="Calibri" w:hAnsi="Times New Roman" w:cs="Times New Roman"/>
          <w:b/>
          <w:sz w:val="28"/>
          <w:szCs w:val="28"/>
        </w:rPr>
      </w:pPr>
    </w:p>
    <w:p w14:paraId="43E6DC92" w14:textId="6484EDE4" w:rsidR="000A50CE" w:rsidRPr="003906CA" w:rsidRDefault="00522511" w:rsidP="00E71827">
      <w:pPr>
        <w:spacing w:line="480" w:lineRule="auto"/>
        <w:ind w:firstLine="720"/>
        <w:rPr>
          <w:rFonts w:ascii="Times New Roman" w:eastAsia="Times New Roman" w:hAnsi="Times New Roman" w:cs="Times New Roman"/>
          <w:sz w:val="28"/>
          <w:szCs w:val="28"/>
        </w:rPr>
      </w:pPr>
      <w:r w:rsidRPr="003906CA">
        <w:rPr>
          <w:rFonts w:ascii="Times New Roman" w:eastAsia="Times New Roman" w:hAnsi="Times New Roman" w:cs="Times New Roman"/>
          <w:sz w:val="28"/>
          <w:szCs w:val="28"/>
        </w:rPr>
        <w:lastRenderedPageBreak/>
        <w:t xml:space="preserve">For the above reasons under the explanation under the FDCPA context, </w:t>
      </w:r>
      <w:r w:rsidR="009D652A" w:rsidRPr="003906CA">
        <w:rPr>
          <w:rFonts w:ascii="Times New Roman" w:eastAsia="Times New Roman" w:hAnsi="Times New Roman" w:cs="Times New Roman"/>
          <w:sz w:val="28"/>
          <w:szCs w:val="28"/>
        </w:rPr>
        <w:t xml:space="preserve">the </w:t>
      </w:r>
      <w:r w:rsidR="000A50CE" w:rsidRPr="003906CA">
        <w:rPr>
          <w:rFonts w:ascii="Times New Roman" w:eastAsia="Times New Roman" w:hAnsi="Times New Roman" w:cs="Times New Roman"/>
          <w:sz w:val="28"/>
          <w:szCs w:val="28"/>
        </w:rPr>
        <w:t>R</w:t>
      </w:r>
      <w:bookmarkStart w:id="2" w:name="_BA_Cite_C353A8_000349"/>
      <w:bookmarkEnd w:id="2"/>
      <w:r w:rsidR="000A50CE" w:rsidRPr="003906CA">
        <w:rPr>
          <w:rFonts w:ascii="Times New Roman" w:eastAsia="Times New Roman" w:hAnsi="Times New Roman" w:cs="Times New Roman"/>
          <w:sz w:val="28"/>
          <w:szCs w:val="28"/>
        </w:rPr>
        <w:t xml:space="preserve">CPA </w:t>
      </w:r>
      <w:r w:rsidR="009D652A" w:rsidRPr="003906CA">
        <w:rPr>
          <w:rFonts w:ascii="Times New Roman" w:eastAsia="Times New Roman" w:hAnsi="Times New Roman" w:cs="Times New Roman"/>
          <w:sz w:val="28"/>
          <w:szCs w:val="28"/>
        </w:rPr>
        <w:t xml:space="preserve">also </w:t>
      </w:r>
      <w:r w:rsidR="000A50CE" w:rsidRPr="003906CA">
        <w:rPr>
          <w:rFonts w:ascii="Times New Roman" w:eastAsia="Times New Roman" w:hAnsi="Times New Roman" w:cs="Times New Roman"/>
          <w:sz w:val="28"/>
          <w:szCs w:val="28"/>
        </w:rPr>
        <w:t>applies to attorneys</w:t>
      </w:r>
      <w:r w:rsidR="009D652A" w:rsidRPr="003906CA">
        <w:rPr>
          <w:rFonts w:ascii="Times New Roman" w:eastAsia="Times New Roman" w:hAnsi="Times New Roman" w:cs="Times New Roman"/>
          <w:sz w:val="28"/>
          <w:szCs w:val="28"/>
        </w:rPr>
        <w:t xml:space="preserve"> </w:t>
      </w:r>
      <w:r w:rsidR="000A50CE" w:rsidRPr="003906CA">
        <w:rPr>
          <w:rFonts w:ascii="Times New Roman" w:eastAsia="Times New Roman" w:hAnsi="Times New Roman" w:cs="Times New Roman"/>
          <w:sz w:val="28"/>
          <w:szCs w:val="28"/>
        </w:rPr>
        <w:t>such as</w:t>
      </w:r>
      <w:r w:rsidR="00590484" w:rsidRPr="003906CA">
        <w:rPr>
          <w:rFonts w:ascii="Times New Roman" w:eastAsia="Times New Roman" w:hAnsi="Times New Roman" w:cs="Times New Roman"/>
          <w:sz w:val="28"/>
          <w:szCs w:val="28"/>
        </w:rPr>
        <w:t xml:space="preserve"> RVO and </w:t>
      </w:r>
      <w:r w:rsidR="009D652A" w:rsidRPr="003906CA">
        <w:rPr>
          <w:rFonts w:ascii="Times New Roman" w:eastAsia="Times New Roman" w:hAnsi="Times New Roman" w:cs="Times New Roman"/>
          <w:sz w:val="28"/>
          <w:szCs w:val="28"/>
        </w:rPr>
        <w:t xml:space="preserve">Mr. </w:t>
      </w:r>
      <w:r w:rsidR="00590484" w:rsidRPr="003906CA">
        <w:rPr>
          <w:rFonts w:ascii="Times New Roman" w:eastAsia="Times New Roman" w:hAnsi="Times New Roman" w:cs="Times New Roman"/>
          <w:sz w:val="28"/>
          <w:szCs w:val="28"/>
        </w:rPr>
        <w:t>Roosen</w:t>
      </w:r>
      <w:r w:rsidR="00E71827" w:rsidRPr="003906CA">
        <w:rPr>
          <w:rFonts w:ascii="Times New Roman" w:eastAsia="Times New Roman" w:hAnsi="Times New Roman" w:cs="Times New Roman"/>
          <w:sz w:val="28"/>
          <w:szCs w:val="28"/>
        </w:rPr>
        <w:t xml:space="preserve">. Indeed, the </w:t>
      </w:r>
      <w:r w:rsidR="00E71827" w:rsidRPr="003906CA">
        <w:rPr>
          <w:rFonts w:ascii="Times New Roman" w:eastAsia="Times New Roman" w:hAnsi="Times New Roman" w:cs="Times New Roman"/>
          <w:i/>
          <w:sz w:val="28"/>
          <w:szCs w:val="28"/>
        </w:rPr>
        <w:t>Misleh</w:t>
      </w:r>
      <w:r w:rsidR="00E71827" w:rsidRPr="003906CA">
        <w:rPr>
          <w:rFonts w:ascii="Times New Roman" w:eastAsia="Times New Roman" w:hAnsi="Times New Roman" w:cs="Times New Roman"/>
          <w:sz w:val="28"/>
          <w:szCs w:val="28"/>
        </w:rPr>
        <w:t xml:space="preserve"> case that Defendants rely upon </w:t>
      </w:r>
      <w:r w:rsidR="003906CA">
        <w:rPr>
          <w:rFonts w:ascii="Times New Roman" w:eastAsia="Times New Roman" w:hAnsi="Times New Roman" w:cs="Times New Roman"/>
          <w:sz w:val="28"/>
          <w:szCs w:val="28"/>
        </w:rPr>
        <w:t>in</w:t>
      </w:r>
      <w:r w:rsidR="00E71827" w:rsidRPr="003906CA">
        <w:rPr>
          <w:rFonts w:ascii="Times New Roman" w:eastAsia="Times New Roman" w:hAnsi="Times New Roman" w:cs="Times New Roman"/>
          <w:sz w:val="28"/>
          <w:szCs w:val="28"/>
        </w:rPr>
        <w:t xml:space="preserve"> their Brief to state that Defendants are not a collection agency</w:t>
      </w:r>
      <w:r w:rsidR="003906CA">
        <w:rPr>
          <w:rFonts w:ascii="Times New Roman" w:eastAsia="Times New Roman" w:hAnsi="Times New Roman" w:cs="Times New Roman"/>
          <w:sz w:val="28"/>
          <w:szCs w:val="28"/>
        </w:rPr>
        <w:t xml:space="preserve"> under the MOC</w:t>
      </w:r>
      <w:r w:rsidR="00E71827" w:rsidRPr="003906CA">
        <w:rPr>
          <w:rFonts w:ascii="Times New Roman" w:eastAsia="Times New Roman" w:hAnsi="Times New Roman" w:cs="Times New Roman"/>
          <w:sz w:val="28"/>
          <w:szCs w:val="28"/>
        </w:rPr>
        <w:t xml:space="preserve">, confirms that RVO </w:t>
      </w:r>
      <w:r w:rsidR="00B9439B" w:rsidRPr="003906CA">
        <w:rPr>
          <w:rFonts w:ascii="Times New Roman" w:eastAsia="Times New Roman" w:hAnsi="Times New Roman" w:cs="Times New Roman"/>
          <w:sz w:val="28"/>
          <w:szCs w:val="28"/>
        </w:rPr>
        <w:t>“</w:t>
      </w:r>
      <w:r w:rsidR="00641A65" w:rsidRPr="003906CA">
        <w:rPr>
          <w:rFonts w:ascii="Times New Roman" w:eastAsia="Times New Roman" w:hAnsi="Times New Roman" w:cs="Times New Roman"/>
          <w:sz w:val="28"/>
          <w:szCs w:val="28"/>
        </w:rPr>
        <w:t xml:space="preserve">fits </w:t>
      </w:r>
      <w:r w:rsidR="000A6538" w:rsidRPr="003906CA">
        <w:rPr>
          <w:rFonts w:ascii="Times New Roman" w:eastAsia="Times New Roman" w:hAnsi="Times New Roman" w:cs="Times New Roman"/>
          <w:sz w:val="28"/>
          <w:szCs w:val="28"/>
        </w:rPr>
        <w:t>squarely within th</w:t>
      </w:r>
      <w:r w:rsidR="00641A65" w:rsidRPr="003906CA">
        <w:rPr>
          <w:rFonts w:ascii="Times New Roman" w:eastAsia="Times New Roman" w:hAnsi="Times New Roman" w:cs="Times New Roman"/>
          <w:sz w:val="28"/>
          <w:szCs w:val="28"/>
        </w:rPr>
        <w:t>e</w:t>
      </w:r>
      <w:r w:rsidR="000A6538" w:rsidRPr="003906CA">
        <w:rPr>
          <w:rFonts w:ascii="Times New Roman" w:eastAsia="Times New Roman" w:hAnsi="Times New Roman" w:cs="Times New Roman"/>
          <w:sz w:val="28"/>
          <w:szCs w:val="28"/>
        </w:rPr>
        <w:t xml:space="preserve"> definition</w:t>
      </w:r>
      <w:r w:rsidR="00641A65" w:rsidRPr="003906CA">
        <w:rPr>
          <w:rFonts w:ascii="Times New Roman" w:eastAsia="Times New Roman" w:hAnsi="Times New Roman" w:cs="Times New Roman"/>
          <w:sz w:val="28"/>
          <w:szCs w:val="28"/>
        </w:rPr>
        <w:t xml:space="preserve"> of a regulated person under the MCPA</w:t>
      </w:r>
      <w:r w:rsidR="000A6538" w:rsidRPr="003906CA">
        <w:rPr>
          <w:rFonts w:ascii="Times New Roman" w:eastAsia="Times New Roman" w:hAnsi="Times New Roman" w:cs="Times New Roman"/>
          <w:sz w:val="28"/>
          <w:szCs w:val="28"/>
        </w:rPr>
        <w:t>.”</w:t>
      </w:r>
      <w:r w:rsidR="00090A51" w:rsidRPr="003906CA">
        <w:rPr>
          <w:rFonts w:ascii="Times New Roman" w:eastAsia="Times New Roman" w:hAnsi="Times New Roman" w:cs="Times New Roman"/>
          <w:sz w:val="28"/>
          <w:szCs w:val="28"/>
        </w:rPr>
        <w:t xml:space="preserve"> </w:t>
      </w:r>
      <w:r w:rsidR="000A50CE" w:rsidRPr="003906CA">
        <w:rPr>
          <w:rFonts w:ascii="Times New Roman" w:eastAsia="Times New Roman" w:hAnsi="Times New Roman" w:cs="Times New Roman"/>
          <w:sz w:val="28"/>
          <w:szCs w:val="28"/>
        </w:rPr>
        <w:t xml:space="preserve">The statute states that a “regulated person” (including both </w:t>
      </w:r>
      <w:r w:rsidR="0099731B" w:rsidRPr="003906CA">
        <w:rPr>
          <w:rFonts w:ascii="Times New Roman" w:eastAsia="Times New Roman" w:hAnsi="Times New Roman" w:cs="Times New Roman"/>
          <w:sz w:val="28"/>
          <w:szCs w:val="28"/>
        </w:rPr>
        <w:t>RVO and Richard Roosen</w:t>
      </w:r>
      <w:r w:rsidR="000A50CE" w:rsidRPr="003906CA">
        <w:rPr>
          <w:rFonts w:ascii="Times New Roman" w:eastAsia="Times New Roman" w:hAnsi="Times New Roman" w:cs="Times New Roman"/>
          <w:sz w:val="28"/>
          <w:szCs w:val="28"/>
        </w:rPr>
        <w:t>) “shall not commit 1 or more of the following acts: (a) Communicating with a debtor in a misleading or deceptive manner, such as using the stationary of an attorney . . . unless the regulated person is an attorney.” M</w:t>
      </w:r>
      <w:bookmarkStart w:id="3" w:name="_BA_Cite_C353A8_000200"/>
      <w:bookmarkEnd w:id="3"/>
      <w:r w:rsidR="000A50CE" w:rsidRPr="003906CA">
        <w:rPr>
          <w:rFonts w:ascii="Times New Roman" w:eastAsia="Times New Roman" w:hAnsi="Times New Roman" w:cs="Times New Roman"/>
          <w:sz w:val="28"/>
          <w:szCs w:val="28"/>
        </w:rPr>
        <w:t>.C.L. § 445.252(a). The R</w:t>
      </w:r>
      <w:bookmarkStart w:id="4" w:name="_BA_Cite_C353A8_000353"/>
      <w:bookmarkEnd w:id="4"/>
      <w:r w:rsidR="000A50CE" w:rsidRPr="003906CA">
        <w:rPr>
          <w:rFonts w:ascii="Times New Roman" w:eastAsia="Times New Roman" w:hAnsi="Times New Roman" w:cs="Times New Roman"/>
          <w:sz w:val="28"/>
          <w:szCs w:val="28"/>
        </w:rPr>
        <w:t>CPA also more generally prohibits “[m]aking an inaccurate, misleading, untrue, or deceptive statement or claim in a communication to collect a debt.” M</w:t>
      </w:r>
      <w:bookmarkStart w:id="5" w:name="_BA_Cite_C353A8_000202"/>
      <w:bookmarkEnd w:id="5"/>
      <w:r w:rsidR="000A50CE" w:rsidRPr="003906CA">
        <w:rPr>
          <w:rFonts w:ascii="Times New Roman" w:eastAsia="Times New Roman" w:hAnsi="Times New Roman" w:cs="Times New Roman"/>
          <w:sz w:val="28"/>
          <w:szCs w:val="28"/>
        </w:rPr>
        <w:t>.C.L. § 445.252(e).</w:t>
      </w:r>
    </w:p>
    <w:p w14:paraId="1C6BCC61" w14:textId="5A5BF079" w:rsidR="00400493" w:rsidRDefault="002F2314" w:rsidP="00400493">
      <w:pPr>
        <w:pStyle w:val="ListParagraph"/>
        <w:numPr>
          <w:ilvl w:val="0"/>
          <w:numId w:val="20"/>
        </w:num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The R</w:t>
      </w:r>
      <w:r w:rsidR="00053714">
        <w:rPr>
          <w:rFonts w:ascii="Times New Roman" w:eastAsia="Calibri" w:hAnsi="Times New Roman" w:cs="Times New Roman"/>
          <w:b/>
          <w:sz w:val="28"/>
          <w:szCs w:val="28"/>
        </w:rPr>
        <w:t xml:space="preserve">ausch </w:t>
      </w:r>
      <w:r>
        <w:rPr>
          <w:rFonts w:ascii="Times New Roman" w:eastAsia="Calibri" w:hAnsi="Times New Roman" w:cs="Times New Roman"/>
          <w:b/>
          <w:sz w:val="28"/>
          <w:szCs w:val="28"/>
        </w:rPr>
        <w:t>Defendants are regulated by the MOC in this case</w:t>
      </w:r>
    </w:p>
    <w:p w14:paraId="44690041" w14:textId="77777777" w:rsidR="002F2314" w:rsidRPr="00400493" w:rsidRDefault="002F2314" w:rsidP="002F2314">
      <w:pPr>
        <w:pStyle w:val="ListParagraph"/>
        <w:spacing w:after="0" w:line="240" w:lineRule="auto"/>
        <w:rPr>
          <w:rFonts w:ascii="Times New Roman" w:eastAsia="Calibri" w:hAnsi="Times New Roman" w:cs="Times New Roman"/>
          <w:b/>
          <w:sz w:val="28"/>
          <w:szCs w:val="28"/>
        </w:rPr>
      </w:pPr>
    </w:p>
    <w:p w14:paraId="58811368" w14:textId="6962F8E7" w:rsidR="005E6221" w:rsidRPr="005E6221" w:rsidRDefault="004549C0" w:rsidP="00ED6C6A">
      <w:pPr>
        <w:spacing w:after="0" w:line="480" w:lineRule="auto"/>
        <w:ind w:firstLine="36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T</w:t>
      </w:r>
      <w:r w:rsidR="005E6221" w:rsidRPr="005E6221">
        <w:rPr>
          <w:rFonts w:ascii="Times New Roman" w:eastAsia="Times New Roman" w:hAnsi="Times New Roman" w:cs="Times New Roman"/>
          <w:color w:val="212121"/>
          <w:sz w:val="28"/>
          <w:szCs w:val="28"/>
        </w:rPr>
        <w:t xml:space="preserve">he Michigan Occupational Code </w:t>
      </w:r>
      <w:r>
        <w:rPr>
          <w:rFonts w:ascii="Times New Roman" w:eastAsia="Times New Roman" w:hAnsi="Times New Roman" w:cs="Times New Roman"/>
          <w:color w:val="212121"/>
          <w:sz w:val="28"/>
          <w:szCs w:val="28"/>
        </w:rPr>
        <w:t>r</w:t>
      </w:r>
      <w:r w:rsidR="005E6221" w:rsidRPr="005E6221">
        <w:rPr>
          <w:rFonts w:ascii="Times New Roman" w:eastAsia="Times New Roman" w:hAnsi="Times New Roman" w:cs="Times New Roman"/>
          <w:color w:val="212121"/>
          <w:sz w:val="28"/>
          <w:szCs w:val="28"/>
        </w:rPr>
        <w:t xml:space="preserve">egulates collection practices </w:t>
      </w:r>
      <w:r>
        <w:rPr>
          <w:rFonts w:ascii="Times New Roman" w:eastAsia="Times New Roman" w:hAnsi="Times New Roman" w:cs="Times New Roman"/>
          <w:color w:val="212121"/>
          <w:sz w:val="28"/>
          <w:szCs w:val="28"/>
        </w:rPr>
        <w:t xml:space="preserve">that </w:t>
      </w:r>
      <w:r w:rsidR="005E6221" w:rsidRPr="005E6221">
        <w:rPr>
          <w:rFonts w:ascii="Times New Roman" w:eastAsia="Times New Roman" w:hAnsi="Times New Roman" w:cs="Times New Roman"/>
          <w:color w:val="212121"/>
          <w:sz w:val="28"/>
          <w:szCs w:val="28"/>
        </w:rPr>
        <w:t xml:space="preserve">includes a </w:t>
      </w:r>
      <w:r>
        <w:rPr>
          <w:rFonts w:ascii="Times New Roman" w:eastAsia="Times New Roman" w:hAnsi="Times New Roman" w:cs="Times New Roman"/>
          <w:color w:val="212121"/>
          <w:sz w:val="28"/>
          <w:szCs w:val="28"/>
        </w:rPr>
        <w:t xml:space="preserve">lengthy </w:t>
      </w:r>
      <w:r w:rsidR="005E6221" w:rsidRPr="005E6221">
        <w:rPr>
          <w:rFonts w:ascii="Times New Roman" w:eastAsia="Times New Roman" w:hAnsi="Times New Roman" w:cs="Times New Roman"/>
          <w:color w:val="212121"/>
          <w:sz w:val="28"/>
          <w:szCs w:val="28"/>
        </w:rPr>
        <w:t>definition of “collection agency</w:t>
      </w:r>
      <w:r>
        <w:rPr>
          <w:rFonts w:ascii="Times New Roman" w:eastAsia="Times New Roman" w:hAnsi="Times New Roman" w:cs="Times New Roman"/>
          <w:color w:val="212121"/>
          <w:sz w:val="28"/>
          <w:szCs w:val="28"/>
        </w:rPr>
        <w:t>” at MCL 339.901</w:t>
      </w:r>
      <w:r w:rsidR="00A6336D">
        <w:rPr>
          <w:rFonts w:ascii="Times New Roman" w:eastAsia="Times New Roman" w:hAnsi="Times New Roman" w:cs="Times New Roman"/>
          <w:color w:val="212121"/>
          <w:sz w:val="28"/>
          <w:szCs w:val="28"/>
        </w:rPr>
        <w:t>(b)</w:t>
      </w:r>
      <w:r w:rsidR="005E6221" w:rsidRPr="005E6221">
        <w:rPr>
          <w:rFonts w:ascii="Times New Roman" w:eastAsia="Times New Roman" w:hAnsi="Times New Roman" w:cs="Times New Roman"/>
          <w:color w:val="212121"/>
          <w:sz w:val="28"/>
          <w:szCs w:val="28"/>
        </w:rPr>
        <w:t xml:space="preserve">. The definition </w:t>
      </w:r>
      <w:r w:rsidR="004B2B2E" w:rsidRPr="000C22BE">
        <w:rPr>
          <w:rFonts w:ascii="Times New Roman" w:eastAsia="Times New Roman" w:hAnsi="Times New Roman" w:cs="Times New Roman"/>
          <w:color w:val="212121"/>
          <w:sz w:val="28"/>
          <w:szCs w:val="28"/>
        </w:rPr>
        <w:t>starts with</w:t>
      </w:r>
      <w:r w:rsidR="005E6221" w:rsidRPr="005E6221">
        <w:rPr>
          <w:rFonts w:ascii="Times New Roman" w:eastAsia="Times New Roman" w:hAnsi="Times New Roman" w:cs="Times New Roman"/>
          <w:color w:val="212121"/>
          <w:sz w:val="28"/>
          <w:szCs w:val="28"/>
        </w:rPr>
        <w:t xml:space="preserve"> the following sentence:</w:t>
      </w:r>
    </w:p>
    <w:p w14:paraId="666D7873" w14:textId="77777777" w:rsidR="00060FCD" w:rsidRDefault="004B2B2E" w:rsidP="005E6221">
      <w:pPr>
        <w:spacing w:after="0" w:line="240" w:lineRule="auto"/>
        <w:rPr>
          <w:rFonts w:ascii="Times New Roman" w:hAnsi="Times New Roman" w:cs="Times New Roman"/>
          <w:color w:val="212121"/>
          <w:sz w:val="28"/>
          <w:szCs w:val="28"/>
        </w:rPr>
      </w:pPr>
      <w:r w:rsidRPr="000C22BE">
        <w:rPr>
          <w:rFonts w:ascii="Times New Roman" w:hAnsi="Times New Roman" w:cs="Times New Roman"/>
          <w:color w:val="212121"/>
          <w:sz w:val="28"/>
          <w:szCs w:val="28"/>
        </w:rPr>
        <w:t>(b) “Collection agency” means a person that is directly engaged in collecting or attempting to collect a claim owed or due or asserted to be owed or due another</w:t>
      </w:r>
      <w:r w:rsidR="00060FCD">
        <w:rPr>
          <w:rFonts w:ascii="Times New Roman" w:hAnsi="Times New Roman" w:cs="Times New Roman"/>
          <w:color w:val="212121"/>
          <w:sz w:val="28"/>
          <w:szCs w:val="28"/>
        </w:rPr>
        <w:t>…</w:t>
      </w:r>
    </w:p>
    <w:p w14:paraId="184D355E" w14:textId="1229BE12" w:rsidR="004B2B2E" w:rsidRPr="00060FCD" w:rsidRDefault="004B2B2E" w:rsidP="005E6221">
      <w:pPr>
        <w:spacing w:after="0" w:line="240" w:lineRule="auto"/>
        <w:rPr>
          <w:rFonts w:ascii="Times New Roman" w:eastAsia="Times New Roman" w:hAnsi="Times New Roman" w:cs="Times New Roman"/>
          <w:sz w:val="28"/>
          <w:szCs w:val="28"/>
        </w:rPr>
      </w:pPr>
      <w:r w:rsidRPr="000C22BE">
        <w:rPr>
          <w:rFonts w:ascii="Times New Roman" w:hAnsi="Times New Roman" w:cs="Times New Roman"/>
          <w:color w:val="212121"/>
          <w:sz w:val="28"/>
          <w:szCs w:val="28"/>
        </w:rPr>
        <w:t xml:space="preserve"> </w:t>
      </w:r>
    </w:p>
    <w:p w14:paraId="6AD25C50" w14:textId="74CEB556" w:rsidR="005E6221" w:rsidRDefault="00ED6C6A" w:rsidP="005E6221">
      <w:pPr>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The definition of </w:t>
      </w:r>
      <w:r w:rsidR="005E6221" w:rsidRPr="005E6221">
        <w:rPr>
          <w:rFonts w:ascii="Times New Roman" w:eastAsia="Times New Roman" w:hAnsi="Times New Roman" w:cs="Times New Roman"/>
          <w:color w:val="212121"/>
          <w:sz w:val="28"/>
          <w:szCs w:val="28"/>
        </w:rPr>
        <w:t>Collection agency does not include a person whose collection activities are confined and are directly related to the operation of a business other than that of a collection agency such as, but not limited to, the following:</w:t>
      </w:r>
    </w:p>
    <w:p w14:paraId="390F95C2" w14:textId="77777777" w:rsidR="000A6D70" w:rsidRPr="005E6221" w:rsidRDefault="000A6D70" w:rsidP="005E6221">
      <w:pPr>
        <w:spacing w:after="0" w:line="240" w:lineRule="auto"/>
        <w:rPr>
          <w:rFonts w:ascii="Times New Roman" w:eastAsia="Times New Roman" w:hAnsi="Times New Roman" w:cs="Times New Roman"/>
          <w:color w:val="212121"/>
          <w:sz w:val="28"/>
          <w:szCs w:val="28"/>
        </w:rPr>
      </w:pPr>
    </w:p>
    <w:p w14:paraId="232C599B" w14:textId="77777777" w:rsidR="005E6221" w:rsidRPr="005E6221" w:rsidRDefault="005E6221" w:rsidP="005E6221">
      <w:pPr>
        <w:spacing w:after="0" w:line="240" w:lineRule="auto"/>
        <w:rPr>
          <w:rFonts w:ascii="Times New Roman" w:eastAsia="Times New Roman" w:hAnsi="Times New Roman" w:cs="Times New Roman"/>
          <w:color w:val="212121"/>
          <w:sz w:val="28"/>
          <w:szCs w:val="28"/>
        </w:rPr>
      </w:pPr>
      <w:r w:rsidRPr="005E6221">
        <w:rPr>
          <w:rFonts w:ascii="Times New Roman" w:eastAsia="Times New Roman" w:hAnsi="Times New Roman" w:cs="Times New Roman"/>
          <w:color w:val="212121"/>
          <w:sz w:val="28"/>
          <w:szCs w:val="28"/>
        </w:rPr>
        <w:t>* * *</w:t>
      </w:r>
    </w:p>
    <w:p w14:paraId="7776628D" w14:textId="523BA562" w:rsidR="005E6221" w:rsidRPr="005E6221" w:rsidRDefault="005E6221" w:rsidP="005E6221">
      <w:pPr>
        <w:spacing w:after="0" w:line="240" w:lineRule="auto"/>
        <w:rPr>
          <w:rFonts w:ascii="Times New Roman" w:eastAsia="Times New Roman" w:hAnsi="Times New Roman" w:cs="Times New Roman"/>
          <w:color w:val="212121"/>
          <w:sz w:val="28"/>
          <w:szCs w:val="28"/>
        </w:rPr>
      </w:pPr>
      <w:r w:rsidRPr="005E6221">
        <w:rPr>
          <w:rFonts w:ascii="Times New Roman" w:eastAsia="Times New Roman" w:hAnsi="Times New Roman" w:cs="Times New Roman"/>
          <w:color w:val="212121"/>
          <w:sz w:val="28"/>
          <w:szCs w:val="28"/>
        </w:rPr>
        <w:lastRenderedPageBreak/>
        <w:t xml:space="preserve">(xi) An attorney handling claims and collections on behalf of clients </w:t>
      </w:r>
      <w:r w:rsidRPr="005E6221">
        <w:rPr>
          <w:rFonts w:ascii="Times New Roman" w:eastAsia="Times New Roman" w:hAnsi="Times New Roman" w:cs="Times New Roman"/>
          <w:b/>
          <w:i/>
          <w:color w:val="212121"/>
          <w:sz w:val="28"/>
          <w:szCs w:val="28"/>
        </w:rPr>
        <w:t>and</w:t>
      </w:r>
      <w:r w:rsidRPr="005E6221">
        <w:rPr>
          <w:rFonts w:ascii="Times New Roman" w:eastAsia="Times New Roman" w:hAnsi="Times New Roman" w:cs="Times New Roman"/>
          <w:color w:val="212121"/>
          <w:sz w:val="28"/>
          <w:szCs w:val="28"/>
        </w:rPr>
        <w:t xml:space="preserve"> in the attorney's own name.</w:t>
      </w:r>
      <w:r w:rsidR="00471990">
        <w:rPr>
          <w:rFonts w:ascii="Times New Roman" w:eastAsia="Times New Roman" w:hAnsi="Times New Roman" w:cs="Times New Roman"/>
          <w:color w:val="212121"/>
          <w:sz w:val="28"/>
          <w:szCs w:val="28"/>
        </w:rPr>
        <w:t xml:space="preserve"> (emphasis added).</w:t>
      </w:r>
    </w:p>
    <w:p w14:paraId="75D04BFB" w14:textId="77777777" w:rsidR="00A971AC" w:rsidRDefault="00A971AC" w:rsidP="00110CA9">
      <w:pPr>
        <w:spacing w:after="0" w:line="480" w:lineRule="auto"/>
        <w:ind w:firstLine="360"/>
        <w:rPr>
          <w:rFonts w:ascii="Times New Roman" w:eastAsia="Calibri" w:hAnsi="Times New Roman" w:cs="Times New Roman"/>
          <w:color w:val="171717"/>
          <w:sz w:val="28"/>
          <w:szCs w:val="28"/>
        </w:rPr>
      </w:pPr>
    </w:p>
    <w:p w14:paraId="0F9FC22E" w14:textId="037BC769" w:rsidR="00CD3C7E" w:rsidRPr="00636AA7" w:rsidRDefault="002F2314" w:rsidP="002148EF">
      <w:pPr>
        <w:tabs>
          <w:tab w:val="left" w:pos="-1200"/>
          <w:tab w:val="left" w:pos="-810"/>
        </w:tabs>
        <w:spacing w:after="0" w:line="480" w:lineRule="auto"/>
        <w:ind w:firstLine="720"/>
        <w:rPr>
          <w:rFonts w:ascii="Times New Roman" w:eastAsia="Calibri" w:hAnsi="Times New Roman" w:cs="Times New Roman"/>
          <w:color w:val="171717"/>
          <w:sz w:val="28"/>
          <w:szCs w:val="28"/>
        </w:rPr>
      </w:pPr>
      <w:r>
        <w:rPr>
          <w:rFonts w:ascii="Times New Roman" w:eastAsia="Calibri" w:hAnsi="Times New Roman" w:cs="Times New Roman"/>
          <w:color w:val="171717"/>
          <w:sz w:val="28"/>
          <w:szCs w:val="28"/>
        </w:rPr>
        <w:t xml:space="preserve">In this case, the RVO Defendants are </w:t>
      </w:r>
      <w:r w:rsidR="00110CA9">
        <w:rPr>
          <w:rFonts w:ascii="Times New Roman" w:eastAsia="Calibri" w:hAnsi="Times New Roman" w:cs="Times New Roman"/>
          <w:color w:val="171717"/>
          <w:sz w:val="28"/>
          <w:szCs w:val="28"/>
        </w:rPr>
        <w:t xml:space="preserve">collecting a debt on behalf of Cavalry but not on behalf of </w:t>
      </w:r>
      <w:r w:rsidR="00060FCD">
        <w:rPr>
          <w:rFonts w:ascii="Times New Roman" w:eastAsia="Calibri" w:hAnsi="Times New Roman" w:cs="Times New Roman"/>
          <w:color w:val="171717"/>
          <w:sz w:val="28"/>
          <w:szCs w:val="28"/>
        </w:rPr>
        <w:t>themselves and in their own name</w:t>
      </w:r>
      <w:r w:rsidR="00110CA9">
        <w:rPr>
          <w:rFonts w:ascii="Times New Roman" w:eastAsia="Calibri" w:hAnsi="Times New Roman" w:cs="Times New Roman"/>
          <w:color w:val="171717"/>
          <w:sz w:val="28"/>
          <w:szCs w:val="28"/>
        </w:rPr>
        <w:t xml:space="preserve">.  </w:t>
      </w:r>
      <w:r w:rsidR="00D135EB">
        <w:rPr>
          <w:rFonts w:ascii="Times New Roman" w:eastAsia="Calibri" w:hAnsi="Times New Roman" w:cs="Times New Roman"/>
          <w:color w:val="171717"/>
          <w:sz w:val="28"/>
          <w:szCs w:val="28"/>
        </w:rPr>
        <w:t xml:space="preserve"> In fact, as a debt collector or collection agency, RVO never collects </w:t>
      </w:r>
      <w:r w:rsidR="00E618E3">
        <w:rPr>
          <w:rFonts w:ascii="Times New Roman" w:eastAsia="Calibri" w:hAnsi="Times New Roman" w:cs="Times New Roman"/>
          <w:color w:val="171717"/>
          <w:sz w:val="28"/>
          <w:szCs w:val="28"/>
        </w:rPr>
        <w:t>debts on their own behalf. So, under the statute, they are a collection agency</w:t>
      </w:r>
      <w:r w:rsidR="00A971AC">
        <w:rPr>
          <w:rFonts w:ascii="Times New Roman" w:eastAsia="Calibri" w:hAnsi="Times New Roman" w:cs="Times New Roman"/>
          <w:color w:val="171717"/>
          <w:sz w:val="28"/>
          <w:szCs w:val="28"/>
        </w:rPr>
        <w:t xml:space="preserve"> and regulated here</w:t>
      </w:r>
      <w:r w:rsidR="00E618E3">
        <w:rPr>
          <w:rFonts w:ascii="Times New Roman" w:eastAsia="Calibri" w:hAnsi="Times New Roman" w:cs="Times New Roman"/>
          <w:color w:val="171717"/>
          <w:sz w:val="28"/>
          <w:szCs w:val="28"/>
        </w:rPr>
        <w:t xml:space="preserve">. </w:t>
      </w:r>
      <w:r w:rsidR="002654DD">
        <w:rPr>
          <w:rFonts w:ascii="Times New Roman" w:eastAsia="Calibri" w:hAnsi="Times New Roman" w:cs="Times New Roman"/>
          <w:color w:val="171717"/>
          <w:sz w:val="28"/>
          <w:szCs w:val="28"/>
        </w:rPr>
        <w:t xml:space="preserve">Defendants quote </w:t>
      </w:r>
      <w:r w:rsidR="002654DD" w:rsidRPr="00A971AC">
        <w:rPr>
          <w:rFonts w:ascii="Times New Roman" w:eastAsia="Calibri" w:hAnsi="Times New Roman" w:cs="Times New Roman"/>
          <w:i/>
          <w:color w:val="171717"/>
          <w:sz w:val="28"/>
          <w:szCs w:val="28"/>
        </w:rPr>
        <w:t xml:space="preserve">Misleh v Timothy </w:t>
      </w:r>
      <w:r w:rsidR="00994B6B" w:rsidRPr="00A971AC">
        <w:rPr>
          <w:rFonts w:ascii="Times New Roman" w:eastAsia="Calibri" w:hAnsi="Times New Roman" w:cs="Times New Roman"/>
          <w:i/>
          <w:color w:val="171717"/>
          <w:sz w:val="28"/>
          <w:szCs w:val="28"/>
        </w:rPr>
        <w:t>E. Baxter &amp; Assoc.</w:t>
      </w:r>
      <w:r w:rsidR="00994B6B">
        <w:rPr>
          <w:rFonts w:ascii="Times New Roman" w:eastAsia="Calibri" w:hAnsi="Times New Roman" w:cs="Times New Roman"/>
          <w:color w:val="171717"/>
          <w:sz w:val="28"/>
          <w:szCs w:val="28"/>
        </w:rPr>
        <w:t>, 786 F. Supp. 2d 1330, 1337 (E.D. Mich 2011)</w:t>
      </w:r>
      <w:r w:rsidR="00C920E1">
        <w:rPr>
          <w:rFonts w:ascii="Times New Roman" w:eastAsia="Calibri" w:hAnsi="Times New Roman" w:cs="Times New Roman"/>
          <w:color w:val="171717"/>
          <w:sz w:val="28"/>
          <w:szCs w:val="28"/>
        </w:rPr>
        <w:t xml:space="preserve">, </w:t>
      </w:r>
      <w:r w:rsidR="00A971AC">
        <w:rPr>
          <w:rFonts w:ascii="Times New Roman" w:eastAsia="Calibri" w:hAnsi="Times New Roman" w:cs="Times New Roman"/>
          <w:color w:val="171717"/>
          <w:sz w:val="28"/>
          <w:szCs w:val="28"/>
        </w:rPr>
        <w:t xml:space="preserve">for the belief </w:t>
      </w:r>
      <w:r w:rsidR="00C920E1">
        <w:rPr>
          <w:rFonts w:ascii="Times New Roman" w:eastAsia="Calibri" w:hAnsi="Times New Roman" w:cs="Times New Roman"/>
          <w:color w:val="171717"/>
          <w:sz w:val="28"/>
          <w:szCs w:val="28"/>
        </w:rPr>
        <w:t xml:space="preserve">that a person is either a collection agency or a </w:t>
      </w:r>
      <w:r w:rsidR="00DD447B">
        <w:rPr>
          <w:rFonts w:ascii="Times New Roman" w:eastAsia="Calibri" w:hAnsi="Times New Roman" w:cs="Times New Roman"/>
          <w:color w:val="171717"/>
          <w:sz w:val="28"/>
          <w:szCs w:val="28"/>
        </w:rPr>
        <w:t>regulated person under the RCPA</w:t>
      </w:r>
      <w:r w:rsidR="00D06CAC">
        <w:rPr>
          <w:rFonts w:ascii="Times New Roman" w:eastAsia="Calibri" w:hAnsi="Times New Roman" w:cs="Times New Roman"/>
          <w:color w:val="171717"/>
          <w:sz w:val="28"/>
          <w:szCs w:val="28"/>
        </w:rPr>
        <w:t xml:space="preserve"> and MOC</w:t>
      </w:r>
      <w:r w:rsidR="00DD447B">
        <w:rPr>
          <w:rFonts w:ascii="Times New Roman" w:eastAsia="Calibri" w:hAnsi="Times New Roman" w:cs="Times New Roman"/>
          <w:color w:val="171717"/>
          <w:sz w:val="28"/>
          <w:szCs w:val="28"/>
        </w:rPr>
        <w:t xml:space="preserve">, but not both.  </w:t>
      </w:r>
      <w:r w:rsidRPr="004F732E">
        <w:rPr>
          <w:rFonts w:ascii="Times New Roman" w:eastAsia="Calibri" w:hAnsi="Times New Roman" w:cs="Times New Roman"/>
          <w:color w:val="171717"/>
          <w:sz w:val="28"/>
          <w:szCs w:val="28"/>
        </w:rPr>
        <w:t xml:space="preserve"> </w:t>
      </w:r>
      <w:r w:rsidR="00A63C71" w:rsidRPr="00176E38">
        <w:rPr>
          <w:rFonts w:ascii="Times New Roman" w:eastAsia="Calibri" w:hAnsi="Times New Roman" w:cs="Times New Roman"/>
          <w:i/>
          <w:color w:val="171717"/>
          <w:sz w:val="28"/>
          <w:szCs w:val="28"/>
        </w:rPr>
        <w:t>Misleh</w:t>
      </w:r>
      <w:r w:rsidR="00A63C71">
        <w:rPr>
          <w:rFonts w:ascii="Times New Roman" w:eastAsia="Calibri" w:hAnsi="Times New Roman" w:cs="Times New Roman"/>
          <w:color w:val="171717"/>
          <w:sz w:val="28"/>
          <w:szCs w:val="28"/>
        </w:rPr>
        <w:t xml:space="preserve"> was a case brought under </w:t>
      </w:r>
      <w:r w:rsidR="00A63C71" w:rsidRPr="00176E38">
        <w:rPr>
          <w:rFonts w:ascii="Times New Roman" w:eastAsia="Calibri" w:hAnsi="Times New Roman" w:cs="Times New Roman"/>
          <w:i/>
          <w:color w:val="171717"/>
          <w:sz w:val="28"/>
          <w:szCs w:val="28"/>
        </w:rPr>
        <w:t>only</w:t>
      </w:r>
      <w:r w:rsidR="00A63C71">
        <w:rPr>
          <w:rFonts w:ascii="Times New Roman" w:eastAsia="Calibri" w:hAnsi="Times New Roman" w:cs="Times New Roman"/>
          <w:color w:val="171717"/>
          <w:sz w:val="28"/>
          <w:szCs w:val="28"/>
        </w:rPr>
        <w:t xml:space="preserve"> the FDCPA and RCPA.</w:t>
      </w:r>
      <w:r w:rsidR="00C60F9E" w:rsidRPr="00C60F9E">
        <w:rPr>
          <w:rFonts w:ascii="Times New Roman" w:hAnsi="Times New Roman" w:cs="Times New Roman"/>
          <w:sz w:val="28"/>
          <w:szCs w:val="28"/>
        </w:rPr>
        <w:t xml:space="preserve"> </w:t>
      </w:r>
      <w:r w:rsidR="00C60F9E" w:rsidRPr="00636AA7">
        <w:rPr>
          <w:rFonts w:ascii="Times New Roman" w:hAnsi="Times New Roman" w:cs="Times New Roman"/>
          <w:sz w:val="28"/>
          <w:szCs w:val="28"/>
        </w:rPr>
        <w:t xml:space="preserve">The Court was </w:t>
      </w:r>
      <w:r w:rsidR="00C60F9E">
        <w:rPr>
          <w:rFonts w:ascii="Times New Roman" w:hAnsi="Times New Roman" w:cs="Times New Roman"/>
          <w:sz w:val="28"/>
          <w:szCs w:val="28"/>
        </w:rPr>
        <w:t>expanding</w:t>
      </w:r>
      <w:r w:rsidR="006A75EC">
        <w:rPr>
          <w:rFonts w:ascii="Times New Roman" w:hAnsi="Times New Roman" w:cs="Times New Roman"/>
          <w:sz w:val="28"/>
          <w:szCs w:val="28"/>
        </w:rPr>
        <w:t xml:space="preserve"> </w:t>
      </w:r>
      <w:r w:rsidR="00C60F9E" w:rsidRPr="00636AA7">
        <w:rPr>
          <w:rFonts w:ascii="Times New Roman" w:hAnsi="Times New Roman" w:cs="Times New Roman"/>
          <w:sz w:val="28"/>
          <w:szCs w:val="28"/>
        </w:rPr>
        <w:t xml:space="preserve">the RCPA for the Plaintiff argument that the law firm was regulated person under the RCPA.  </w:t>
      </w:r>
      <w:r w:rsidR="00D02D69">
        <w:rPr>
          <w:rFonts w:ascii="Times New Roman" w:eastAsia="Calibri" w:hAnsi="Times New Roman" w:cs="Times New Roman"/>
          <w:color w:val="171717"/>
          <w:sz w:val="28"/>
          <w:szCs w:val="28"/>
        </w:rPr>
        <w:t xml:space="preserve"> </w:t>
      </w:r>
      <w:r w:rsidR="007D4146">
        <w:rPr>
          <w:rFonts w:ascii="Times New Roman" w:eastAsia="Calibri" w:hAnsi="Times New Roman" w:cs="Times New Roman"/>
          <w:color w:val="171717"/>
          <w:sz w:val="28"/>
          <w:szCs w:val="28"/>
        </w:rPr>
        <w:t xml:space="preserve">Judge Rosen </w:t>
      </w:r>
      <w:r w:rsidR="00636AA7">
        <w:rPr>
          <w:rFonts w:ascii="Times New Roman" w:eastAsia="Calibri" w:hAnsi="Times New Roman" w:cs="Times New Roman"/>
          <w:color w:val="171717"/>
          <w:sz w:val="28"/>
          <w:szCs w:val="28"/>
        </w:rPr>
        <w:t>held</w:t>
      </w:r>
      <w:r w:rsidR="007D4146">
        <w:rPr>
          <w:rFonts w:ascii="Times New Roman" w:eastAsia="Calibri" w:hAnsi="Times New Roman" w:cs="Times New Roman"/>
          <w:color w:val="171717"/>
          <w:sz w:val="28"/>
          <w:szCs w:val="28"/>
        </w:rPr>
        <w:t xml:space="preserve"> that those excluded by the MOC, are included in the RCPA</w:t>
      </w:r>
      <w:r w:rsidR="00DA7B05">
        <w:rPr>
          <w:rFonts w:ascii="Times New Roman" w:eastAsia="Calibri" w:hAnsi="Times New Roman" w:cs="Times New Roman"/>
          <w:color w:val="171717"/>
          <w:sz w:val="28"/>
          <w:szCs w:val="28"/>
        </w:rPr>
        <w:t>,</w:t>
      </w:r>
      <w:r w:rsidR="007D4146">
        <w:rPr>
          <w:rFonts w:ascii="Times New Roman" w:eastAsia="Calibri" w:hAnsi="Times New Roman" w:cs="Times New Roman"/>
          <w:color w:val="171717"/>
          <w:sz w:val="28"/>
          <w:szCs w:val="28"/>
        </w:rPr>
        <w:t xml:space="preserve"> </w:t>
      </w:r>
      <w:r w:rsidR="00DA7B05" w:rsidRPr="00636AA7">
        <w:rPr>
          <w:rFonts w:ascii="Times New Roman" w:eastAsia="Calibri" w:hAnsi="Times New Roman" w:cs="Times New Roman"/>
          <w:color w:val="171717"/>
          <w:sz w:val="28"/>
          <w:szCs w:val="28"/>
        </w:rPr>
        <w:t>“…</w:t>
      </w:r>
      <w:r w:rsidR="00DA7B05" w:rsidRPr="00636AA7">
        <w:rPr>
          <w:rFonts w:ascii="Times New Roman" w:hAnsi="Times New Roman" w:cs="Times New Roman"/>
          <w:sz w:val="28"/>
          <w:szCs w:val="28"/>
        </w:rPr>
        <w:t xml:space="preserve">with Mich. Comp. Laws § 445.251(g) (defining “regulated person” to include the persons excluded under the Occupational Code — namely, those “whose collection activities are confined and are directly related to the operation of a business other than that of a collection agency”). </w:t>
      </w:r>
      <w:r w:rsidR="00C60F9E">
        <w:rPr>
          <w:rFonts w:ascii="Times New Roman" w:hAnsi="Times New Roman" w:cs="Times New Roman"/>
          <w:sz w:val="28"/>
          <w:szCs w:val="28"/>
        </w:rPr>
        <w:t>“</w:t>
      </w:r>
      <w:r w:rsidR="00DA7B05" w:rsidRPr="00636AA7">
        <w:rPr>
          <w:rFonts w:ascii="Times New Roman" w:hAnsi="Times New Roman" w:cs="Times New Roman"/>
          <w:sz w:val="28"/>
          <w:szCs w:val="28"/>
        </w:rPr>
        <w:t>Thus, the courts have recognized that a person or entity engaged in debt collection activities is either a “collection agency” under the Occupational Code or a “regulated person” under the MCPA, but not both.</w:t>
      </w:r>
      <w:r w:rsidR="00C60F9E">
        <w:rPr>
          <w:rFonts w:ascii="Times New Roman" w:hAnsi="Times New Roman" w:cs="Times New Roman"/>
          <w:sz w:val="28"/>
          <w:szCs w:val="28"/>
        </w:rPr>
        <w:t>”</w:t>
      </w:r>
      <w:r w:rsidR="00DA7B05" w:rsidRPr="00636AA7">
        <w:rPr>
          <w:rFonts w:ascii="Times New Roman" w:hAnsi="Times New Roman" w:cs="Times New Roman"/>
          <w:sz w:val="28"/>
          <w:szCs w:val="28"/>
        </w:rPr>
        <w:t xml:space="preserve">  </w:t>
      </w:r>
    </w:p>
    <w:p w14:paraId="37882BC5" w14:textId="548E6F38" w:rsidR="00B27107" w:rsidRPr="00B307FA" w:rsidRDefault="00CD3C7E" w:rsidP="002148EF">
      <w:pPr>
        <w:tabs>
          <w:tab w:val="left" w:pos="-1200"/>
          <w:tab w:val="left" w:pos="-810"/>
        </w:tabs>
        <w:spacing w:after="0" w:line="480" w:lineRule="auto"/>
        <w:ind w:firstLine="720"/>
        <w:rPr>
          <w:rFonts w:ascii="Times New Roman" w:eastAsia="PMingLiU" w:hAnsi="Times New Roman" w:cs="Times New Roman"/>
          <w:color w:val="000000"/>
          <w:sz w:val="28"/>
          <w:szCs w:val="28"/>
        </w:rPr>
      </w:pPr>
      <w:r>
        <w:rPr>
          <w:rFonts w:ascii="Times New Roman" w:eastAsia="Calibri" w:hAnsi="Times New Roman" w:cs="Times New Roman"/>
          <w:color w:val="171717"/>
          <w:sz w:val="28"/>
          <w:szCs w:val="28"/>
        </w:rPr>
        <w:t xml:space="preserve">The Plain reading of </w:t>
      </w:r>
      <w:r w:rsidR="005D0B57">
        <w:rPr>
          <w:rFonts w:ascii="Times New Roman" w:eastAsia="Calibri" w:hAnsi="Times New Roman" w:cs="Times New Roman"/>
          <w:color w:val="171717"/>
          <w:sz w:val="28"/>
          <w:szCs w:val="28"/>
        </w:rPr>
        <w:t>the</w:t>
      </w:r>
      <w:r w:rsidR="008F165C">
        <w:rPr>
          <w:rFonts w:ascii="Times New Roman" w:eastAsia="Calibri" w:hAnsi="Times New Roman" w:cs="Times New Roman"/>
          <w:color w:val="171717"/>
          <w:sz w:val="28"/>
          <w:szCs w:val="28"/>
        </w:rPr>
        <w:t xml:space="preserve"> MOC, is quite clear and RVO is not collecting for themselves</w:t>
      </w:r>
      <w:r w:rsidR="00171C19">
        <w:rPr>
          <w:rFonts w:ascii="Times New Roman" w:eastAsia="Calibri" w:hAnsi="Times New Roman" w:cs="Times New Roman"/>
          <w:color w:val="171717"/>
          <w:sz w:val="28"/>
          <w:szCs w:val="28"/>
        </w:rPr>
        <w:t xml:space="preserve"> or in their own name</w:t>
      </w:r>
      <w:r w:rsidR="00171C19" w:rsidRPr="00B307FA">
        <w:rPr>
          <w:rFonts w:ascii="Times New Roman" w:eastAsia="Calibri" w:hAnsi="Times New Roman" w:cs="Times New Roman"/>
          <w:color w:val="171717"/>
          <w:sz w:val="28"/>
          <w:szCs w:val="28"/>
        </w:rPr>
        <w:t>.</w:t>
      </w:r>
      <w:r w:rsidR="00B27107" w:rsidRPr="00B307FA">
        <w:rPr>
          <w:rFonts w:ascii="Times New Roman" w:eastAsia="Calibri" w:hAnsi="Times New Roman" w:cs="Times New Roman"/>
          <w:color w:val="171717"/>
          <w:sz w:val="28"/>
          <w:szCs w:val="28"/>
        </w:rPr>
        <w:t xml:space="preserve"> Further, even though they are not licensed with </w:t>
      </w:r>
      <w:r w:rsidR="00B27107" w:rsidRPr="00B307FA">
        <w:rPr>
          <w:rFonts w:ascii="Times New Roman" w:eastAsia="Calibri" w:hAnsi="Times New Roman" w:cs="Times New Roman"/>
          <w:color w:val="171717"/>
          <w:sz w:val="28"/>
          <w:szCs w:val="28"/>
        </w:rPr>
        <w:lastRenderedPageBreak/>
        <w:t xml:space="preserve">the State of Michigan, </w:t>
      </w:r>
      <w:r w:rsidR="00B27107" w:rsidRPr="00B307FA">
        <w:rPr>
          <w:rFonts w:ascii="Times New Roman" w:hAnsi="Times New Roman" w:cs="Times New Roman"/>
          <w:color w:val="222222"/>
          <w:sz w:val="28"/>
          <w:szCs w:val="28"/>
          <w:shd w:val="clear" w:color="auto" w:fill="FFFFFF"/>
        </w:rPr>
        <w:t xml:space="preserve">the MOC does require Defendant </w:t>
      </w:r>
      <w:r w:rsidR="008762D1" w:rsidRPr="00B307FA">
        <w:rPr>
          <w:rFonts w:ascii="Times New Roman" w:hAnsi="Times New Roman" w:cs="Times New Roman"/>
          <w:color w:val="222222"/>
          <w:sz w:val="28"/>
          <w:szCs w:val="28"/>
          <w:shd w:val="clear" w:color="auto" w:fill="FFFFFF"/>
        </w:rPr>
        <w:t>be s</w:t>
      </w:r>
      <w:r w:rsidR="00B27107" w:rsidRPr="00B307FA">
        <w:rPr>
          <w:rFonts w:ascii="Times New Roman" w:hAnsi="Times New Roman" w:cs="Times New Roman"/>
          <w:color w:val="222222"/>
          <w:sz w:val="28"/>
          <w:szCs w:val="28"/>
          <w:shd w:val="clear" w:color="auto" w:fill="FFFFFF"/>
        </w:rPr>
        <w:t>ubject to the “other requirements that regulate collection practices” under MCL 339.904(2)</w:t>
      </w:r>
      <w:r w:rsidR="008762D1" w:rsidRPr="00B307FA">
        <w:rPr>
          <w:rFonts w:ascii="Times New Roman" w:hAnsi="Times New Roman" w:cs="Times New Roman"/>
          <w:color w:val="222222"/>
          <w:sz w:val="28"/>
          <w:szCs w:val="28"/>
          <w:shd w:val="clear" w:color="auto" w:fill="FFFFFF"/>
        </w:rPr>
        <w:t xml:space="preserve"> was outlined in Plaintiffs complaint</w:t>
      </w:r>
      <w:r w:rsidR="00B27107" w:rsidRPr="00B307FA">
        <w:rPr>
          <w:rFonts w:ascii="Times New Roman" w:hAnsi="Times New Roman" w:cs="Times New Roman"/>
          <w:color w:val="222222"/>
          <w:sz w:val="28"/>
          <w:szCs w:val="28"/>
          <w:shd w:val="clear" w:color="auto" w:fill="FFFFFF"/>
        </w:rPr>
        <w:t>.</w:t>
      </w:r>
    </w:p>
    <w:p w14:paraId="28184188" w14:textId="0C7E864B" w:rsidR="00483C0A" w:rsidRDefault="005E2DA2" w:rsidP="002148EF">
      <w:pPr>
        <w:spacing w:after="0" w:line="480" w:lineRule="auto"/>
        <w:ind w:firstLine="720"/>
        <w:rPr>
          <w:rFonts w:ascii="Times New Roman" w:eastAsia="Calibri" w:hAnsi="Times New Roman" w:cs="Times New Roman"/>
          <w:color w:val="171717"/>
          <w:sz w:val="28"/>
          <w:szCs w:val="28"/>
        </w:rPr>
      </w:pPr>
      <w:r>
        <w:rPr>
          <w:rFonts w:ascii="Times New Roman" w:eastAsia="Calibri" w:hAnsi="Times New Roman" w:cs="Times New Roman"/>
          <w:color w:val="171717"/>
          <w:sz w:val="28"/>
          <w:szCs w:val="28"/>
        </w:rPr>
        <w:t xml:space="preserve">Recently, the Michigan </w:t>
      </w:r>
      <w:r w:rsidR="00FD2A9F">
        <w:rPr>
          <w:rFonts w:ascii="Times New Roman" w:eastAsia="Calibri" w:hAnsi="Times New Roman" w:cs="Times New Roman"/>
          <w:color w:val="171717"/>
          <w:sz w:val="28"/>
          <w:szCs w:val="28"/>
        </w:rPr>
        <w:t xml:space="preserve">legislature changed </w:t>
      </w:r>
      <w:r w:rsidR="007D5DA6">
        <w:rPr>
          <w:rFonts w:ascii="Times New Roman" w:eastAsia="Calibri" w:hAnsi="Times New Roman" w:cs="Times New Roman"/>
          <w:color w:val="171717"/>
          <w:sz w:val="28"/>
          <w:szCs w:val="28"/>
        </w:rPr>
        <w:t xml:space="preserve">that </w:t>
      </w:r>
      <w:r w:rsidR="00FD2A9F">
        <w:rPr>
          <w:rFonts w:ascii="Times New Roman" w:eastAsia="Calibri" w:hAnsi="Times New Roman" w:cs="Times New Roman"/>
          <w:color w:val="171717"/>
          <w:sz w:val="28"/>
          <w:szCs w:val="28"/>
        </w:rPr>
        <w:t xml:space="preserve">section MCL 339.915a </w:t>
      </w:r>
      <w:r w:rsidR="00FB64C7">
        <w:rPr>
          <w:rFonts w:ascii="Times New Roman" w:eastAsia="Calibri" w:hAnsi="Times New Roman" w:cs="Times New Roman"/>
          <w:color w:val="171717"/>
          <w:sz w:val="28"/>
          <w:szCs w:val="28"/>
        </w:rPr>
        <w:t xml:space="preserve">that RVO is accused of violating here. </w:t>
      </w:r>
      <w:r w:rsidR="00303A96">
        <w:rPr>
          <w:rFonts w:ascii="Times New Roman" w:eastAsia="Calibri" w:hAnsi="Times New Roman" w:cs="Times New Roman"/>
          <w:color w:val="171717"/>
          <w:sz w:val="28"/>
          <w:szCs w:val="28"/>
        </w:rPr>
        <w:t xml:space="preserve">Prior to the change (effective March 13, 2018), </w:t>
      </w:r>
      <w:r w:rsidR="005C68F4">
        <w:rPr>
          <w:rFonts w:ascii="Times New Roman" w:eastAsia="Calibri" w:hAnsi="Times New Roman" w:cs="Times New Roman"/>
          <w:color w:val="171717"/>
          <w:sz w:val="28"/>
          <w:szCs w:val="28"/>
        </w:rPr>
        <w:t xml:space="preserve">Michigan collection agencies </w:t>
      </w:r>
      <w:r w:rsidR="00FB3BEF">
        <w:rPr>
          <w:rFonts w:ascii="Times New Roman" w:eastAsia="Calibri" w:hAnsi="Times New Roman" w:cs="Times New Roman"/>
          <w:color w:val="171717"/>
          <w:sz w:val="28"/>
          <w:szCs w:val="28"/>
        </w:rPr>
        <w:t>were</w:t>
      </w:r>
      <w:r w:rsidR="005C68F4">
        <w:rPr>
          <w:rFonts w:ascii="Times New Roman" w:eastAsia="Calibri" w:hAnsi="Times New Roman" w:cs="Times New Roman"/>
          <w:color w:val="171717"/>
          <w:sz w:val="28"/>
          <w:szCs w:val="28"/>
        </w:rPr>
        <w:t xml:space="preserve"> </w:t>
      </w:r>
      <w:r w:rsidR="00FB3BEF">
        <w:rPr>
          <w:rFonts w:ascii="Times New Roman" w:eastAsia="Calibri" w:hAnsi="Times New Roman" w:cs="Times New Roman"/>
          <w:color w:val="171717"/>
          <w:sz w:val="28"/>
          <w:szCs w:val="28"/>
        </w:rPr>
        <w:t>prohibited from employing in house attorneys</w:t>
      </w:r>
      <w:r w:rsidR="007D5DA6">
        <w:rPr>
          <w:rFonts w:ascii="Times New Roman" w:eastAsia="Calibri" w:hAnsi="Times New Roman" w:cs="Times New Roman"/>
          <w:color w:val="171717"/>
          <w:sz w:val="28"/>
          <w:szCs w:val="28"/>
        </w:rPr>
        <w:t xml:space="preserve"> as RVO does, such as Defendant Richard Roosen</w:t>
      </w:r>
      <w:r w:rsidR="00FB3BEF">
        <w:rPr>
          <w:rFonts w:ascii="Times New Roman" w:eastAsia="Calibri" w:hAnsi="Times New Roman" w:cs="Times New Roman"/>
          <w:color w:val="171717"/>
          <w:sz w:val="28"/>
          <w:szCs w:val="28"/>
        </w:rPr>
        <w:t xml:space="preserve">. </w:t>
      </w:r>
    </w:p>
    <w:p w14:paraId="01AE9923" w14:textId="76D9BD02" w:rsidR="00483C0A" w:rsidRPr="00325AD9" w:rsidRDefault="00483C0A" w:rsidP="00483C0A">
      <w:pPr>
        <w:rPr>
          <w:rFonts w:ascii="Times New Roman" w:hAnsi="Times New Roman" w:cs="Times New Roman"/>
          <w:sz w:val="28"/>
          <w:szCs w:val="28"/>
        </w:rPr>
      </w:pPr>
      <w:r w:rsidRPr="00325AD9">
        <w:rPr>
          <w:rFonts w:ascii="Times New Roman" w:hAnsi="Times New Roman" w:cs="Times New Roman"/>
          <w:b/>
          <w:bCs/>
          <w:color w:val="000000"/>
          <w:sz w:val="28"/>
          <w:szCs w:val="28"/>
          <w:shd w:val="clear" w:color="auto" w:fill="FFFFFF"/>
        </w:rPr>
        <w:t xml:space="preserve">The amendments </w:t>
      </w:r>
      <w:r w:rsidR="00325AD9">
        <w:rPr>
          <w:rFonts w:ascii="Times New Roman" w:hAnsi="Times New Roman" w:cs="Times New Roman"/>
          <w:b/>
          <w:bCs/>
          <w:color w:val="000000"/>
          <w:sz w:val="28"/>
          <w:szCs w:val="28"/>
          <w:shd w:val="clear" w:color="auto" w:fill="FFFFFF"/>
        </w:rPr>
        <w:t>to</w:t>
      </w:r>
      <w:r w:rsidR="00EB4BE7" w:rsidRPr="00325AD9">
        <w:rPr>
          <w:rFonts w:ascii="Times New Roman" w:hAnsi="Times New Roman" w:cs="Times New Roman"/>
          <w:b/>
          <w:bCs/>
          <w:color w:val="000000"/>
          <w:sz w:val="28"/>
          <w:szCs w:val="28"/>
          <w:shd w:val="clear" w:color="auto" w:fill="FFFFFF"/>
        </w:rPr>
        <w:t xml:space="preserve"> the Statute </w:t>
      </w:r>
      <w:r w:rsidR="005D0B57" w:rsidRPr="00325AD9">
        <w:rPr>
          <w:rFonts w:ascii="Times New Roman" w:hAnsi="Times New Roman" w:cs="Times New Roman"/>
          <w:b/>
          <w:bCs/>
          <w:color w:val="000000"/>
          <w:sz w:val="28"/>
          <w:szCs w:val="28"/>
          <w:shd w:val="clear" w:color="auto" w:fill="FFFFFF"/>
        </w:rPr>
        <w:t>Plaintiffs</w:t>
      </w:r>
      <w:r w:rsidR="00EB4BE7" w:rsidRPr="00325AD9">
        <w:rPr>
          <w:rFonts w:ascii="Times New Roman" w:hAnsi="Times New Roman" w:cs="Times New Roman"/>
          <w:b/>
          <w:bCs/>
          <w:color w:val="000000"/>
          <w:sz w:val="28"/>
          <w:szCs w:val="28"/>
          <w:shd w:val="clear" w:color="auto" w:fill="FFFFFF"/>
        </w:rPr>
        <w:t xml:space="preserve"> allege RVO violated </w:t>
      </w:r>
      <w:r w:rsidRPr="00325AD9">
        <w:rPr>
          <w:rFonts w:ascii="Times New Roman" w:hAnsi="Times New Roman" w:cs="Times New Roman"/>
          <w:b/>
          <w:bCs/>
          <w:color w:val="000000"/>
          <w:sz w:val="28"/>
          <w:szCs w:val="28"/>
          <w:shd w:val="clear" w:color="auto" w:fill="FFFFFF"/>
        </w:rPr>
        <w:t>are in italics</w:t>
      </w:r>
      <w:r w:rsidR="002D374A" w:rsidRPr="00325AD9">
        <w:rPr>
          <w:rFonts w:ascii="Times New Roman" w:hAnsi="Times New Roman" w:cs="Times New Roman"/>
          <w:b/>
          <w:bCs/>
          <w:color w:val="000000"/>
          <w:sz w:val="28"/>
          <w:szCs w:val="28"/>
          <w:shd w:val="clear" w:color="auto" w:fill="FFFFFF"/>
        </w:rPr>
        <w:t>:</w:t>
      </w:r>
    </w:p>
    <w:p w14:paraId="22357A15" w14:textId="77777777" w:rsidR="00483C0A" w:rsidRDefault="00483C0A" w:rsidP="00483C0A">
      <w:pPr>
        <w:pStyle w:val="NormalWeb"/>
        <w:shd w:val="clear" w:color="auto" w:fill="FFFFFF"/>
        <w:rPr>
          <w:rFonts w:ascii="Verdana" w:hAnsi="Verdana"/>
          <w:color w:val="000000"/>
        </w:rPr>
      </w:pPr>
      <w:r>
        <w:rPr>
          <w:rFonts w:ascii="Verdana" w:hAnsi="Verdana"/>
          <w:color w:val="000000"/>
        </w:rPr>
        <w:t>Sec. 915a.</w:t>
      </w:r>
    </w:p>
    <w:p w14:paraId="78992B1B" w14:textId="77777777" w:rsidR="00483C0A" w:rsidRPr="008C3BBB" w:rsidRDefault="00483C0A" w:rsidP="00483C0A">
      <w:pPr>
        <w:pStyle w:val="NormalWeb"/>
        <w:shd w:val="clear" w:color="auto" w:fill="FFFFFF"/>
        <w:rPr>
          <w:color w:val="000000"/>
        </w:rPr>
      </w:pPr>
      <w:r w:rsidRPr="008C3BBB">
        <w:rPr>
          <w:color w:val="000000"/>
        </w:rPr>
        <w:t>(1) A licensee shall not commit any of the following acts:</w:t>
      </w:r>
    </w:p>
    <w:p w14:paraId="2717937C" w14:textId="77777777" w:rsidR="00483C0A" w:rsidRPr="008C3BBB" w:rsidRDefault="00483C0A" w:rsidP="00483C0A">
      <w:pPr>
        <w:pStyle w:val="NormalWeb"/>
        <w:shd w:val="clear" w:color="auto" w:fill="FFFFFF"/>
        <w:rPr>
          <w:color w:val="000000"/>
        </w:rPr>
      </w:pPr>
      <w:r w:rsidRPr="008C3BBB">
        <w:rPr>
          <w:color w:val="000000"/>
        </w:rPr>
        <w:t xml:space="preserve">(a) Listing the name of an attorney in a written or oral communication, collection letter, or publication </w:t>
      </w:r>
      <w:proofErr w:type="gramStart"/>
      <w:r w:rsidRPr="008C3BBB">
        <w:rPr>
          <w:color w:val="000000"/>
        </w:rPr>
        <w:t>in an attempt to</w:t>
      </w:r>
      <w:proofErr w:type="gramEnd"/>
      <w:r w:rsidRPr="008C3BBB">
        <w:rPr>
          <w:color w:val="000000"/>
        </w:rPr>
        <w:t xml:space="preserve"> collect a debt on behalf of a person other than the licensee or an affiliate of the licensee. </w:t>
      </w:r>
      <w:r w:rsidRPr="00325AD9">
        <w:rPr>
          <w:b/>
          <w:i/>
          <w:color w:val="000000"/>
        </w:rPr>
        <w:t>This subdivision does not apply if the attorney is an employee of the licensee and is engaged in collecting claims owned by the licensee or an affiliate of the licensee</w:t>
      </w:r>
      <w:r w:rsidRPr="008C3BBB">
        <w:rPr>
          <w:color w:val="000000"/>
        </w:rPr>
        <w:t>.</w:t>
      </w:r>
    </w:p>
    <w:p w14:paraId="4E81CC72" w14:textId="77777777" w:rsidR="00483C0A" w:rsidRPr="008C3BBB" w:rsidRDefault="00483C0A" w:rsidP="00483C0A">
      <w:pPr>
        <w:pStyle w:val="NormalWeb"/>
        <w:shd w:val="clear" w:color="auto" w:fill="FFFFFF"/>
        <w:rPr>
          <w:color w:val="000000"/>
        </w:rPr>
      </w:pPr>
      <w:r w:rsidRPr="008C3BBB">
        <w:rPr>
          <w:color w:val="000000"/>
        </w:rPr>
        <w:t xml:space="preserve">(b) Furnishing legal advice, or otherwise engaging in the practice of law, or representing that the person is competent to do so, or to institute a legal action on behalf of another person. </w:t>
      </w:r>
      <w:r w:rsidRPr="00325AD9">
        <w:rPr>
          <w:b/>
          <w:i/>
          <w:color w:val="000000"/>
        </w:rPr>
        <w:t>This subdivision does not apply to an attorney who is an employee of the licensee and is furnishing legal advice to or representing the interests of the licensee or an affiliate of the licensee</w:t>
      </w:r>
      <w:r w:rsidRPr="008C3BBB">
        <w:rPr>
          <w:color w:val="000000"/>
        </w:rPr>
        <w:t>. However, an attorney who is an employee of a licensee may not institute a legal action to collect a claim unless the claim is owned by the licensee or an affiliate of the licensee.</w:t>
      </w:r>
    </w:p>
    <w:p w14:paraId="648D076E" w14:textId="77777777" w:rsidR="00483C0A" w:rsidRPr="008C3BBB" w:rsidRDefault="00483C0A" w:rsidP="00483C0A">
      <w:pPr>
        <w:pStyle w:val="NormalWeb"/>
        <w:shd w:val="clear" w:color="auto" w:fill="FFFFFF"/>
        <w:rPr>
          <w:color w:val="000000"/>
        </w:rPr>
      </w:pPr>
      <w:r w:rsidRPr="008C3BBB">
        <w:rPr>
          <w:color w:val="000000"/>
        </w:rPr>
        <w:t xml:space="preserve">(c) Sharing quarters or office space with a lender or with a practicing attorney who is not an employee of the licensee. </w:t>
      </w:r>
      <w:r w:rsidRPr="00325AD9">
        <w:rPr>
          <w:b/>
          <w:i/>
          <w:color w:val="000000"/>
        </w:rPr>
        <w:t>This subdivision does not prohibit a licensee from occupying a separate space in the same building in which a practicing attorney has office space or sharing a common waiting area with a practicing attorney</w:t>
      </w:r>
      <w:r w:rsidRPr="008C3BBB">
        <w:rPr>
          <w:color w:val="000000"/>
        </w:rPr>
        <w:t>.</w:t>
      </w:r>
    </w:p>
    <w:p w14:paraId="1162F4E2" w14:textId="77777777" w:rsidR="00483C0A" w:rsidRPr="008C3BBB" w:rsidRDefault="00483C0A" w:rsidP="00483C0A">
      <w:pPr>
        <w:pStyle w:val="NormalWeb"/>
        <w:shd w:val="clear" w:color="auto" w:fill="FFFFFF"/>
        <w:rPr>
          <w:color w:val="000000"/>
        </w:rPr>
      </w:pPr>
      <w:r w:rsidRPr="008C3BBB">
        <w:rPr>
          <w:color w:val="000000"/>
        </w:rPr>
        <w:t xml:space="preserve">(d) </w:t>
      </w:r>
      <w:r w:rsidRPr="00325AD9">
        <w:rPr>
          <w:b/>
          <w:i/>
          <w:color w:val="000000"/>
        </w:rPr>
        <w:t>Employing or retaining an attorney to collect a claim, unless the claim is owned by the licensee or an affiliate of the licensee</w:t>
      </w:r>
      <w:r w:rsidRPr="008C3BBB">
        <w:rPr>
          <w:color w:val="000000"/>
        </w:rPr>
        <w:t xml:space="preserve">. However, a licensee may exercise authority on behalf of a creditor to retain an attorney if the creditor has specifically authorized the collection agency in writing to do so and the licensee's course of conduct is </w:t>
      </w:r>
      <w:proofErr w:type="gramStart"/>
      <w:r w:rsidRPr="008C3BBB">
        <w:rPr>
          <w:color w:val="000000"/>
        </w:rPr>
        <w:t>at all times</w:t>
      </w:r>
      <w:proofErr w:type="gramEnd"/>
      <w:r w:rsidRPr="008C3BBB">
        <w:rPr>
          <w:color w:val="000000"/>
        </w:rPr>
        <w:t xml:space="preserve"> consistent with a true relationship of attorney and client between the attorney and the creditor. After referral to an attorney, the creditor is the client of the attorney, and the licensee shall not represent the client in </w:t>
      </w:r>
      <w:r w:rsidRPr="008C3BBB">
        <w:rPr>
          <w:color w:val="000000"/>
        </w:rPr>
        <w:lastRenderedPageBreak/>
        <w:t>court. The licensee may act as an agent of the creditor in dealing with the attorney only if the creditor has specifically authorized the licensee to do so in writing.</w:t>
      </w:r>
    </w:p>
    <w:p w14:paraId="30C047E6" w14:textId="77777777" w:rsidR="00F94603" w:rsidRDefault="00164461" w:rsidP="00264D91">
      <w:pPr>
        <w:spacing w:after="0" w:line="480" w:lineRule="auto"/>
        <w:rPr>
          <w:rFonts w:ascii="Times New Roman" w:eastAsia="Calibri" w:hAnsi="Times New Roman" w:cs="Times New Roman"/>
          <w:sz w:val="28"/>
          <w:szCs w:val="28"/>
        </w:rPr>
      </w:pPr>
      <w:r>
        <w:rPr>
          <w:rFonts w:ascii="Times New Roman" w:eastAsia="Calibri" w:hAnsi="Times New Roman" w:cs="Times New Roman"/>
          <w:b/>
          <w:sz w:val="28"/>
          <w:szCs w:val="28"/>
        </w:rPr>
        <w:tab/>
      </w:r>
      <w:r>
        <w:rPr>
          <w:rFonts w:ascii="Times New Roman" w:eastAsia="Calibri" w:hAnsi="Times New Roman" w:cs="Times New Roman"/>
          <w:sz w:val="28"/>
          <w:szCs w:val="28"/>
        </w:rPr>
        <w:t xml:space="preserve">If the legislature felt Judge Rosen’s interpretation of “collection agencies” </w:t>
      </w:r>
      <w:r w:rsidR="00CA3D02">
        <w:rPr>
          <w:rFonts w:ascii="Times New Roman" w:eastAsia="Calibri" w:hAnsi="Times New Roman" w:cs="Times New Roman"/>
          <w:sz w:val="28"/>
          <w:szCs w:val="28"/>
        </w:rPr>
        <w:t xml:space="preserve">required they make a change to the </w:t>
      </w:r>
      <w:r w:rsidR="00365986">
        <w:rPr>
          <w:rFonts w:ascii="Times New Roman" w:eastAsia="Calibri" w:hAnsi="Times New Roman" w:cs="Times New Roman"/>
          <w:sz w:val="28"/>
          <w:szCs w:val="28"/>
        </w:rPr>
        <w:t xml:space="preserve">attorney </w:t>
      </w:r>
      <w:r w:rsidR="00CA3D02">
        <w:rPr>
          <w:rFonts w:ascii="Times New Roman" w:eastAsia="Calibri" w:hAnsi="Times New Roman" w:cs="Times New Roman"/>
          <w:sz w:val="28"/>
          <w:szCs w:val="28"/>
        </w:rPr>
        <w:t>exclusion language of the MOC, this would have been the time</w:t>
      </w:r>
      <w:r w:rsidR="00264D91">
        <w:rPr>
          <w:rFonts w:ascii="Times New Roman" w:eastAsia="Calibri" w:hAnsi="Times New Roman" w:cs="Times New Roman"/>
          <w:sz w:val="28"/>
          <w:szCs w:val="28"/>
        </w:rPr>
        <w:t xml:space="preserve"> for the new definition</w:t>
      </w:r>
      <w:r w:rsidR="00365986">
        <w:rPr>
          <w:rFonts w:ascii="Times New Roman" w:eastAsia="Calibri" w:hAnsi="Times New Roman" w:cs="Times New Roman"/>
          <w:sz w:val="28"/>
          <w:szCs w:val="28"/>
        </w:rPr>
        <w:t>.</w:t>
      </w:r>
      <w:r w:rsidR="00F00ADA" w:rsidRPr="00F00ADA">
        <w:t xml:space="preserve"> </w:t>
      </w:r>
      <w:r w:rsidR="00F00ADA" w:rsidRPr="00CB633E">
        <w:rPr>
          <w:rFonts w:ascii="Times New Roman" w:hAnsi="Times New Roman" w:cs="Times New Roman"/>
          <w:sz w:val="28"/>
          <w:szCs w:val="28"/>
        </w:rPr>
        <w:t xml:space="preserve">Even Judge Rosen in </w:t>
      </w:r>
      <w:r w:rsidR="00F00ADA" w:rsidRPr="00CB633E">
        <w:rPr>
          <w:rFonts w:ascii="Times New Roman" w:hAnsi="Times New Roman" w:cs="Times New Roman"/>
          <w:i/>
          <w:sz w:val="28"/>
          <w:szCs w:val="28"/>
        </w:rPr>
        <w:t>Misleh</w:t>
      </w:r>
      <w:r w:rsidR="002F3CE0" w:rsidRPr="00CB633E">
        <w:rPr>
          <w:rFonts w:ascii="Times New Roman" w:hAnsi="Times New Roman" w:cs="Times New Roman"/>
          <w:i/>
          <w:sz w:val="28"/>
          <w:szCs w:val="28"/>
        </w:rPr>
        <w:t xml:space="preserve"> at Page 15</w:t>
      </w:r>
      <w:r w:rsidR="00F00ADA" w:rsidRPr="00CB633E">
        <w:rPr>
          <w:rFonts w:ascii="Times New Roman" w:hAnsi="Times New Roman" w:cs="Times New Roman"/>
          <w:sz w:val="28"/>
          <w:szCs w:val="28"/>
        </w:rPr>
        <w:t xml:space="preserve"> wrote, “To be sure, this statutory intent would be </w:t>
      </w:r>
      <w:proofErr w:type="gramStart"/>
      <w:r w:rsidR="00F00ADA" w:rsidRPr="00CB633E">
        <w:rPr>
          <w:rFonts w:ascii="Times New Roman" w:hAnsi="Times New Roman" w:cs="Times New Roman"/>
          <w:sz w:val="28"/>
          <w:szCs w:val="28"/>
        </w:rPr>
        <w:t>more clear</w:t>
      </w:r>
      <w:proofErr w:type="gramEnd"/>
      <w:r w:rsidR="00F00ADA" w:rsidRPr="00CB633E">
        <w:rPr>
          <w:rFonts w:ascii="Times New Roman" w:hAnsi="Times New Roman" w:cs="Times New Roman"/>
          <w:sz w:val="28"/>
          <w:szCs w:val="28"/>
        </w:rPr>
        <w:t xml:space="preserve"> if the word “and” were replaced with “or” in the above-quoted clause, and the Court is reluctant to rewrite the statute based solely upon its belief as to what the Michigan Legislature likely intended.</w:t>
      </w:r>
      <w:r w:rsidR="002F3CE0" w:rsidRPr="00CB633E">
        <w:rPr>
          <w:rFonts w:ascii="Times New Roman" w:hAnsi="Times New Roman" w:cs="Times New Roman"/>
          <w:sz w:val="28"/>
          <w:szCs w:val="28"/>
        </w:rPr>
        <w:t>”</w:t>
      </w:r>
      <w:r w:rsidR="00F00ADA">
        <w:t xml:space="preserve"> </w:t>
      </w:r>
      <w:r w:rsidR="00365986">
        <w:rPr>
          <w:rFonts w:ascii="Times New Roman" w:eastAsia="Calibri" w:hAnsi="Times New Roman" w:cs="Times New Roman"/>
          <w:sz w:val="28"/>
          <w:szCs w:val="28"/>
        </w:rPr>
        <w:t xml:space="preserve"> </w:t>
      </w:r>
    </w:p>
    <w:p w14:paraId="1B7BE3DA" w14:textId="211573A7" w:rsidR="00BE60BD" w:rsidRPr="005E6221" w:rsidRDefault="00365986" w:rsidP="00F94603">
      <w:pPr>
        <w:spacing w:after="0" w:line="480" w:lineRule="auto"/>
        <w:ind w:firstLine="720"/>
        <w:rPr>
          <w:rFonts w:ascii="Times New Roman" w:eastAsia="Times New Roman" w:hAnsi="Times New Roman" w:cs="Times New Roman"/>
          <w:color w:val="212121"/>
          <w:sz w:val="28"/>
          <w:szCs w:val="28"/>
        </w:rPr>
      </w:pPr>
      <w:r>
        <w:rPr>
          <w:rFonts w:ascii="Times New Roman" w:eastAsia="Calibri" w:hAnsi="Times New Roman" w:cs="Times New Roman"/>
          <w:sz w:val="28"/>
          <w:szCs w:val="28"/>
        </w:rPr>
        <w:t>G</w:t>
      </w:r>
      <w:r w:rsidR="009A437B">
        <w:rPr>
          <w:rFonts w:ascii="Times New Roman" w:eastAsia="Calibri" w:hAnsi="Times New Roman" w:cs="Times New Roman"/>
          <w:sz w:val="28"/>
          <w:szCs w:val="28"/>
        </w:rPr>
        <w:t xml:space="preserve">iven </w:t>
      </w:r>
      <w:r w:rsidR="00F00ADA">
        <w:rPr>
          <w:rFonts w:ascii="Times New Roman" w:eastAsia="Calibri" w:hAnsi="Times New Roman" w:cs="Times New Roman"/>
          <w:sz w:val="28"/>
          <w:szCs w:val="28"/>
        </w:rPr>
        <w:t>Michigan Legislature’s r</w:t>
      </w:r>
      <w:r w:rsidR="009A437B">
        <w:rPr>
          <w:rFonts w:ascii="Times New Roman" w:eastAsia="Calibri" w:hAnsi="Times New Roman" w:cs="Times New Roman"/>
          <w:sz w:val="28"/>
          <w:szCs w:val="28"/>
        </w:rPr>
        <w:t>efusal to change the language</w:t>
      </w:r>
      <w:r w:rsidR="00F94603">
        <w:rPr>
          <w:rFonts w:ascii="Times New Roman" w:eastAsia="Calibri" w:hAnsi="Times New Roman" w:cs="Times New Roman"/>
          <w:sz w:val="28"/>
          <w:szCs w:val="28"/>
        </w:rPr>
        <w:t xml:space="preserve"> </w:t>
      </w:r>
      <w:r w:rsidR="00EB3896">
        <w:rPr>
          <w:rFonts w:ascii="Times New Roman" w:eastAsia="Calibri" w:hAnsi="Times New Roman" w:cs="Times New Roman"/>
          <w:sz w:val="28"/>
          <w:szCs w:val="28"/>
        </w:rPr>
        <w:t>in this amendment at the perfect time and opportunity,</w:t>
      </w:r>
      <w:r w:rsidR="009A437B">
        <w:rPr>
          <w:rFonts w:ascii="Times New Roman" w:eastAsia="Calibri" w:hAnsi="Times New Roman" w:cs="Times New Roman"/>
          <w:sz w:val="28"/>
          <w:szCs w:val="28"/>
        </w:rPr>
        <w:t xml:space="preserve"> </w:t>
      </w:r>
      <w:r w:rsidR="00D663A1">
        <w:rPr>
          <w:rFonts w:ascii="Times New Roman" w:eastAsia="Calibri" w:hAnsi="Times New Roman" w:cs="Times New Roman"/>
          <w:sz w:val="28"/>
          <w:szCs w:val="28"/>
        </w:rPr>
        <w:t>the</w:t>
      </w:r>
      <w:r w:rsidR="009A437B">
        <w:rPr>
          <w:rFonts w:ascii="Times New Roman" w:eastAsia="Calibri" w:hAnsi="Times New Roman" w:cs="Times New Roman"/>
          <w:sz w:val="28"/>
          <w:szCs w:val="28"/>
        </w:rPr>
        <w:t xml:space="preserve"> plain meaning of their </w:t>
      </w:r>
      <w:r w:rsidR="00EB3896">
        <w:rPr>
          <w:rFonts w:ascii="Times New Roman" w:eastAsia="Calibri" w:hAnsi="Times New Roman" w:cs="Times New Roman"/>
          <w:sz w:val="28"/>
          <w:szCs w:val="28"/>
        </w:rPr>
        <w:t xml:space="preserve">previous </w:t>
      </w:r>
      <w:r w:rsidR="009A437B">
        <w:rPr>
          <w:rFonts w:ascii="Times New Roman" w:eastAsia="Calibri" w:hAnsi="Times New Roman" w:cs="Times New Roman"/>
          <w:sz w:val="28"/>
          <w:szCs w:val="28"/>
        </w:rPr>
        <w:t>mandate should survive. Simply put</w:t>
      </w:r>
      <w:r w:rsidR="00DF444D">
        <w:rPr>
          <w:rFonts w:ascii="Times New Roman" w:eastAsia="Calibri" w:hAnsi="Times New Roman" w:cs="Times New Roman"/>
          <w:sz w:val="28"/>
          <w:szCs w:val="28"/>
        </w:rPr>
        <w:t xml:space="preserve"> and before or after March 13, 2018</w:t>
      </w:r>
      <w:r w:rsidR="009A437B">
        <w:rPr>
          <w:rFonts w:ascii="Times New Roman" w:eastAsia="Calibri" w:hAnsi="Times New Roman" w:cs="Times New Roman"/>
          <w:sz w:val="28"/>
          <w:szCs w:val="28"/>
        </w:rPr>
        <w:t>, RVO does not meet the two</w:t>
      </w:r>
      <w:r w:rsidR="00264D91">
        <w:rPr>
          <w:rFonts w:ascii="Times New Roman" w:eastAsia="Calibri" w:hAnsi="Times New Roman" w:cs="Times New Roman"/>
          <w:sz w:val="28"/>
          <w:szCs w:val="28"/>
        </w:rPr>
        <w:t>-</w:t>
      </w:r>
      <w:r w:rsidR="009A437B">
        <w:rPr>
          <w:rFonts w:ascii="Times New Roman" w:eastAsia="Calibri" w:hAnsi="Times New Roman" w:cs="Times New Roman"/>
          <w:sz w:val="28"/>
          <w:szCs w:val="28"/>
        </w:rPr>
        <w:t xml:space="preserve">prong requirement that they be both </w:t>
      </w:r>
      <w:r w:rsidR="00BE60BD" w:rsidRPr="005E6221">
        <w:rPr>
          <w:rFonts w:ascii="Times New Roman" w:eastAsia="Times New Roman" w:hAnsi="Times New Roman" w:cs="Times New Roman"/>
          <w:color w:val="212121"/>
          <w:sz w:val="28"/>
          <w:szCs w:val="28"/>
        </w:rPr>
        <w:t xml:space="preserve">handling claims and collections on behalf of clients </w:t>
      </w:r>
      <w:r w:rsidR="00264D91">
        <w:rPr>
          <w:rFonts w:ascii="Times New Roman" w:eastAsia="Times New Roman" w:hAnsi="Times New Roman" w:cs="Times New Roman"/>
          <w:color w:val="212121"/>
          <w:sz w:val="28"/>
          <w:szCs w:val="28"/>
        </w:rPr>
        <w:t>(</w:t>
      </w:r>
      <w:r w:rsidR="00DF444D">
        <w:rPr>
          <w:rFonts w:ascii="Times New Roman" w:eastAsia="Times New Roman" w:hAnsi="Times New Roman" w:cs="Times New Roman"/>
          <w:color w:val="212121"/>
          <w:sz w:val="28"/>
          <w:szCs w:val="28"/>
        </w:rPr>
        <w:t xml:space="preserve">Cavalry) </w:t>
      </w:r>
      <w:r w:rsidR="00BE60BD" w:rsidRPr="005E6221">
        <w:rPr>
          <w:rFonts w:ascii="Times New Roman" w:eastAsia="Times New Roman" w:hAnsi="Times New Roman" w:cs="Times New Roman"/>
          <w:color w:val="212121"/>
          <w:sz w:val="28"/>
          <w:szCs w:val="28"/>
        </w:rPr>
        <w:t>and in the attorney's own name</w:t>
      </w:r>
      <w:r w:rsidR="00DF444D">
        <w:rPr>
          <w:rFonts w:ascii="Times New Roman" w:eastAsia="Times New Roman" w:hAnsi="Times New Roman" w:cs="Times New Roman"/>
          <w:color w:val="212121"/>
          <w:sz w:val="28"/>
          <w:szCs w:val="28"/>
        </w:rPr>
        <w:t xml:space="preserve"> (RVO)</w:t>
      </w:r>
      <w:r w:rsidR="00EB3896">
        <w:rPr>
          <w:rFonts w:ascii="Times New Roman" w:eastAsia="Times New Roman" w:hAnsi="Times New Roman" w:cs="Times New Roman"/>
          <w:color w:val="212121"/>
          <w:sz w:val="28"/>
          <w:szCs w:val="28"/>
        </w:rPr>
        <w:t xml:space="preserve"> to be excluded un</w:t>
      </w:r>
      <w:r w:rsidR="000A6D70">
        <w:rPr>
          <w:rFonts w:ascii="Times New Roman" w:eastAsia="Times New Roman" w:hAnsi="Times New Roman" w:cs="Times New Roman"/>
          <w:color w:val="212121"/>
          <w:sz w:val="28"/>
          <w:szCs w:val="28"/>
        </w:rPr>
        <w:t>der section (xi).</w:t>
      </w:r>
      <w:r w:rsidR="001C7C62">
        <w:rPr>
          <w:rFonts w:ascii="Times New Roman" w:eastAsia="Times New Roman" w:hAnsi="Times New Roman" w:cs="Times New Roman"/>
          <w:color w:val="212121"/>
          <w:sz w:val="28"/>
          <w:szCs w:val="28"/>
        </w:rPr>
        <w:t xml:space="preserve"> </w:t>
      </w:r>
      <w:r w:rsidR="00912BE3" w:rsidRPr="003D2133">
        <w:rPr>
          <w:rFonts w:ascii="Times New Roman" w:eastAsia="Times New Roman" w:hAnsi="Times New Roman" w:cs="Times New Roman"/>
          <w:color w:val="212121"/>
          <w:sz w:val="28"/>
          <w:szCs w:val="28"/>
        </w:rPr>
        <w:t xml:space="preserve">Indeed, </w:t>
      </w:r>
      <w:r w:rsidR="004C3D38" w:rsidRPr="003D2133">
        <w:rPr>
          <w:rFonts w:ascii="Times New Roman" w:eastAsia="Times New Roman" w:hAnsi="Times New Roman" w:cs="Times New Roman"/>
          <w:color w:val="212121"/>
          <w:sz w:val="28"/>
          <w:szCs w:val="28"/>
        </w:rPr>
        <w:t>with the changes to the statute, (</w:t>
      </w:r>
      <w:r w:rsidR="004C3D38" w:rsidRPr="003D2133">
        <w:rPr>
          <w:rFonts w:ascii="Times New Roman" w:hAnsi="Times New Roman" w:cs="Times New Roman"/>
          <w:i/>
          <w:color w:val="000000"/>
          <w:sz w:val="28"/>
          <w:szCs w:val="28"/>
        </w:rPr>
        <w:t>This subdivision does not apply if the attorney is an employee of the licensee and is engaged in collecting claims owned by the licensee or an affiliate of the licensee</w:t>
      </w:r>
      <w:r w:rsidR="004C3D38" w:rsidRPr="003D2133">
        <w:rPr>
          <w:rFonts w:ascii="Times New Roman" w:hAnsi="Times New Roman" w:cs="Times New Roman"/>
          <w:color w:val="000000"/>
          <w:sz w:val="28"/>
          <w:szCs w:val="28"/>
        </w:rPr>
        <w:t>)</w:t>
      </w:r>
      <w:r w:rsidR="00AC1CE2" w:rsidRPr="003D2133">
        <w:rPr>
          <w:rFonts w:ascii="Times New Roman" w:hAnsi="Times New Roman" w:cs="Times New Roman"/>
          <w:color w:val="000000"/>
          <w:sz w:val="28"/>
          <w:szCs w:val="28"/>
        </w:rPr>
        <w:t xml:space="preserve">, RVO would be excluded as a collection agency </w:t>
      </w:r>
      <w:r w:rsidR="00521B3D" w:rsidRPr="003D2133">
        <w:rPr>
          <w:rFonts w:ascii="Times New Roman" w:hAnsi="Times New Roman" w:cs="Times New Roman"/>
          <w:color w:val="000000"/>
          <w:sz w:val="28"/>
          <w:szCs w:val="28"/>
        </w:rPr>
        <w:t xml:space="preserve">under section (xi) </w:t>
      </w:r>
      <w:r w:rsidR="004C3D38" w:rsidRPr="003D2133">
        <w:rPr>
          <w:rFonts w:ascii="Times New Roman" w:eastAsia="Times New Roman" w:hAnsi="Times New Roman" w:cs="Times New Roman"/>
          <w:color w:val="212121"/>
          <w:sz w:val="28"/>
          <w:szCs w:val="28"/>
        </w:rPr>
        <w:t>if the collection agency owns the debt or is an affiliate</w:t>
      </w:r>
      <w:r w:rsidR="007A04FA" w:rsidRPr="003D2133">
        <w:rPr>
          <w:rFonts w:ascii="Times New Roman" w:eastAsia="Times New Roman" w:hAnsi="Times New Roman" w:cs="Times New Roman"/>
          <w:color w:val="212121"/>
          <w:sz w:val="28"/>
          <w:szCs w:val="28"/>
        </w:rPr>
        <w:t xml:space="preserve"> </w:t>
      </w:r>
      <w:r w:rsidR="0047211D">
        <w:rPr>
          <w:rFonts w:ascii="Times New Roman" w:eastAsia="Times New Roman" w:hAnsi="Times New Roman" w:cs="Times New Roman"/>
          <w:color w:val="212121"/>
          <w:sz w:val="28"/>
          <w:szCs w:val="28"/>
        </w:rPr>
        <w:t xml:space="preserve">of </w:t>
      </w:r>
      <w:r w:rsidR="007A04FA" w:rsidRPr="003D2133">
        <w:rPr>
          <w:rFonts w:ascii="Times New Roman" w:eastAsia="Times New Roman" w:hAnsi="Times New Roman" w:cs="Times New Roman"/>
          <w:color w:val="212121"/>
          <w:sz w:val="28"/>
          <w:szCs w:val="28"/>
        </w:rPr>
        <w:t xml:space="preserve">a licensee that does. </w:t>
      </w:r>
      <w:r w:rsidR="003D2133">
        <w:rPr>
          <w:rFonts w:ascii="Times New Roman" w:eastAsia="Times New Roman" w:hAnsi="Times New Roman" w:cs="Times New Roman"/>
          <w:color w:val="212121"/>
          <w:sz w:val="28"/>
          <w:szCs w:val="28"/>
        </w:rPr>
        <w:t xml:space="preserve"> Here, it does not. </w:t>
      </w:r>
    </w:p>
    <w:p w14:paraId="79DD3043" w14:textId="77777777" w:rsidR="00E47B11" w:rsidRDefault="00E47B11" w:rsidP="00E47B11">
      <w:pPr>
        <w:spacing w:after="0" w:line="240" w:lineRule="auto"/>
        <w:rPr>
          <w:rFonts w:ascii="Times New Roman" w:eastAsia="Calibri" w:hAnsi="Times New Roman" w:cs="Times New Roman"/>
          <w:b/>
          <w:sz w:val="28"/>
          <w:szCs w:val="28"/>
        </w:rPr>
      </w:pPr>
    </w:p>
    <w:p w14:paraId="2975D3E7" w14:textId="284F0967" w:rsidR="00E47B11" w:rsidRDefault="00E47B11" w:rsidP="00E47B1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V. CONCLUSION</w:t>
      </w:r>
    </w:p>
    <w:p w14:paraId="502700E3" w14:textId="77777777" w:rsidR="00B103BF" w:rsidRPr="00E47B11" w:rsidRDefault="00B103BF" w:rsidP="00E47B11">
      <w:pPr>
        <w:spacing w:after="0" w:line="240" w:lineRule="auto"/>
        <w:jc w:val="center"/>
        <w:rPr>
          <w:rFonts w:ascii="Times New Roman" w:eastAsia="Calibri" w:hAnsi="Times New Roman" w:cs="Times New Roman"/>
          <w:b/>
          <w:sz w:val="28"/>
          <w:szCs w:val="28"/>
        </w:rPr>
      </w:pPr>
    </w:p>
    <w:p w14:paraId="52E060E5" w14:textId="32F262A2" w:rsidR="004F732E" w:rsidRDefault="004F732E" w:rsidP="004F732E">
      <w:pPr>
        <w:spacing w:after="0" w:line="480" w:lineRule="auto"/>
        <w:rPr>
          <w:rFonts w:ascii="Times New Roman" w:eastAsia="Calibri" w:hAnsi="Times New Roman" w:cs="Times New Roman"/>
          <w:color w:val="171717"/>
          <w:sz w:val="28"/>
          <w:szCs w:val="28"/>
        </w:rPr>
      </w:pPr>
      <w:r>
        <w:rPr>
          <w:rFonts w:ascii="Times New Roman" w:eastAsia="Calibri" w:hAnsi="Times New Roman" w:cs="Times New Roman"/>
          <w:color w:val="171717"/>
          <w:sz w:val="28"/>
          <w:szCs w:val="28"/>
        </w:rPr>
        <w:lastRenderedPageBreak/>
        <w:tab/>
      </w:r>
      <w:r w:rsidR="00D663A1" w:rsidRPr="004F732E">
        <w:rPr>
          <w:rFonts w:ascii="Times New Roman" w:eastAsia="Calibri" w:hAnsi="Times New Roman" w:cs="Times New Roman"/>
          <w:color w:val="171717"/>
          <w:sz w:val="28"/>
          <w:szCs w:val="28"/>
        </w:rPr>
        <w:t>Considering</w:t>
      </w:r>
      <w:r w:rsidRPr="004F732E">
        <w:rPr>
          <w:rFonts w:ascii="Times New Roman" w:eastAsia="Calibri" w:hAnsi="Times New Roman" w:cs="Times New Roman"/>
          <w:color w:val="171717"/>
          <w:sz w:val="28"/>
          <w:szCs w:val="28"/>
        </w:rPr>
        <w:t xml:space="preserve"> the above arguments set forth by Plaintiffs, this Court should deny Defendants’ Motion </w:t>
      </w:r>
      <w:r>
        <w:rPr>
          <w:rFonts w:ascii="Times New Roman" w:eastAsia="Calibri" w:hAnsi="Times New Roman" w:cs="Times New Roman"/>
          <w:color w:val="171717"/>
          <w:sz w:val="28"/>
          <w:szCs w:val="28"/>
        </w:rPr>
        <w:t>for Judgment on the Pleadings</w:t>
      </w:r>
      <w:r w:rsidRPr="004F732E">
        <w:rPr>
          <w:rFonts w:ascii="Times New Roman" w:eastAsia="Calibri" w:hAnsi="Times New Roman" w:cs="Times New Roman"/>
          <w:color w:val="171717"/>
          <w:sz w:val="28"/>
          <w:szCs w:val="28"/>
        </w:rPr>
        <w:t xml:space="preserve"> because there are sufficient factual allegations to support Plaintiffs’ claims against under the FDCPA, MRCPA, and</w:t>
      </w:r>
      <w:r>
        <w:rPr>
          <w:rFonts w:ascii="Times New Roman" w:eastAsia="Calibri" w:hAnsi="Times New Roman" w:cs="Times New Roman"/>
          <w:color w:val="171717"/>
          <w:sz w:val="28"/>
          <w:szCs w:val="28"/>
        </w:rPr>
        <w:t xml:space="preserve"> MOC.</w:t>
      </w:r>
    </w:p>
    <w:p w14:paraId="360AF2C2" w14:textId="77777777" w:rsidR="004F732E" w:rsidRPr="004F732E" w:rsidRDefault="004F732E" w:rsidP="004F732E">
      <w:pPr>
        <w:spacing w:after="0" w:line="480" w:lineRule="auto"/>
        <w:rPr>
          <w:rFonts w:ascii="Times New Roman" w:eastAsia="Calibri" w:hAnsi="Times New Roman" w:cs="Times New Roman"/>
          <w:color w:val="171717"/>
          <w:sz w:val="28"/>
          <w:szCs w:val="28"/>
        </w:rPr>
      </w:pPr>
    </w:p>
    <w:p w14:paraId="6BC14DFF" w14:textId="77777777" w:rsidR="009257EB" w:rsidRPr="001B5A2B" w:rsidRDefault="009257EB" w:rsidP="009257EB">
      <w:pPr>
        <w:spacing w:after="0" w:line="480" w:lineRule="auto"/>
        <w:rPr>
          <w:rFonts w:ascii="Times New Roman" w:eastAsia="Calibri" w:hAnsi="Times New Roman" w:cs="Times New Roman"/>
          <w:sz w:val="28"/>
          <w:szCs w:val="28"/>
        </w:rPr>
      </w:pPr>
    </w:p>
    <w:sectPr w:rsidR="009257EB" w:rsidRPr="001B5A2B" w:rsidSect="00B103BF">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0CD46" w14:textId="77777777" w:rsidR="00C646AD" w:rsidRDefault="00C646AD" w:rsidP="006233B0">
      <w:pPr>
        <w:spacing w:after="0" w:line="240" w:lineRule="auto"/>
      </w:pPr>
      <w:r>
        <w:separator/>
      </w:r>
    </w:p>
  </w:endnote>
  <w:endnote w:type="continuationSeparator" w:id="0">
    <w:p w14:paraId="09935980" w14:textId="77777777" w:rsidR="00C646AD" w:rsidRDefault="00C646AD" w:rsidP="0062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F1B05" w14:textId="77777777" w:rsidR="00C646AD" w:rsidRDefault="00C646AD" w:rsidP="006233B0">
      <w:pPr>
        <w:spacing w:after="0" w:line="240" w:lineRule="auto"/>
      </w:pPr>
      <w:r>
        <w:separator/>
      </w:r>
    </w:p>
  </w:footnote>
  <w:footnote w:type="continuationSeparator" w:id="0">
    <w:p w14:paraId="06B455A7" w14:textId="77777777" w:rsidR="00C646AD" w:rsidRDefault="00C646AD" w:rsidP="0062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17D"/>
    <w:multiLevelType w:val="hybridMultilevel"/>
    <w:tmpl w:val="26A01F28"/>
    <w:lvl w:ilvl="0" w:tplc="DA580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B7D21"/>
    <w:multiLevelType w:val="hybridMultilevel"/>
    <w:tmpl w:val="068EC544"/>
    <w:lvl w:ilvl="0" w:tplc="BC0C9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7405"/>
    <w:multiLevelType w:val="hybridMultilevel"/>
    <w:tmpl w:val="ECB46596"/>
    <w:lvl w:ilvl="0" w:tplc="A672097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93B8B"/>
    <w:multiLevelType w:val="hybridMultilevel"/>
    <w:tmpl w:val="2B0E2F12"/>
    <w:lvl w:ilvl="0" w:tplc="ED382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AF0311"/>
    <w:multiLevelType w:val="hybridMultilevel"/>
    <w:tmpl w:val="A1FA9E58"/>
    <w:lvl w:ilvl="0" w:tplc="CFDE00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A3E18"/>
    <w:multiLevelType w:val="hybridMultilevel"/>
    <w:tmpl w:val="58D0B1EC"/>
    <w:lvl w:ilvl="0" w:tplc="21669096">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92F3DC2"/>
    <w:multiLevelType w:val="hybridMultilevel"/>
    <w:tmpl w:val="2D82555E"/>
    <w:lvl w:ilvl="0" w:tplc="43883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C369DC"/>
    <w:multiLevelType w:val="hybridMultilevel"/>
    <w:tmpl w:val="2BB64C1E"/>
    <w:lvl w:ilvl="0" w:tplc="41DC1E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0E58A0"/>
    <w:multiLevelType w:val="hybridMultilevel"/>
    <w:tmpl w:val="BE42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260C7"/>
    <w:multiLevelType w:val="hybridMultilevel"/>
    <w:tmpl w:val="CA48E28A"/>
    <w:lvl w:ilvl="0" w:tplc="4CA6F6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1709C"/>
    <w:multiLevelType w:val="hybridMultilevel"/>
    <w:tmpl w:val="9EB2B924"/>
    <w:lvl w:ilvl="0" w:tplc="E99E0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DF1DD9"/>
    <w:multiLevelType w:val="hybridMultilevel"/>
    <w:tmpl w:val="A46C5FE4"/>
    <w:lvl w:ilvl="0" w:tplc="3BD6E4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225A6"/>
    <w:multiLevelType w:val="hybridMultilevel"/>
    <w:tmpl w:val="63D67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E285B"/>
    <w:multiLevelType w:val="hybridMultilevel"/>
    <w:tmpl w:val="C3DA3F9E"/>
    <w:lvl w:ilvl="0" w:tplc="FB601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3502C"/>
    <w:multiLevelType w:val="hybridMultilevel"/>
    <w:tmpl w:val="FB745936"/>
    <w:lvl w:ilvl="0" w:tplc="DC4E5E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042B9"/>
    <w:multiLevelType w:val="hybridMultilevel"/>
    <w:tmpl w:val="D50486AE"/>
    <w:lvl w:ilvl="0" w:tplc="098A46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AF4CC2"/>
    <w:multiLevelType w:val="hybridMultilevel"/>
    <w:tmpl w:val="8C3E962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B74F0"/>
    <w:multiLevelType w:val="hybridMultilevel"/>
    <w:tmpl w:val="9CA84F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F5942"/>
    <w:multiLevelType w:val="hybridMultilevel"/>
    <w:tmpl w:val="C496211A"/>
    <w:lvl w:ilvl="0" w:tplc="D7989A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321B8C"/>
    <w:multiLevelType w:val="hybridMultilevel"/>
    <w:tmpl w:val="8B966188"/>
    <w:lvl w:ilvl="0" w:tplc="32DCB1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3120A1"/>
    <w:multiLevelType w:val="hybridMultilevel"/>
    <w:tmpl w:val="E3F482FC"/>
    <w:lvl w:ilvl="0" w:tplc="8B28F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317A4E"/>
    <w:multiLevelType w:val="hybridMultilevel"/>
    <w:tmpl w:val="59EE554C"/>
    <w:lvl w:ilvl="0" w:tplc="8864D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13EF7"/>
    <w:multiLevelType w:val="hybridMultilevel"/>
    <w:tmpl w:val="C3620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9"/>
  </w:num>
  <w:num w:numId="4">
    <w:abstractNumId w:val="13"/>
  </w:num>
  <w:num w:numId="5">
    <w:abstractNumId w:val="5"/>
  </w:num>
  <w:num w:numId="6">
    <w:abstractNumId w:val="11"/>
  </w:num>
  <w:num w:numId="7">
    <w:abstractNumId w:val="22"/>
  </w:num>
  <w:num w:numId="8">
    <w:abstractNumId w:val="12"/>
  </w:num>
  <w:num w:numId="9">
    <w:abstractNumId w:val="18"/>
  </w:num>
  <w:num w:numId="10">
    <w:abstractNumId w:val="4"/>
  </w:num>
  <w:num w:numId="11">
    <w:abstractNumId w:val="7"/>
  </w:num>
  <w:num w:numId="12">
    <w:abstractNumId w:val="3"/>
  </w:num>
  <w:num w:numId="13">
    <w:abstractNumId w:val="0"/>
  </w:num>
  <w:num w:numId="14">
    <w:abstractNumId w:val="2"/>
  </w:num>
  <w:num w:numId="15">
    <w:abstractNumId w:val="17"/>
  </w:num>
  <w:num w:numId="16">
    <w:abstractNumId w:val="16"/>
  </w:num>
  <w:num w:numId="17">
    <w:abstractNumId w:val="10"/>
  </w:num>
  <w:num w:numId="18">
    <w:abstractNumId w:val="6"/>
  </w:num>
  <w:num w:numId="19">
    <w:abstractNumId w:val="15"/>
  </w:num>
  <w:num w:numId="20">
    <w:abstractNumId w:val="8"/>
  </w:num>
  <w:num w:numId="21">
    <w:abstractNumId w:val="20"/>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10"/>
    <w:rsid w:val="00001853"/>
    <w:rsid w:val="00005C4C"/>
    <w:rsid w:val="000109F7"/>
    <w:rsid w:val="00011CC9"/>
    <w:rsid w:val="000137DE"/>
    <w:rsid w:val="0001778E"/>
    <w:rsid w:val="00021CF1"/>
    <w:rsid w:val="00025033"/>
    <w:rsid w:val="0002791F"/>
    <w:rsid w:val="00050ADB"/>
    <w:rsid w:val="00051CED"/>
    <w:rsid w:val="00052812"/>
    <w:rsid w:val="00053714"/>
    <w:rsid w:val="00060FCD"/>
    <w:rsid w:val="0006270F"/>
    <w:rsid w:val="00072897"/>
    <w:rsid w:val="00076538"/>
    <w:rsid w:val="00090A51"/>
    <w:rsid w:val="00090FC8"/>
    <w:rsid w:val="00093089"/>
    <w:rsid w:val="000941E7"/>
    <w:rsid w:val="00097C52"/>
    <w:rsid w:val="000A1ED8"/>
    <w:rsid w:val="000A50CE"/>
    <w:rsid w:val="000A6538"/>
    <w:rsid w:val="000A6D70"/>
    <w:rsid w:val="000B4431"/>
    <w:rsid w:val="000B56CB"/>
    <w:rsid w:val="000C22BE"/>
    <w:rsid w:val="000C4EC0"/>
    <w:rsid w:val="000D18C8"/>
    <w:rsid w:val="000D4E5C"/>
    <w:rsid w:val="000E10EE"/>
    <w:rsid w:val="00110CA9"/>
    <w:rsid w:val="00114688"/>
    <w:rsid w:val="0012039C"/>
    <w:rsid w:val="00120E22"/>
    <w:rsid w:val="00123585"/>
    <w:rsid w:val="0012565E"/>
    <w:rsid w:val="001418FD"/>
    <w:rsid w:val="00153AB3"/>
    <w:rsid w:val="001576AD"/>
    <w:rsid w:val="00164461"/>
    <w:rsid w:val="0016516F"/>
    <w:rsid w:val="00165882"/>
    <w:rsid w:val="00171C19"/>
    <w:rsid w:val="00176E38"/>
    <w:rsid w:val="00184DD5"/>
    <w:rsid w:val="00187994"/>
    <w:rsid w:val="001905CF"/>
    <w:rsid w:val="0019272F"/>
    <w:rsid w:val="00194F60"/>
    <w:rsid w:val="0019564E"/>
    <w:rsid w:val="001A5502"/>
    <w:rsid w:val="001A6D4C"/>
    <w:rsid w:val="001A7AC0"/>
    <w:rsid w:val="001B457C"/>
    <w:rsid w:val="001B5A2B"/>
    <w:rsid w:val="001C1E81"/>
    <w:rsid w:val="001C4B0A"/>
    <w:rsid w:val="001C6E97"/>
    <w:rsid w:val="001C7C62"/>
    <w:rsid w:val="001D61D5"/>
    <w:rsid w:val="001E0795"/>
    <w:rsid w:val="001E781C"/>
    <w:rsid w:val="001F6BA1"/>
    <w:rsid w:val="00205577"/>
    <w:rsid w:val="002147B0"/>
    <w:rsid w:val="002148EF"/>
    <w:rsid w:val="00224552"/>
    <w:rsid w:val="00236F00"/>
    <w:rsid w:val="002420B6"/>
    <w:rsid w:val="0024233C"/>
    <w:rsid w:val="0024271A"/>
    <w:rsid w:val="00250C92"/>
    <w:rsid w:val="002546E6"/>
    <w:rsid w:val="0025622C"/>
    <w:rsid w:val="00263027"/>
    <w:rsid w:val="00264D91"/>
    <w:rsid w:val="002654DD"/>
    <w:rsid w:val="00276273"/>
    <w:rsid w:val="002821E7"/>
    <w:rsid w:val="00283F02"/>
    <w:rsid w:val="00284426"/>
    <w:rsid w:val="00291B65"/>
    <w:rsid w:val="002925FA"/>
    <w:rsid w:val="002A271E"/>
    <w:rsid w:val="002A273E"/>
    <w:rsid w:val="002A37F3"/>
    <w:rsid w:val="002A44A2"/>
    <w:rsid w:val="002B31B2"/>
    <w:rsid w:val="002C1A2E"/>
    <w:rsid w:val="002C3907"/>
    <w:rsid w:val="002C4045"/>
    <w:rsid w:val="002C6C5F"/>
    <w:rsid w:val="002C6DAC"/>
    <w:rsid w:val="002D29A3"/>
    <w:rsid w:val="002D374A"/>
    <w:rsid w:val="002D4083"/>
    <w:rsid w:val="002E52A9"/>
    <w:rsid w:val="002F2314"/>
    <w:rsid w:val="002F3CE0"/>
    <w:rsid w:val="003006EA"/>
    <w:rsid w:val="00303A96"/>
    <w:rsid w:val="0031124C"/>
    <w:rsid w:val="00313305"/>
    <w:rsid w:val="00321047"/>
    <w:rsid w:val="0032515B"/>
    <w:rsid w:val="00325AD9"/>
    <w:rsid w:val="00331945"/>
    <w:rsid w:val="00334702"/>
    <w:rsid w:val="00342F61"/>
    <w:rsid w:val="003547C6"/>
    <w:rsid w:val="00356E13"/>
    <w:rsid w:val="00357A54"/>
    <w:rsid w:val="00365259"/>
    <w:rsid w:val="00365986"/>
    <w:rsid w:val="003729AE"/>
    <w:rsid w:val="00372E7D"/>
    <w:rsid w:val="003906CA"/>
    <w:rsid w:val="0039135F"/>
    <w:rsid w:val="00393689"/>
    <w:rsid w:val="003B6AE0"/>
    <w:rsid w:val="003C094F"/>
    <w:rsid w:val="003C1F85"/>
    <w:rsid w:val="003D0B75"/>
    <w:rsid w:val="003D2133"/>
    <w:rsid w:val="003D2D8F"/>
    <w:rsid w:val="003D352C"/>
    <w:rsid w:val="003D5528"/>
    <w:rsid w:val="003E4760"/>
    <w:rsid w:val="003F25CE"/>
    <w:rsid w:val="003F3143"/>
    <w:rsid w:val="00400493"/>
    <w:rsid w:val="00405E10"/>
    <w:rsid w:val="004200B9"/>
    <w:rsid w:val="00420763"/>
    <w:rsid w:val="00423F1D"/>
    <w:rsid w:val="00423F9D"/>
    <w:rsid w:val="00425F81"/>
    <w:rsid w:val="00430415"/>
    <w:rsid w:val="0043251F"/>
    <w:rsid w:val="00444EF7"/>
    <w:rsid w:val="004549C0"/>
    <w:rsid w:val="00455987"/>
    <w:rsid w:val="00461C13"/>
    <w:rsid w:val="0046207B"/>
    <w:rsid w:val="00462EDF"/>
    <w:rsid w:val="00464D52"/>
    <w:rsid w:val="004705EA"/>
    <w:rsid w:val="00471990"/>
    <w:rsid w:val="0047211D"/>
    <w:rsid w:val="00474898"/>
    <w:rsid w:val="004772FA"/>
    <w:rsid w:val="00483C0A"/>
    <w:rsid w:val="004914BC"/>
    <w:rsid w:val="004953DD"/>
    <w:rsid w:val="004A085F"/>
    <w:rsid w:val="004A18F7"/>
    <w:rsid w:val="004A44C9"/>
    <w:rsid w:val="004A5D38"/>
    <w:rsid w:val="004A5DEF"/>
    <w:rsid w:val="004B0518"/>
    <w:rsid w:val="004B2B2E"/>
    <w:rsid w:val="004B3B70"/>
    <w:rsid w:val="004C3D38"/>
    <w:rsid w:val="004C74C9"/>
    <w:rsid w:val="004D00F2"/>
    <w:rsid w:val="004D090C"/>
    <w:rsid w:val="004D282F"/>
    <w:rsid w:val="004F27D3"/>
    <w:rsid w:val="004F2C96"/>
    <w:rsid w:val="004F5632"/>
    <w:rsid w:val="004F732E"/>
    <w:rsid w:val="005100E5"/>
    <w:rsid w:val="00516059"/>
    <w:rsid w:val="005178DC"/>
    <w:rsid w:val="00521B3D"/>
    <w:rsid w:val="00521FB3"/>
    <w:rsid w:val="00522511"/>
    <w:rsid w:val="00525D4A"/>
    <w:rsid w:val="00526D40"/>
    <w:rsid w:val="00526D99"/>
    <w:rsid w:val="0053357F"/>
    <w:rsid w:val="00536FFB"/>
    <w:rsid w:val="00543906"/>
    <w:rsid w:val="00544B4C"/>
    <w:rsid w:val="00547DCA"/>
    <w:rsid w:val="00551386"/>
    <w:rsid w:val="00555EF0"/>
    <w:rsid w:val="00570A3D"/>
    <w:rsid w:val="00590484"/>
    <w:rsid w:val="005A5CE9"/>
    <w:rsid w:val="005B0BEF"/>
    <w:rsid w:val="005B2A8B"/>
    <w:rsid w:val="005B6A58"/>
    <w:rsid w:val="005C118F"/>
    <w:rsid w:val="005C3EF1"/>
    <w:rsid w:val="005C68F4"/>
    <w:rsid w:val="005C7249"/>
    <w:rsid w:val="005D0B57"/>
    <w:rsid w:val="005D3669"/>
    <w:rsid w:val="005E2DA2"/>
    <w:rsid w:val="005E6221"/>
    <w:rsid w:val="005F0967"/>
    <w:rsid w:val="00603111"/>
    <w:rsid w:val="00612E61"/>
    <w:rsid w:val="0061451C"/>
    <w:rsid w:val="00616F89"/>
    <w:rsid w:val="006233B0"/>
    <w:rsid w:val="006262D2"/>
    <w:rsid w:val="00636AA7"/>
    <w:rsid w:val="00641A65"/>
    <w:rsid w:val="00642903"/>
    <w:rsid w:val="006479BB"/>
    <w:rsid w:val="00653161"/>
    <w:rsid w:val="0065365B"/>
    <w:rsid w:val="00660E53"/>
    <w:rsid w:val="00672453"/>
    <w:rsid w:val="00672BE2"/>
    <w:rsid w:val="00672DF1"/>
    <w:rsid w:val="00673F79"/>
    <w:rsid w:val="006770D5"/>
    <w:rsid w:val="00677434"/>
    <w:rsid w:val="006802E0"/>
    <w:rsid w:val="006876DD"/>
    <w:rsid w:val="00696234"/>
    <w:rsid w:val="006A00F8"/>
    <w:rsid w:val="006A0398"/>
    <w:rsid w:val="006A75EC"/>
    <w:rsid w:val="006B2C82"/>
    <w:rsid w:val="006C1FE9"/>
    <w:rsid w:val="006C23E8"/>
    <w:rsid w:val="006C70C1"/>
    <w:rsid w:val="006D32F9"/>
    <w:rsid w:val="006D52FA"/>
    <w:rsid w:val="006E3790"/>
    <w:rsid w:val="006F1BB9"/>
    <w:rsid w:val="006F4746"/>
    <w:rsid w:val="006F5D19"/>
    <w:rsid w:val="0070326B"/>
    <w:rsid w:val="007109CA"/>
    <w:rsid w:val="00720862"/>
    <w:rsid w:val="007228C7"/>
    <w:rsid w:val="00723A11"/>
    <w:rsid w:val="00732C71"/>
    <w:rsid w:val="00734068"/>
    <w:rsid w:val="007406D6"/>
    <w:rsid w:val="00741F78"/>
    <w:rsid w:val="007515BD"/>
    <w:rsid w:val="00753B7A"/>
    <w:rsid w:val="00761E77"/>
    <w:rsid w:val="0076201F"/>
    <w:rsid w:val="00771695"/>
    <w:rsid w:val="00773078"/>
    <w:rsid w:val="007770CD"/>
    <w:rsid w:val="00780988"/>
    <w:rsid w:val="007824CE"/>
    <w:rsid w:val="00787314"/>
    <w:rsid w:val="0079418A"/>
    <w:rsid w:val="007A04FA"/>
    <w:rsid w:val="007A4122"/>
    <w:rsid w:val="007A4AFB"/>
    <w:rsid w:val="007B0BB5"/>
    <w:rsid w:val="007C490F"/>
    <w:rsid w:val="007C677D"/>
    <w:rsid w:val="007C79F2"/>
    <w:rsid w:val="007D2340"/>
    <w:rsid w:val="007D4146"/>
    <w:rsid w:val="007D5DA6"/>
    <w:rsid w:val="007F08A3"/>
    <w:rsid w:val="007F2454"/>
    <w:rsid w:val="007F7164"/>
    <w:rsid w:val="0080315C"/>
    <w:rsid w:val="00825366"/>
    <w:rsid w:val="00832CA1"/>
    <w:rsid w:val="008339B4"/>
    <w:rsid w:val="008508C7"/>
    <w:rsid w:val="00852CC3"/>
    <w:rsid w:val="00854552"/>
    <w:rsid w:val="00856396"/>
    <w:rsid w:val="008706DB"/>
    <w:rsid w:val="008762D1"/>
    <w:rsid w:val="00876E27"/>
    <w:rsid w:val="008822B5"/>
    <w:rsid w:val="00886522"/>
    <w:rsid w:val="008876CD"/>
    <w:rsid w:val="008877A9"/>
    <w:rsid w:val="008B28C6"/>
    <w:rsid w:val="008B2E6A"/>
    <w:rsid w:val="008C0DC2"/>
    <w:rsid w:val="008C225A"/>
    <w:rsid w:val="008C3BBB"/>
    <w:rsid w:val="008C55A1"/>
    <w:rsid w:val="008C5BB8"/>
    <w:rsid w:val="008D0977"/>
    <w:rsid w:val="008D5DE6"/>
    <w:rsid w:val="008D7286"/>
    <w:rsid w:val="008D7332"/>
    <w:rsid w:val="008E0B56"/>
    <w:rsid w:val="008E3092"/>
    <w:rsid w:val="008E6BD9"/>
    <w:rsid w:val="008F165C"/>
    <w:rsid w:val="008F64F4"/>
    <w:rsid w:val="008F6C33"/>
    <w:rsid w:val="00907C3D"/>
    <w:rsid w:val="00912B98"/>
    <w:rsid w:val="00912BE3"/>
    <w:rsid w:val="0092231D"/>
    <w:rsid w:val="00924333"/>
    <w:rsid w:val="009257EB"/>
    <w:rsid w:val="009267BB"/>
    <w:rsid w:val="00927E95"/>
    <w:rsid w:val="0093525A"/>
    <w:rsid w:val="009503D1"/>
    <w:rsid w:val="009612BF"/>
    <w:rsid w:val="00963084"/>
    <w:rsid w:val="00976562"/>
    <w:rsid w:val="00976B86"/>
    <w:rsid w:val="00980285"/>
    <w:rsid w:val="00980CE7"/>
    <w:rsid w:val="00983B8F"/>
    <w:rsid w:val="00991B99"/>
    <w:rsid w:val="00994B6B"/>
    <w:rsid w:val="0099731B"/>
    <w:rsid w:val="009977AC"/>
    <w:rsid w:val="009A437B"/>
    <w:rsid w:val="009A738F"/>
    <w:rsid w:val="009B7E0A"/>
    <w:rsid w:val="009C159B"/>
    <w:rsid w:val="009C594A"/>
    <w:rsid w:val="009C69D5"/>
    <w:rsid w:val="009D48E1"/>
    <w:rsid w:val="009D6200"/>
    <w:rsid w:val="009D652A"/>
    <w:rsid w:val="009E36C4"/>
    <w:rsid w:val="009F3220"/>
    <w:rsid w:val="009F7216"/>
    <w:rsid w:val="00A018B8"/>
    <w:rsid w:val="00A10B53"/>
    <w:rsid w:val="00A110D4"/>
    <w:rsid w:val="00A31083"/>
    <w:rsid w:val="00A33469"/>
    <w:rsid w:val="00A336F9"/>
    <w:rsid w:val="00A44491"/>
    <w:rsid w:val="00A4566A"/>
    <w:rsid w:val="00A46E88"/>
    <w:rsid w:val="00A54F5E"/>
    <w:rsid w:val="00A6336D"/>
    <w:rsid w:val="00A63C71"/>
    <w:rsid w:val="00A7021D"/>
    <w:rsid w:val="00A71542"/>
    <w:rsid w:val="00A92220"/>
    <w:rsid w:val="00A95133"/>
    <w:rsid w:val="00A96A01"/>
    <w:rsid w:val="00A971AC"/>
    <w:rsid w:val="00A97C6E"/>
    <w:rsid w:val="00AA0085"/>
    <w:rsid w:val="00AA5352"/>
    <w:rsid w:val="00AB5BB7"/>
    <w:rsid w:val="00AB5F46"/>
    <w:rsid w:val="00AC1CE2"/>
    <w:rsid w:val="00AD18C4"/>
    <w:rsid w:val="00AD4327"/>
    <w:rsid w:val="00AD64E5"/>
    <w:rsid w:val="00AE227D"/>
    <w:rsid w:val="00AE7BEE"/>
    <w:rsid w:val="00AF48F0"/>
    <w:rsid w:val="00AF4E64"/>
    <w:rsid w:val="00AF5324"/>
    <w:rsid w:val="00AF7387"/>
    <w:rsid w:val="00B01C9E"/>
    <w:rsid w:val="00B01D83"/>
    <w:rsid w:val="00B01F7D"/>
    <w:rsid w:val="00B05C4E"/>
    <w:rsid w:val="00B103BF"/>
    <w:rsid w:val="00B13FE2"/>
    <w:rsid w:val="00B21051"/>
    <w:rsid w:val="00B24A1F"/>
    <w:rsid w:val="00B27107"/>
    <w:rsid w:val="00B307FA"/>
    <w:rsid w:val="00B40E43"/>
    <w:rsid w:val="00B56625"/>
    <w:rsid w:val="00B62CA9"/>
    <w:rsid w:val="00B64EAA"/>
    <w:rsid w:val="00B848BF"/>
    <w:rsid w:val="00B926A7"/>
    <w:rsid w:val="00B9439B"/>
    <w:rsid w:val="00BA17B5"/>
    <w:rsid w:val="00BA63F9"/>
    <w:rsid w:val="00BB6111"/>
    <w:rsid w:val="00BC3A21"/>
    <w:rsid w:val="00BD5D1F"/>
    <w:rsid w:val="00BE3340"/>
    <w:rsid w:val="00BE52D1"/>
    <w:rsid w:val="00BE60BD"/>
    <w:rsid w:val="00BF02E0"/>
    <w:rsid w:val="00BF6A61"/>
    <w:rsid w:val="00C02CE3"/>
    <w:rsid w:val="00C07421"/>
    <w:rsid w:val="00C117BA"/>
    <w:rsid w:val="00C14751"/>
    <w:rsid w:val="00C14C30"/>
    <w:rsid w:val="00C22453"/>
    <w:rsid w:val="00C2432E"/>
    <w:rsid w:val="00C24458"/>
    <w:rsid w:val="00C2461D"/>
    <w:rsid w:val="00C4077F"/>
    <w:rsid w:val="00C41301"/>
    <w:rsid w:val="00C41C52"/>
    <w:rsid w:val="00C45420"/>
    <w:rsid w:val="00C45C77"/>
    <w:rsid w:val="00C51275"/>
    <w:rsid w:val="00C51AE0"/>
    <w:rsid w:val="00C52A4D"/>
    <w:rsid w:val="00C5566A"/>
    <w:rsid w:val="00C60F9E"/>
    <w:rsid w:val="00C61990"/>
    <w:rsid w:val="00C61AB5"/>
    <w:rsid w:val="00C646AD"/>
    <w:rsid w:val="00C649D7"/>
    <w:rsid w:val="00C714C1"/>
    <w:rsid w:val="00C75F78"/>
    <w:rsid w:val="00C920E1"/>
    <w:rsid w:val="00C949EC"/>
    <w:rsid w:val="00C97321"/>
    <w:rsid w:val="00CA3D02"/>
    <w:rsid w:val="00CA4927"/>
    <w:rsid w:val="00CA4EC0"/>
    <w:rsid w:val="00CA52FE"/>
    <w:rsid w:val="00CB633E"/>
    <w:rsid w:val="00CD3C7E"/>
    <w:rsid w:val="00CD60DB"/>
    <w:rsid w:val="00CD7CEA"/>
    <w:rsid w:val="00CE2F3D"/>
    <w:rsid w:val="00CE40C7"/>
    <w:rsid w:val="00CE6FF2"/>
    <w:rsid w:val="00CF37AE"/>
    <w:rsid w:val="00D02D69"/>
    <w:rsid w:val="00D041F9"/>
    <w:rsid w:val="00D0515C"/>
    <w:rsid w:val="00D06CAC"/>
    <w:rsid w:val="00D135EB"/>
    <w:rsid w:val="00D235B3"/>
    <w:rsid w:val="00D30946"/>
    <w:rsid w:val="00D331EF"/>
    <w:rsid w:val="00D33CD1"/>
    <w:rsid w:val="00D4054E"/>
    <w:rsid w:val="00D41479"/>
    <w:rsid w:val="00D42717"/>
    <w:rsid w:val="00D44496"/>
    <w:rsid w:val="00D50600"/>
    <w:rsid w:val="00D527E0"/>
    <w:rsid w:val="00D663A1"/>
    <w:rsid w:val="00D74699"/>
    <w:rsid w:val="00D77711"/>
    <w:rsid w:val="00DA0FE7"/>
    <w:rsid w:val="00DA7B05"/>
    <w:rsid w:val="00DB101C"/>
    <w:rsid w:val="00DC151F"/>
    <w:rsid w:val="00DC3D5D"/>
    <w:rsid w:val="00DD3B23"/>
    <w:rsid w:val="00DD447B"/>
    <w:rsid w:val="00DD774B"/>
    <w:rsid w:val="00DE3D2E"/>
    <w:rsid w:val="00DF444D"/>
    <w:rsid w:val="00E04838"/>
    <w:rsid w:val="00E04C58"/>
    <w:rsid w:val="00E05B71"/>
    <w:rsid w:val="00E05C92"/>
    <w:rsid w:val="00E13054"/>
    <w:rsid w:val="00E1410A"/>
    <w:rsid w:val="00E142A6"/>
    <w:rsid w:val="00E20805"/>
    <w:rsid w:val="00E2146A"/>
    <w:rsid w:val="00E333F0"/>
    <w:rsid w:val="00E36861"/>
    <w:rsid w:val="00E370E3"/>
    <w:rsid w:val="00E40C91"/>
    <w:rsid w:val="00E47B11"/>
    <w:rsid w:val="00E618E3"/>
    <w:rsid w:val="00E62BEC"/>
    <w:rsid w:val="00E644BF"/>
    <w:rsid w:val="00E6475C"/>
    <w:rsid w:val="00E71827"/>
    <w:rsid w:val="00E74216"/>
    <w:rsid w:val="00E942AD"/>
    <w:rsid w:val="00E94C51"/>
    <w:rsid w:val="00E953DE"/>
    <w:rsid w:val="00EA0A0D"/>
    <w:rsid w:val="00EA4F40"/>
    <w:rsid w:val="00EB3896"/>
    <w:rsid w:val="00EB4BE7"/>
    <w:rsid w:val="00EB794C"/>
    <w:rsid w:val="00ED3D29"/>
    <w:rsid w:val="00ED6C6A"/>
    <w:rsid w:val="00EE1576"/>
    <w:rsid w:val="00EF312D"/>
    <w:rsid w:val="00EF66A6"/>
    <w:rsid w:val="00EF7A57"/>
    <w:rsid w:val="00F006BE"/>
    <w:rsid w:val="00F00ADA"/>
    <w:rsid w:val="00F020C7"/>
    <w:rsid w:val="00F034F6"/>
    <w:rsid w:val="00F06EEF"/>
    <w:rsid w:val="00F07CA5"/>
    <w:rsid w:val="00F1022B"/>
    <w:rsid w:val="00F247C8"/>
    <w:rsid w:val="00F2519A"/>
    <w:rsid w:val="00F27372"/>
    <w:rsid w:val="00F3630F"/>
    <w:rsid w:val="00F41733"/>
    <w:rsid w:val="00F417B5"/>
    <w:rsid w:val="00F56947"/>
    <w:rsid w:val="00F572DC"/>
    <w:rsid w:val="00F71536"/>
    <w:rsid w:val="00F75B3D"/>
    <w:rsid w:val="00F75BAB"/>
    <w:rsid w:val="00F8242E"/>
    <w:rsid w:val="00F847EF"/>
    <w:rsid w:val="00F85CC9"/>
    <w:rsid w:val="00F94603"/>
    <w:rsid w:val="00FA0628"/>
    <w:rsid w:val="00FA1B6F"/>
    <w:rsid w:val="00FA66EF"/>
    <w:rsid w:val="00FB362E"/>
    <w:rsid w:val="00FB3BEF"/>
    <w:rsid w:val="00FB6254"/>
    <w:rsid w:val="00FB64C7"/>
    <w:rsid w:val="00FB7427"/>
    <w:rsid w:val="00FC6BA9"/>
    <w:rsid w:val="00FC763C"/>
    <w:rsid w:val="00FD05DC"/>
    <w:rsid w:val="00FD1994"/>
    <w:rsid w:val="00FD2A9F"/>
    <w:rsid w:val="00FE0094"/>
    <w:rsid w:val="00FE32DA"/>
    <w:rsid w:val="00FE63C1"/>
    <w:rsid w:val="00FE63C6"/>
    <w:rsid w:val="00FF10AB"/>
    <w:rsid w:val="00FF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8D93"/>
  <w15:docId w15:val="{BE56CEF1-42FA-4323-9557-93B41CBD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7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E10"/>
    <w:pPr>
      <w:ind w:left="720"/>
      <w:contextualSpacing/>
    </w:pPr>
  </w:style>
  <w:style w:type="paragraph" w:styleId="Footer">
    <w:name w:val="footer"/>
    <w:basedOn w:val="Normal"/>
    <w:link w:val="FooterChar"/>
    <w:uiPriority w:val="99"/>
    <w:unhideWhenUsed/>
    <w:rsid w:val="006233B0"/>
    <w:pPr>
      <w:tabs>
        <w:tab w:val="center" w:pos="4680"/>
        <w:tab w:val="right" w:pos="9360"/>
      </w:tabs>
    </w:pPr>
  </w:style>
  <w:style w:type="character" w:customStyle="1" w:styleId="FooterChar">
    <w:name w:val="Footer Char"/>
    <w:basedOn w:val="DefaultParagraphFont"/>
    <w:link w:val="Footer"/>
    <w:uiPriority w:val="99"/>
    <w:rsid w:val="006233B0"/>
  </w:style>
  <w:style w:type="character" w:styleId="PageNumber">
    <w:name w:val="page number"/>
    <w:basedOn w:val="DefaultParagraphFont"/>
    <w:uiPriority w:val="99"/>
    <w:semiHidden/>
    <w:unhideWhenUsed/>
    <w:rsid w:val="006233B0"/>
  </w:style>
  <w:style w:type="paragraph" w:styleId="Header">
    <w:name w:val="header"/>
    <w:basedOn w:val="Normal"/>
    <w:link w:val="HeaderChar"/>
    <w:uiPriority w:val="99"/>
    <w:unhideWhenUsed/>
    <w:rsid w:val="006233B0"/>
    <w:pPr>
      <w:tabs>
        <w:tab w:val="center" w:pos="4680"/>
        <w:tab w:val="right" w:pos="9360"/>
      </w:tabs>
    </w:pPr>
  </w:style>
  <w:style w:type="character" w:customStyle="1" w:styleId="HeaderChar">
    <w:name w:val="Header Char"/>
    <w:basedOn w:val="DefaultParagraphFont"/>
    <w:link w:val="Header"/>
    <w:uiPriority w:val="99"/>
    <w:rsid w:val="006233B0"/>
  </w:style>
  <w:style w:type="character" w:customStyle="1" w:styleId="cosearchterm">
    <w:name w:val="co_searchterm"/>
    <w:basedOn w:val="DefaultParagraphFont"/>
    <w:rsid w:val="0001778E"/>
  </w:style>
  <w:style w:type="character" w:styleId="Emphasis">
    <w:name w:val="Emphasis"/>
    <w:basedOn w:val="DefaultParagraphFont"/>
    <w:uiPriority w:val="20"/>
    <w:qFormat/>
    <w:rsid w:val="0001778E"/>
    <w:rPr>
      <w:i/>
      <w:iCs/>
    </w:rPr>
  </w:style>
  <w:style w:type="character" w:customStyle="1" w:styleId="apple-converted-space">
    <w:name w:val="apple-converted-space"/>
    <w:basedOn w:val="DefaultParagraphFont"/>
    <w:rsid w:val="0001778E"/>
  </w:style>
  <w:style w:type="character" w:customStyle="1" w:styleId="costarpage">
    <w:name w:val="co_starpage"/>
    <w:basedOn w:val="DefaultParagraphFont"/>
    <w:rsid w:val="0001778E"/>
  </w:style>
  <w:style w:type="paragraph" w:styleId="BalloonText">
    <w:name w:val="Balloon Text"/>
    <w:basedOn w:val="Normal"/>
    <w:link w:val="BalloonTextChar"/>
    <w:uiPriority w:val="99"/>
    <w:semiHidden/>
    <w:unhideWhenUsed/>
    <w:rsid w:val="00017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78E"/>
    <w:rPr>
      <w:rFonts w:ascii="Tahoma" w:hAnsi="Tahoma" w:cs="Tahoma"/>
      <w:sz w:val="16"/>
      <w:szCs w:val="16"/>
    </w:rPr>
  </w:style>
  <w:style w:type="character" w:styleId="Hyperlink">
    <w:name w:val="Hyperlink"/>
    <w:basedOn w:val="DefaultParagraphFont"/>
    <w:uiPriority w:val="99"/>
    <w:semiHidden/>
    <w:unhideWhenUsed/>
    <w:rsid w:val="0001778E"/>
    <w:rPr>
      <w:color w:val="0000FF"/>
      <w:u w:val="single"/>
    </w:rPr>
  </w:style>
  <w:style w:type="paragraph" w:styleId="NormalWeb">
    <w:name w:val="Normal (Web)"/>
    <w:basedOn w:val="Normal"/>
    <w:uiPriority w:val="99"/>
    <w:unhideWhenUsed/>
    <w:rsid w:val="0001778E"/>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4953DD"/>
    <w:pPr>
      <w:spacing w:after="0" w:line="240" w:lineRule="auto"/>
    </w:pPr>
    <w:rPr>
      <w:sz w:val="24"/>
      <w:szCs w:val="24"/>
    </w:rPr>
  </w:style>
  <w:style w:type="character" w:customStyle="1" w:styleId="FootnoteTextChar">
    <w:name w:val="Footnote Text Char"/>
    <w:basedOn w:val="DefaultParagraphFont"/>
    <w:link w:val="FootnoteText"/>
    <w:uiPriority w:val="99"/>
    <w:rsid w:val="004953DD"/>
  </w:style>
  <w:style w:type="character" w:styleId="FootnoteReference">
    <w:name w:val="footnote reference"/>
    <w:basedOn w:val="DefaultParagraphFont"/>
    <w:uiPriority w:val="99"/>
    <w:unhideWhenUsed/>
    <w:rsid w:val="004953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18558">
      <w:bodyDiv w:val="1"/>
      <w:marLeft w:val="0"/>
      <w:marRight w:val="0"/>
      <w:marTop w:val="0"/>
      <w:marBottom w:val="0"/>
      <w:divBdr>
        <w:top w:val="none" w:sz="0" w:space="0" w:color="auto"/>
        <w:left w:val="none" w:sz="0" w:space="0" w:color="auto"/>
        <w:bottom w:val="none" w:sz="0" w:space="0" w:color="auto"/>
        <w:right w:val="none" w:sz="0" w:space="0" w:color="auto"/>
      </w:divBdr>
      <w:divsChild>
        <w:div w:id="937828662">
          <w:marLeft w:val="0"/>
          <w:marRight w:val="0"/>
          <w:marTop w:val="240"/>
          <w:marBottom w:val="0"/>
          <w:divBdr>
            <w:top w:val="none" w:sz="0" w:space="0" w:color="auto"/>
            <w:left w:val="none" w:sz="0" w:space="0" w:color="auto"/>
            <w:bottom w:val="none" w:sz="0" w:space="0" w:color="auto"/>
            <w:right w:val="none" w:sz="0" w:space="0" w:color="auto"/>
          </w:divBdr>
          <w:divsChild>
            <w:div w:id="13580577">
              <w:marLeft w:val="0"/>
              <w:marRight w:val="0"/>
              <w:marTop w:val="0"/>
              <w:marBottom w:val="0"/>
              <w:divBdr>
                <w:top w:val="none" w:sz="0" w:space="0" w:color="auto"/>
                <w:left w:val="none" w:sz="0" w:space="0" w:color="auto"/>
                <w:bottom w:val="none" w:sz="0" w:space="0" w:color="auto"/>
                <w:right w:val="none" w:sz="0" w:space="0" w:color="auto"/>
              </w:divBdr>
            </w:div>
          </w:divsChild>
        </w:div>
        <w:div w:id="1236167126">
          <w:marLeft w:val="0"/>
          <w:marRight w:val="0"/>
          <w:marTop w:val="240"/>
          <w:marBottom w:val="0"/>
          <w:divBdr>
            <w:top w:val="none" w:sz="0" w:space="0" w:color="auto"/>
            <w:left w:val="none" w:sz="0" w:space="0" w:color="auto"/>
            <w:bottom w:val="none" w:sz="0" w:space="0" w:color="auto"/>
            <w:right w:val="none" w:sz="0" w:space="0" w:color="auto"/>
          </w:divBdr>
          <w:divsChild>
            <w:div w:id="668101681">
              <w:marLeft w:val="0"/>
              <w:marRight w:val="0"/>
              <w:marTop w:val="0"/>
              <w:marBottom w:val="0"/>
              <w:divBdr>
                <w:top w:val="none" w:sz="0" w:space="0" w:color="auto"/>
                <w:left w:val="none" w:sz="0" w:space="0" w:color="auto"/>
                <w:bottom w:val="none" w:sz="0" w:space="0" w:color="auto"/>
                <w:right w:val="none" w:sz="0" w:space="0" w:color="auto"/>
              </w:divBdr>
            </w:div>
          </w:divsChild>
        </w:div>
        <w:div w:id="385837350">
          <w:marLeft w:val="0"/>
          <w:marRight w:val="0"/>
          <w:marTop w:val="240"/>
          <w:marBottom w:val="0"/>
          <w:divBdr>
            <w:top w:val="none" w:sz="0" w:space="0" w:color="auto"/>
            <w:left w:val="none" w:sz="0" w:space="0" w:color="auto"/>
            <w:bottom w:val="none" w:sz="0" w:space="0" w:color="auto"/>
            <w:right w:val="none" w:sz="0" w:space="0" w:color="auto"/>
          </w:divBdr>
          <w:divsChild>
            <w:div w:id="1627470282">
              <w:marLeft w:val="0"/>
              <w:marRight w:val="0"/>
              <w:marTop w:val="0"/>
              <w:marBottom w:val="0"/>
              <w:divBdr>
                <w:top w:val="none" w:sz="0" w:space="0" w:color="auto"/>
                <w:left w:val="none" w:sz="0" w:space="0" w:color="auto"/>
                <w:bottom w:val="none" w:sz="0" w:space="0" w:color="auto"/>
                <w:right w:val="none" w:sz="0" w:space="0" w:color="auto"/>
              </w:divBdr>
            </w:div>
          </w:divsChild>
        </w:div>
        <w:div w:id="1874228300">
          <w:marLeft w:val="0"/>
          <w:marRight w:val="0"/>
          <w:marTop w:val="240"/>
          <w:marBottom w:val="0"/>
          <w:divBdr>
            <w:top w:val="none" w:sz="0" w:space="0" w:color="auto"/>
            <w:left w:val="none" w:sz="0" w:space="0" w:color="auto"/>
            <w:bottom w:val="none" w:sz="0" w:space="0" w:color="auto"/>
            <w:right w:val="none" w:sz="0" w:space="0" w:color="auto"/>
          </w:divBdr>
        </w:div>
      </w:divsChild>
    </w:div>
    <w:div w:id="1032146259">
      <w:bodyDiv w:val="1"/>
      <w:marLeft w:val="0"/>
      <w:marRight w:val="0"/>
      <w:marTop w:val="0"/>
      <w:marBottom w:val="0"/>
      <w:divBdr>
        <w:top w:val="none" w:sz="0" w:space="0" w:color="auto"/>
        <w:left w:val="none" w:sz="0" w:space="0" w:color="auto"/>
        <w:bottom w:val="none" w:sz="0" w:space="0" w:color="auto"/>
        <w:right w:val="none" w:sz="0" w:space="0" w:color="auto"/>
      </w:divBdr>
    </w:div>
    <w:div w:id="1340960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agle.com/cite/356%20F.Supp.2d%207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gle.com/cite/321%20F.3d%202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gle.com/cite/344%20F.Supp.2d%2011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BFA6CE-5EA1-43AE-8325-BBB0C181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5188</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Du</dc:creator>
  <cp:lastModifiedBy>Brian Parker</cp:lastModifiedBy>
  <cp:revision>2</cp:revision>
  <cp:lastPrinted>2016-07-28T12:05:00Z</cp:lastPrinted>
  <dcterms:created xsi:type="dcterms:W3CDTF">2018-05-26T16:52:00Z</dcterms:created>
  <dcterms:modified xsi:type="dcterms:W3CDTF">2018-05-26T16:52:00Z</dcterms:modified>
</cp:coreProperties>
</file>