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194C0B" w14:textId="77777777" w:rsidR="00A90176" w:rsidRPr="00A90090" w:rsidRDefault="00A50360" w:rsidP="00A50360">
      <w:pPr>
        <w:jc w:val="center"/>
        <w:rPr>
          <w:rFonts w:cs="Arial"/>
          <w:b/>
          <w:sz w:val="32"/>
          <w:szCs w:val="24"/>
          <w:u w:val="single"/>
        </w:rPr>
      </w:pPr>
      <w:r w:rsidRPr="00A90090">
        <w:rPr>
          <w:rFonts w:cs="Arial"/>
          <w:b/>
          <w:sz w:val="32"/>
          <w:szCs w:val="24"/>
          <w:u w:val="single"/>
        </w:rPr>
        <w:t>Raisin Charter Township</w:t>
      </w:r>
    </w:p>
    <w:p w14:paraId="57870D86" w14:textId="39BFD159" w:rsidR="00A50360" w:rsidRDefault="00CD4B7A" w:rsidP="00A50360">
      <w:pPr>
        <w:jc w:val="center"/>
        <w:rPr>
          <w:rFonts w:cs="Arial"/>
          <w:b/>
          <w:sz w:val="28"/>
          <w:szCs w:val="28"/>
          <w:u w:val="single"/>
        </w:rPr>
      </w:pPr>
      <w:r w:rsidRPr="00A90090">
        <w:rPr>
          <w:rFonts w:cs="Arial"/>
          <w:b/>
          <w:sz w:val="28"/>
          <w:szCs w:val="28"/>
          <w:u w:val="single"/>
        </w:rPr>
        <w:t>20</w:t>
      </w:r>
      <w:r w:rsidR="00764F2F">
        <w:rPr>
          <w:rFonts w:cs="Arial"/>
          <w:b/>
          <w:sz w:val="28"/>
          <w:szCs w:val="28"/>
          <w:u w:val="single"/>
        </w:rPr>
        <w:t>2</w:t>
      </w:r>
      <w:r w:rsidR="00FB350E">
        <w:rPr>
          <w:rFonts w:cs="Arial"/>
          <w:b/>
          <w:sz w:val="28"/>
          <w:szCs w:val="28"/>
          <w:u w:val="single"/>
        </w:rPr>
        <w:t>1</w:t>
      </w:r>
      <w:r w:rsidRPr="00A90090">
        <w:rPr>
          <w:rFonts w:cs="Arial"/>
          <w:b/>
          <w:sz w:val="28"/>
          <w:szCs w:val="28"/>
          <w:u w:val="single"/>
        </w:rPr>
        <w:t xml:space="preserve"> </w:t>
      </w:r>
      <w:r w:rsidR="00A50360" w:rsidRPr="00A90090">
        <w:rPr>
          <w:rFonts w:cs="Arial"/>
          <w:b/>
          <w:sz w:val="28"/>
          <w:szCs w:val="28"/>
          <w:u w:val="single"/>
        </w:rPr>
        <w:t>GUIDELINES</w:t>
      </w:r>
      <w:r w:rsidR="00FB350E">
        <w:rPr>
          <w:rFonts w:cs="Arial"/>
          <w:b/>
          <w:sz w:val="28"/>
          <w:szCs w:val="28"/>
          <w:u w:val="single"/>
        </w:rPr>
        <w:t xml:space="preserve"> &amp; POLICY</w:t>
      </w:r>
      <w:r w:rsidR="00A50360" w:rsidRPr="00A90090">
        <w:rPr>
          <w:rFonts w:cs="Arial"/>
          <w:b/>
          <w:sz w:val="28"/>
          <w:szCs w:val="28"/>
          <w:u w:val="single"/>
        </w:rPr>
        <w:t xml:space="preserve"> FOR POVERTY EXEMPTION REVIEW </w:t>
      </w:r>
    </w:p>
    <w:p w14:paraId="0ECF038D" w14:textId="0B2F4912" w:rsidR="00D1612F" w:rsidRPr="00D1612F" w:rsidRDefault="00D1612F" w:rsidP="00A50360">
      <w:pPr>
        <w:jc w:val="center"/>
        <w:rPr>
          <w:rFonts w:cs="Arial"/>
          <w:bCs/>
          <w:sz w:val="28"/>
          <w:szCs w:val="28"/>
        </w:rPr>
      </w:pPr>
      <w:r>
        <w:rPr>
          <w:rFonts w:cs="Arial"/>
          <w:bCs/>
          <w:sz w:val="28"/>
          <w:szCs w:val="28"/>
        </w:rPr>
        <w:t>Attachment A</w:t>
      </w:r>
    </w:p>
    <w:p w14:paraId="731EAB1D" w14:textId="77777777" w:rsidR="00DA613B" w:rsidRPr="00A90090" w:rsidRDefault="00DA613B" w:rsidP="00A50360">
      <w:pPr>
        <w:rPr>
          <w:rFonts w:cs="Arial"/>
          <w:b/>
          <w:sz w:val="24"/>
          <w:szCs w:val="24"/>
        </w:rPr>
      </w:pPr>
    </w:p>
    <w:p w14:paraId="7A9764C7" w14:textId="77777777" w:rsidR="00A50360" w:rsidRPr="00A90090" w:rsidRDefault="00A50360" w:rsidP="00A50360">
      <w:pPr>
        <w:rPr>
          <w:rFonts w:cs="Arial"/>
          <w:b/>
          <w:sz w:val="24"/>
          <w:szCs w:val="24"/>
          <w:u w:val="single"/>
        </w:rPr>
      </w:pPr>
      <w:r w:rsidRPr="00A90090">
        <w:rPr>
          <w:rFonts w:cs="Arial"/>
          <w:b/>
          <w:sz w:val="24"/>
          <w:szCs w:val="24"/>
        </w:rPr>
        <w:t>A.</w:t>
      </w:r>
      <w:r w:rsidR="00FA6DB3" w:rsidRPr="00A90090">
        <w:rPr>
          <w:rFonts w:cs="Arial"/>
          <w:b/>
          <w:sz w:val="24"/>
          <w:szCs w:val="24"/>
        </w:rPr>
        <w:t xml:space="preserve"> </w:t>
      </w:r>
      <w:r w:rsidRPr="00A90090">
        <w:rPr>
          <w:rFonts w:cs="Arial"/>
          <w:b/>
          <w:sz w:val="24"/>
          <w:szCs w:val="24"/>
        </w:rPr>
        <w:t xml:space="preserve"> </w:t>
      </w:r>
      <w:r w:rsidRPr="00A90090">
        <w:rPr>
          <w:rFonts w:cs="Arial"/>
          <w:b/>
          <w:sz w:val="24"/>
          <w:szCs w:val="24"/>
          <w:u w:val="single"/>
        </w:rPr>
        <w:t>General Overview</w:t>
      </w:r>
    </w:p>
    <w:p w14:paraId="1D022034" w14:textId="77777777" w:rsidR="00C41977" w:rsidRPr="00A90090" w:rsidRDefault="00A50360" w:rsidP="00A50360">
      <w:pPr>
        <w:rPr>
          <w:rFonts w:cs="Arial"/>
          <w:sz w:val="24"/>
          <w:szCs w:val="24"/>
        </w:rPr>
      </w:pPr>
      <w:r w:rsidRPr="00A90090">
        <w:rPr>
          <w:rFonts w:cs="Arial"/>
          <w:sz w:val="24"/>
          <w:szCs w:val="24"/>
        </w:rPr>
        <w:t>The Board of Review of the Raisin Charter Township recognizes the need to have available a procedure</w:t>
      </w:r>
      <w:r w:rsidR="00FA6DB3" w:rsidRPr="00A90090">
        <w:rPr>
          <w:rFonts w:cs="Arial"/>
          <w:sz w:val="24"/>
          <w:szCs w:val="24"/>
        </w:rPr>
        <w:t xml:space="preserve"> by which residents in need of assistance under MCL 211.7u can make an application for property tax relief.  The Board</w:t>
      </w:r>
      <w:r w:rsidR="00C41977" w:rsidRPr="00A90090">
        <w:rPr>
          <w:rFonts w:cs="Arial"/>
          <w:sz w:val="24"/>
          <w:szCs w:val="24"/>
        </w:rPr>
        <w:t xml:space="preserve"> of Review</w:t>
      </w:r>
      <w:r w:rsidR="00FA6DB3" w:rsidRPr="00A90090">
        <w:rPr>
          <w:rFonts w:cs="Arial"/>
          <w:sz w:val="24"/>
          <w:szCs w:val="24"/>
        </w:rPr>
        <w:t xml:space="preserve"> further recognizes that, pursuant to statute, as well as case law, they must adopt procedures and guidelines, approved by Township Board, to be used as standards when considering appeals made based on financial hardship.  The Board of Review understands that these guidelines must be adhered to when reviewing hardship </w:t>
      </w:r>
      <w:proofErr w:type="gramStart"/>
      <w:r w:rsidR="00FA6DB3" w:rsidRPr="00A90090">
        <w:rPr>
          <w:rFonts w:cs="Arial"/>
          <w:sz w:val="24"/>
          <w:szCs w:val="24"/>
        </w:rPr>
        <w:t>appeals, and</w:t>
      </w:r>
      <w:proofErr w:type="gramEnd"/>
      <w:r w:rsidR="00FA6DB3" w:rsidRPr="00A90090">
        <w:rPr>
          <w:rFonts w:cs="Arial"/>
          <w:sz w:val="24"/>
          <w:szCs w:val="24"/>
        </w:rPr>
        <w:t xml:space="preserve"> reserves the right to make individual considerations within their authority, as they feel necessary.</w:t>
      </w:r>
      <w:r w:rsidR="00C41977" w:rsidRPr="00A90090">
        <w:rPr>
          <w:rFonts w:cs="Arial"/>
          <w:sz w:val="24"/>
          <w:szCs w:val="24"/>
        </w:rPr>
        <w:t xml:space="preserve">  </w:t>
      </w:r>
      <w:r w:rsidR="00FA6DB3" w:rsidRPr="00A90090">
        <w:rPr>
          <w:rFonts w:cs="Arial"/>
          <w:sz w:val="24"/>
          <w:szCs w:val="24"/>
        </w:rPr>
        <w:t xml:space="preserve">All information in the </w:t>
      </w:r>
      <w:r w:rsidR="009A32FD">
        <w:rPr>
          <w:rFonts w:cs="Arial"/>
          <w:sz w:val="24"/>
          <w:szCs w:val="24"/>
        </w:rPr>
        <w:t>application</w:t>
      </w:r>
      <w:r w:rsidR="00FA6DB3" w:rsidRPr="00A90090">
        <w:rPr>
          <w:rFonts w:cs="Arial"/>
          <w:sz w:val="24"/>
          <w:szCs w:val="24"/>
        </w:rPr>
        <w:t xml:space="preserve"> is subject to verification from the Board</w:t>
      </w:r>
      <w:r w:rsidR="00CF462B" w:rsidRPr="00A90090">
        <w:rPr>
          <w:rFonts w:cs="Arial"/>
          <w:sz w:val="24"/>
          <w:szCs w:val="24"/>
        </w:rPr>
        <w:t xml:space="preserve"> of Review</w:t>
      </w:r>
      <w:r w:rsidR="00FA6DB3" w:rsidRPr="00A90090">
        <w:rPr>
          <w:rFonts w:cs="Arial"/>
          <w:sz w:val="24"/>
          <w:szCs w:val="24"/>
        </w:rPr>
        <w:t xml:space="preserve"> or Assessors Office.</w:t>
      </w:r>
      <w:r w:rsidR="00C41977" w:rsidRPr="00A90090">
        <w:rPr>
          <w:rFonts w:cs="Arial"/>
          <w:sz w:val="24"/>
          <w:szCs w:val="24"/>
        </w:rPr>
        <w:t xml:space="preserve"> </w:t>
      </w:r>
    </w:p>
    <w:p w14:paraId="759A32BE" w14:textId="77777777" w:rsidR="00FA6DB3" w:rsidRDefault="00C41977" w:rsidP="00CC4560">
      <w:pPr>
        <w:spacing w:before="120"/>
        <w:rPr>
          <w:rFonts w:cs="Arial"/>
          <w:b/>
          <w:sz w:val="24"/>
          <w:szCs w:val="24"/>
        </w:rPr>
      </w:pPr>
      <w:r w:rsidRPr="00A90090">
        <w:rPr>
          <w:rFonts w:cs="Arial"/>
          <w:b/>
          <w:sz w:val="24"/>
          <w:szCs w:val="24"/>
        </w:rPr>
        <w:t xml:space="preserve">Any </w:t>
      </w:r>
      <w:r w:rsidR="009A32FD">
        <w:rPr>
          <w:rFonts w:cs="Arial"/>
          <w:b/>
          <w:sz w:val="24"/>
          <w:szCs w:val="24"/>
        </w:rPr>
        <w:t>application</w:t>
      </w:r>
      <w:r w:rsidRPr="00A90090">
        <w:rPr>
          <w:rFonts w:cs="Arial"/>
          <w:b/>
          <w:sz w:val="24"/>
          <w:szCs w:val="24"/>
        </w:rPr>
        <w:t xml:space="preserve"> submitted that is inaccurate or not fully completed will result in a denial of the appeal.</w:t>
      </w:r>
    </w:p>
    <w:p w14:paraId="3799AAA5" w14:textId="77777777" w:rsidR="00A90090" w:rsidRPr="00A90090" w:rsidRDefault="00A90090" w:rsidP="00CC4560">
      <w:pPr>
        <w:spacing w:before="120"/>
        <w:rPr>
          <w:rFonts w:cs="Arial"/>
          <w:b/>
          <w:sz w:val="24"/>
          <w:szCs w:val="24"/>
        </w:rPr>
      </w:pPr>
    </w:p>
    <w:p w14:paraId="1D344D17" w14:textId="77777777" w:rsidR="00FA6DB3" w:rsidRPr="00A90090" w:rsidRDefault="00FA6DB3" w:rsidP="00CC4560">
      <w:pPr>
        <w:spacing w:before="120"/>
        <w:rPr>
          <w:rFonts w:cs="Arial"/>
          <w:b/>
          <w:sz w:val="24"/>
          <w:szCs w:val="24"/>
        </w:rPr>
      </w:pPr>
      <w:r w:rsidRPr="00A90090">
        <w:rPr>
          <w:rFonts w:cs="Arial"/>
          <w:b/>
          <w:sz w:val="24"/>
          <w:szCs w:val="24"/>
        </w:rPr>
        <w:t xml:space="preserve">B.  </w:t>
      </w:r>
      <w:r w:rsidRPr="00A90090">
        <w:rPr>
          <w:rFonts w:cs="Arial"/>
          <w:b/>
          <w:sz w:val="24"/>
          <w:szCs w:val="24"/>
          <w:u w:val="single"/>
        </w:rPr>
        <w:t>Basic Filing Requirements</w:t>
      </w:r>
      <w:r w:rsidRPr="00A90090">
        <w:rPr>
          <w:rFonts w:cs="Arial"/>
          <w:b/>
          <w:sz w:val="24"/>
          <w:szCs w:val="24"/>
        </w:rPr>
        <w:t xml:space="preserve">  </w:t>
      </w:r>
    </w:p>
    <w:p w14:paraId="7A7E3A54" w14:textId="77777777" w:rsidR="00FA6DB3" w:rsidRPr="00A90090" w:rsidRDefault="001E5210" w:rsidP="00A50360">
      <w:pPr>
        <w:rPr>
          <w:rFonts w:cs="Arial"/>
          <w:sz w:val="24"/>
          <w:szCs w:val="24"/>
        </w:rPr>
      </w:pPr>
      <w:proofErr w:type="gramStart"/>
      <w:r w:rsidRPr="00A90090">
        <w:rPr>
          <w:rFonts w:cs="Arial"/>
          <w:sz w:val="24"/>
          <w:szCs w:val="24"/>
        </w:rPr>
        <w:t>In order to</w:t>
      </w:r>
      <w:proofErr w:type="gramEnd"/>
      <w:r w:rsidRPr="00A90090">
        <w:rPr>
          <w:rFonts w:cs="Arial"/>
          <w:sz w:val="24"/>
          <w:szCs w:val="24"/>
        </w:rPr>
        <w:t xml:space="preserve"> be considered for exemption under MCL 211.7u each applicant must:</w:t>
      </w:r>
    </w:p>
    <w:p w14:paraId="57909396" w14:textId="77777777" w:rsidR="004905D5" w:rsidRPr="00A90090" w:rsidRDefault="0059427A" w:rsidP="0059427A">
      <w:pPr>
        <w:rPr>
          <w:rFonts w:cs="Arial"/>
          <w:sz w:val="24"/>
          <w:szCs w:val="24"/>
        </w:rPr>
      </w:pPr>
      <w:r w:rsidRPr="00A90090">
        <w:rPr>
          <w:rFonts w:cs="Arial"/>
          <w:b/>
          <w:sz w:val="24"/>
          <w:szCs w:val="24"/>
        </w:rPr>
        <w:t>1.</w:t>
      </w:r>
      <w:r w:rsidRPr="00A90090">
        <w:rPr>
          <w:rFonts w:cs="Arial"/>
          <w:sz w:val="24"/>
          <w:szCs w:val="24"/>
        </w:rPr>
        <w:t xml:space="preserve">  </w:t>
      </w:r>
      <w:r w:rsidR="001E5210" w:rsidRPr="00A90090">
        <w:rPr>
          <w:rFonts w:cs="Arial"/>
          <w:sz w:val="24"/>
          <w:szCs w:val="24"/>
        </w:rPr>
        <w:t xml:space="preserve">Own and occupy the property as a </w:t>
      </w:r>
      <w:r w:rsidR="00BE35A1" w:rsidRPr="00A90090">
        <w:rPr>
          <w:rFonts w:cs="Arial"/>
          <w:sz w:val="24"/>
          <w:szCs w:val="24"/>
        </w:rPr>
        <w:t xml:space="preserve">homestead, defined by law, for which the request is being </w:t>
      </w:r>
      <w:r w:rsidRPr="00A90090">
        <w:rPr>
          <w:rFonts w:cs="Arial"/>
          <w:sz w:val="24"/>
          <w:szCs w:val="24"/>
        </w:rPr>
        <w:t xml:space="preserve">      </w:t>
      </w:r>
      <w:r w:rsidR="00BE35A1" w:rsidRPr="00A90090">
        <w:rPr>
          <w:rFonts w:cs="Arial"/>
          <w:sz w:val="24"/>
          <w:szCs w:val="24"/>
        </w:rPr>
        <w:t xml:space="preserve">made.  This may include vacant, contiguous property </w:t>
      </w:r>
      <w:proofErr w:type="gramStart"/>
      <w:r w:rsidR="00BE35A1" w:rsidRPr="00A90090">
        <w:rPr>
          <w:rFonts w:cs="Arial"/>
          <w:sz w:val="24"/>
          <w:szCs w:val="24"/>
        </w:rPr>
        <w:t>as long as</w:t>
      </w:r>
      <w:proofErr w:type="gramEnd"/>
      <w:r w:rsidR="00BE35A1" w:rsidRPr="00A90090">
        <w:rPr>
          <w:rFonts w:cs="Arial"/>
          <w:sz w:val="24"/>
          <w:szCs w:val="24"/>
        </w:rPr>
        <w:t xml:space="preserve"> it is considered part of the principal homestead.</w:t>
      </w:r>
    </w:p>
    <w:p w14:paraId="607AD10F" w14:textId="77777777" w:rsidR="0059427A" w:rsidRPr="00A90090" w:rsidRDefault="0059427A" w:rsidP="0059427A">
      <w:pPr>
        <w:rPr>
          <w:rFonts w:cs="Arial"/>
          <w:sz w:val="24"/>
          <w:szCs w:val="24"/>
        </w:rPr>
      </w:pPr>
      <w:r w:rsidRPr="00A90090">
        <w:rPr>
          <w:rFonts w:cs="Arial"/>
          <w:b/>
          <w:sz w:val="24"/>
          <w:szCs w:val="24"/>
        </w:rPr>
        <w:t>2.</w:t>
      </w:r>
      <w:r w:rsidRPr="00A90090">
        <w:rPr>
          <w:rFonts w:cs="Arial"/>
          <w:sz w:val="24"/>
          <w:szCs w:val="24"/>
        </w:rPr>
        <w:t xml:space="preserve">  </w:t>
      </w:r>
      <w:r w:rsidR="00BE35A1" w:rsidRPr="00A90090">
        <w:rPr>
          <w:rFonts w:cs="Arial"/>
          <w:sz w:val="24"/>
          <w:szCs w:val="24"/>
        </w:rPr>
        <w:t xml:space="preserve">Complete and </w:t>
      </w:r>
      <w:proofErr w:type="gramStart"/>
      <w:r w:rsidR="00BE35A1" w:rsidRPr="00A90090">
        <w:rPr>
          <w:rFonts w:cs="Arial"/>
          <w:sz w:val="24"/>
          <w:szCs w:val="24"/>
        </w:rPr>
        <w:t xml:space="preserve">submit an </w:t>
      </w:r>
      <w:r w:rsidR="00BE35A1" w:rsidRPr="009A32FD">
        <w:rPr>
          <w:rFonts w:cs="Arial"/>
          <w:b/>
          <w:sz w:val="24"/>
          <w:szCs w:val="24"/>
        </w:rPr>
        <w:t>Application</w:t>
      </w:r>
      <w:proofErr w:type="gramEnd"/>
      <w:r w:rsidR="00BE35A1" w:rsidRPr="009A32FD">
        <w:rPr>
          <w:rFonts w:cs="Arial"/>
          <w:b/>
          <w:sz w:val="24"/>
          <w:szCs w:val="24"/>
        </w:rPr>
        <w:t xml:space="preserve"> for Property Tax Relief</w:t>
      </w:r>
      <w:r w:rsidR="00BE35A1" w:rsidRPr="00A90090">
        <w:rPr>
          <w:rFonts w:cs="Arial"/>
          <w:sz w:val="24"/>
          <w:szCs w:val="24"/>
        </w:rPr>
        <w:t xml:space="preserve"> o</w:t>
      </w:r>
      <w:r w:rsidR="009A32FD">
        <w:rPr>
          <w:rFonts w:cs="Arial"/>
          <w:sz w:val="24"/>
          <w:szCs w:val="24"/>
        </w:rPr>
        <w:t xml:space="preserve">btained from </w:t>
      </w:r>
      <w:r w:rsidR="00BE35A1" w:rsidRPr="00A90090">
        <w:rPr>
          <w:rFonts w:cs="Arial"/>
          <w:sz w:val="24"/>
          <w:szCs w:val="24"/>
        </w:rPr>
        <w:t>the Raisin Charter Township Office.</w:t>
      </w:r>
    </w:p>
    <w:p w14:paraId="62B3180B" w14:textId="77777777" w:rsidR="00BE35A1" w:rsidRPr="00A90090" w:rsidRDefault="0059427A" w:rsidP="0059427A">
      <w:pPr>
        <w:tabs>
          <w:tab w:val="left" w:pos="0"/>
        </w:tabs>
        <w:rPr>
          <w:rFonts w:cs="Arial"/>
          <w:sz w:val="24"/>
          <w:szCs w:val="24"/>
        </w:rPr>
      </w:pPr>
      <w:r w:rsidRPr="00A90090">
        <w:rPr>
          <w:rFonts w:cs="Arial"/>
          <w:b/>
          <w:sz w:val="24"/>
          <w:szCs w:val="24"/>
        </w:rPr>
        <w:t>3.</w:t>
      </w:r>
      <w:r w:rsidRPr="00A90090">
        <w:rPr>
          <w:rFonts w:cs="Arial"/>
          <w:sz w:val="24"/>
          <w:szCs w:val="24"/>
        </w:rPr>
        <w:t xml:space="preserve">  S</w:t>
      </w:r>
      <w:r w:rsidR="00BE35A1" w:rsidRPr="00A90090">
        <w:rPr>
          <w:rFonts w:cs="Arial"/>
          <w:sz w:val="24"/>
          <w:szCs w:val="24"/>
        </w:rPr>
        <w:t xml:space="preserve">ubmit income verification as required.  This must include </w:t>
      </w:r>
      <w:r w:rsidR="00ED265E">
        <w:rPr>
          <w:rFonts w:cs="Arial"/>
          <w:sz w:val="24"/>
          <w:szCs w:val="24"/>
        </w:rPr>
        <w:t>a copy of</w:t>
      </w:r>
      <w:r w:rsidR="00BE35A1" w:rsidRPr="00A90090">
        <w:rPr>
          <w:rFonts w:cs="Arial"/>
          <w:sz w:val="24"/>
          <w:szCs w:val="24"/>
        </w:rPr>
        <w:t xml:space="preserve"> Federal and State Income Tax Returns, State Homestead Property Tax Credit Forms, or any additional information requested by the Board of Review.</w:t>
      </w:r>
    </w:p>
    <w:p w14:paraId="0BAE57E8" w14:textId="77777777" w:rsidR="00DA5B97" w:rsidRDefault="00DA5B97" w:rsidP="0059427A">
      <w:pPr>
        <w:tabs>
          <w:tab w:val="left" w:pos="0"/>
        </w:tabs>
        <w:rPr>
          <w:rFonts w:cs="Arial"/>
          <w:sz w:val="24"/>
          <w:szCs w:val="24"/>
        </w:rPr>
      </w:pPr>
      <w:r w:rsidRPr="00A90090">
        <w:rPr>
          <w:rFonts w:cs="Arial"/>
          <w:b/>
          <w:sz w:val="24"/>
          <w:szCs w:val="24"/>
        </w:rPr>
        <w:t>NOTE</w:t>
      </w:r>
      <w:r w:rsidRPr="00A90090">
        <w:rPr>
          <w:rFonts w:cs="Arial"/>
          <w:sz w:val="24"/>
          <w:szCs w:val="24"/>
        </w:rPr>
        <w:t xml:space="preserve">:  </w:t>
      </w:r>
      <w:r w:rsidR="00EB1FDB" w:rsidRPr="00A90090">
        <w:rPr>
          <w:rFonts w:cs="Arial"/>
          <w:sz w:val="24"/>
          <w:szCs w:val="24"/>
        </w:rPr>
        <w:t>P.A. 135 of 2012 changed the requirements for filing documentation in support of a poverty exemption to allow an affidavit (Treasury Form 4988) to be filed for all persons residing in the residence who were not required to file federal or state income tax returns in the current year or in the immediately preceding year.  This does include the owner of the property who is filing for the exemption.</w:t>
      </w:r>
    </w:p>
    <w:p w14:paraId="3A6F2710" w14:textId="77777777" w:rsidR="00A90090" w:rsidRPr="00A90090" w:rsidRDefault="00A90090" w:rsidP="0059427A">
      <w:pPr>
        <w:tabs>
          <w:tab w:val="left" w:pos="0"/>
        </w:tabs>
        <w:rPr>
          <w:rFonts w:cs="Arial"/>
          <w:sz w:val="24"/>
          <w:szCs w:val="24"/>
        </w:rPr>
      </w:pPr>
    </w:p>
    <w:p w14:paraId="553A6B1A" w14:textId="77777777" w:rsidR="008C609A" w:rsidRPr="00A90090" w:rsidRDefault="008C609A" w:rsidP="0059427A">
      <w:pPr>
        <w:tabs>
          <w:tab w:val="left" w:pos="0"/>
        </w:tabs>
        <w:rPr>
          <w:rFonts w:cs="Arial"/>
          <w:b/>
          <w:sz w:val="24"/>
          <w:szCs w:val="24"/>
          <w:u w:val="single"/>
        </w:rPr>
      </w:pPr>
      <w:r w:rsidRPr="00A90090">
        <w:rPr>
          <w:rFonts w:cs="Arial"/>
          <w:b/>
          <w:sz w:val="24"/>
          <w:szCs w:val="24"/>
        </w:rPr>
        <w:t xml:space="preserve">C.  </w:t>
      </w:r>
      <w:r w:rsidRPr="00A90090">
        <w:rPr>
          <w:rFonts w:cs="Arial"/>
          <w:b/>
          <w:sz w:val="24"/>
          <w:szCs w:val="24"/>
          <w:u w:val="single"/>
        </w:rPr>
        <w:t>Processing Applications</w:t>
      </w:r>
    </w:p>
    <w:p w14:paraId="3D2B9990" w14:textId="77777777" w:rsidR="008C609A" w:rsidRPr="00A90090" w:rsidRDefault="008C609A" w:rsidP="0059427A">
      <w:pPr>
        <w:tabs>
          <w:tab w:val="left" w:pos="0"/>
        </w:tabs>
        <w:rPr>
          <w:rFonts w:cs="Arial"/>
          <w:sz w:val="24"/>
          <w:szCs w:val="24"/>
        </w:rPr>
      </w:pPr>
      <w:r w:rsidRPr="00A90090">
        <w:rPr>
          <w:rFonts w:cs="Arial"/>
          <w:sz w:val="24"/>
          <w:szCs w:val="24"/>
        </w:rPr>
        <w:t xml:space="preserve">Once an </w:t>
      </w:r>
      <w:r w:rsidRPr="009A32FD">
        <w:rPr>
          <w:rFonts w:cs="Arial"/>
          <w:b/>
          <w:sz w:val="24"/>
          <w:szCs w:val="24"/>
        </w:rPr>
        <w:t>Application for Property Tax Relief</w:t>
      </w:r>
      <w:r w:rsidRPr="00A90090">
        <w:rPr>
          <w:rFonts w:cs="Arial"/>
          <w:sz w:val="24"/>
          <w:szCs w:val="24"/>
        </w:rPr>
        <w:t xml:space="preserve"> is completed and returned to the </w:t>
      </w:r>
      <w:r w:rsidR="009A32FD">
        <w:rPr>
          <w:rFonts w:cs="Arial"/>
          <w:sz w:val="24"/>
          <w:szCs w:val="24"/>
        </w:rPr>
        <w:t xml:space="preserve">Township </w:t>
      </w:r>
      <w:r w:rsidRPr="00A90090">
        <w:rPr>
          <w:rFonts w:cs="Arial"/>
          <w:sz w:val="24"/>
          <w:szCs w:val="24"/>
        </w:rPr>
        <w:t>Supervisor at the Raisin Charter Township Office, it will be reviewed.</w:t>
      </w:r>
    </w:p>
    <w:p w14:paraId="4CAF1057" w14:textId="77777777" w:rsidR="00117D28" w:rsidRPr="00A90090" w:rsidRDefault="008C609A" w:rsidP="0059427A">
      <w:pPr>
        <w:tabs>
          <w:tab w:val="left" w:pos="0"/>
        </w:tabs>
        <w:rPr>
          <w:rFonts w:cs="Arial"/>
          <w:sz w:val="24"/>
          <w:szCs w:val="24"/>
        </w:rPr>
      </w:pPr>
      <w:r w:rsidRPr="00A90090">
        <w:rPr>
          <w:rFonts w:cs="Arial"/>
          <w:sz w:val="24"/>
          <w:szCs w:val="24"/>
        </w:rPr>
        <w:t>After the above referenced information is reviewed, the entire packet will be submitted to the Board of Review to be considered for tax relief in a work session.  The Board of Review, in making their decision, may contact the applicant for any additional information they deem necessary.</w:t>
      </w:r>
    </w:p>
    <w:p w14:paraId="7312AA13" w14:textId="77777777" w:rsidR="00DA1275" w:rsidRPr="00A90090" w:rsidRDefault="008C609A" w:rsidP="0059427A">
      <w:pPr>
        <w:tabs>
          <w:tab w:val="left" w:pos="0"/>
        </w:tabs>
        <w:rPr>
          <w:rFonts w:cs="Arial"/>
          <w:b/>
          <w:sz w:val="24"/>
          <w:szCs w:val="24"/>
        </w:rPr>
      </w:pPr>
      <w:r w:rsidRPr="00A90090">
        <w:rPr>
          <w:rFonts w:cs="Arial"/>
          <w:b/>
          <w:sz w:val="24"/>
          <w:szCs w:val="24"/>
        </w:rPr>
        <w:lastRenderedPageBreak/>
        <w:t xml:space="preserve">The Board of Review shall also reject any application where the information contained in it appears fraudulent, </w:t>
      </w:r>
      <w:proofErr w:type="gramStart"/>
      <w:r w:rsidRPr="00A90090">
        <w:rPr>
          <w:rFonts w:cs="Arial"/>
          <w:b/>
          <w:sz w:val="24"/>
          <w:szCs w:val="24"/>
        </w:rPr>
        <w:t>misleading</w:t>
      </w:r>
      <w:proofErr w:type="gramEnd"/>
      <w:r w:rsidRPr="00A90090">
        <w:rPr>
          <w:rFonts w:cs="Arial"/>
          <w:b/>
          <w:sz w:val="24"/>
          <w:szCs w:val="24"/>
        </w:rPr>
        <w:t xml:space="preserve"> or incomplete.</w:t>
      </w:r>
    </w:p>
    <w:p w14:paraId="2E139E41" w14:textId="77777777" w:rsidR="00A90090" w:rsidRDefault="00A90090" w:rsidP="0059427A">
      <w:pPr>
        <w:tabs>
          <w:tab w:val="left" w:pos="0"/>
        </w:tabs>
        <w:rPr>
          <w:rFonts w:cs="Arial"/>
          <w:b/>
          <w:sz w:val="24"/>
          <w:szCs w:val="24"/>
        </w:rPr>
      </w:pPr>
    </w:p>
    <w:p w14:paraId="41AAE720" w14:textId="77777777" w:rsidR="00D147F2" w:rsidRPr="00A90090" w:rsidRDefault="00D147F2" w:rsidP="0059427A">
      <w:pPr>
        <w:tabs>
          <w:tab w:val="left" w:pos="0"/>
        </w:tabs>
        <w:rPr>
          <w:rFonts w:cs="Arial"/>
          <w:b/>
          <w:sz w:val="24"/>
          <w:szCs w:val="24"/>
          <w:u w:val="single"/>
        </w:rPr>
      </w:pPr>
      <w:r w:rsidRPr="00A90090">
        <w:rPr>
          <w:rFonts w:cs="Arial"/>
          <w:b/>
          <w:sz w:val="24"/>
          <w:szCs w:val="24"/>
        </w:rPr>
        <w:t>D.</w:t>
      </w:r>
      <w:r w:rsidR="00AD2213" w:rsidRPr="00A90090">
        <w:rPr>
          <w:rFonts w:cs="Arial"/>
          <w:b/>
          <w:sz w:val="24"/>
          <w:szCs w:val="24"/>
        </w:rPr>
        <w:t xml:space="preserve">  </w:t>
      </w:r>
      <w:r w:rsidRPr="00A90090">
        <w:rPr>
          <w:rFonts w:cs="Arial"/>
          <w:b/>
          <w:sz w:val="24"/>
          <w:szCs w:val="24"/>
          <w:u w:val="single"/>
        </w:rPr>
        <w:t>Special Circumstances, Active Military</w:t>
      </w:r>
      <w:r w:rsidR="00A46784" w:rsidRPr="00A90090">
        <w:rPr>
          <w:rFonts w:cs="Arial"/>
          <w:b/>
          <w:sz w:val="24"/>
          <w:szCs w:val="24"/>
          <w:u w:val="single"/>
        </w:rPr>
        <w:t xml:space="preserve"> Head of Household Exemption</w:t>
      </w:r>
    </w:p>
    <w:p w14:paraId="5471835A" w14:textId="77777777" w:rsidR="00A46784" w:rsidRDefault="00A46784" w:rsidP="0059427A">
      <w:pPr>
        <w:tabs>
          <w:tab w:val="left" w:pos="0"/>
        </w:tabs>
        <w:rPr>
          <w:rFonts w:cs="Arial"/>
          <w:sz w:val="24"/>
          <w:szCs w:val="24"/>
        </w:rPr>
      </w:pPr>
      <w:r w:rsidRPr="00A90090">
        <w:rPr>
          <w:rFonts w:cs="Arial"/>
          <w:sz w:val="24"/>
          <w:szCs w:val="24"/>
        </w:rPr>
        <w:t xml:space="preserve">In instances where the head of household wage earner is a member of the National Guard Reserves and is called to active military duty, a poverty exemption may be granted.  To be eligible for a full or partial poverty exemption, the wages must fall within an income level not greater than twice (x2) the Federal Poverty Guidelines.  The eligibility will be determined following analysis of qualifying income vs. expenses in the initial application.  The </w:t>
      </w:r>
      <w:proofErr w:type="gramStart"/>
      <w:r w:rsidRPr="00A90090">
        <w:rPr>
          <w:rFonts w:cs="Arial"/>
          <w:sz w:val="24"/>
          <w:szCs w:val="24"/>
        </w:rPr>
        <w:t>time period</w:t>
      </w:r>
      <w:proofErr w:type="gramEnd"/>
      <w:r w:rsidRPr="00A90090">
        <w:rPr>
          <w:rFonts w:cs="Arial"/>
          <w:sz w:val="24"/>
          <w:szCs w:val="24"/>
        </w:rPr>
        <w:t xml:space="preserve"> allowed for the poverty exemption relief would be restricted to no more than three (3) years of active duty.  Application for the exemption must be made each year.</w:t>
      </w:r>
    </w:p>
    <w:p w14:paraId="21C8ED89" w14:textId="77777777" w:rsidR="00A90090" w:rsidRPr="00A90090" w:rsidRDefault="00A90090" w:rsidP="0059427A">
      <w:pPr>
        <w:tabs>
          <w:tab w:val="left" w:pos="0"/>
        </w:tabs>
        <w:rPr>
          <w:rFonts w:cs="Arial"/>
          <w:sz w:val="24"/>
          <w:szCs w:val="24"/>
        </w:rPr>
      </w:pPr>
    </w:p>
    <w:p w14:paraId="344D7271" w14:textId="77777777" w:rsidR="00EB54B8" w:rsidRPr="00A90090" w:rsidRDefault="00D147F2" w:rsidP="0059427A">
      <w:pPr>
        <w:tabs>
          <w:tab w:val="left" w:pos="0"/>
        </w:tabs>
        <w:rPr>
          <w:rFonts w:cs="Arial"/>
          <w:b/>
          <w:sz w:val="24"/>
          <w:szCs w:val="24"/>
          <w:u w:val="single"/>
        </w:rPr>
      </w:pPr>
      <w:r w:rsidRPr="00A90090">
        <w:rPr>
          <w:rFonts w:cs="Arial"/>
          <w:b/>
          <w:sz w:val="24"/>
          <w:szCs w:val="24"/>
        </w:rPr>
        <w:t>E</w:t>
      </w:r>
      <w:r w:rsidR="00EB54B8" w:rsidRPr="00A90090">
        <w:rPr>
          <w:rFonts w:cs="Arial"/>
          <w:b/>
          <w:sz w:val="24"/>
          <w:szCs w:val="24"/>
        </w:rPr>
        <w:t>.</w:t>
      </w:r>
      <w:r w:rsidR="00AD2213" w:rsidRPr="00A90090">
        <w:rPr>
          <w:rFonts w:cs="Arial"/>
          <w:b/>
          <w:sz w:val="24"/>
          <w:szCs w:val="24"/>
        </w:rPr>
        <w:t xml:space="preserve">  </w:t>
      </w:r>
      <w:r w:rsidR="00EB54B8" w:rsidRPr="00A90090">
        <w:rPr>
          <w:rFonts w:cs="Arial"/>
          <w:b/>
          <w:sz w:val="24"/>
          <w:szCs w:val="24"/>
          <w:u w:val="single"/>
        </w:rPr>
        <w:t>Income Guidelines</w:t>
      </w:r>
    </w:p>
    <w:p w14:paraId="1A2C3271" w14:textId="77777777" w:rsidR="00EB54B8" w:rsidRPr="00A90090" w:rsidRDefault="00C82F51" w:rsidP="0059427A">
      <w:pPr>
        <w:tabs>
          <w:tab w:val="left" w:pos="0"/>
        </w:tabs>
        <w:rPr>
          <w:rFonts w:cs="Arial"/>
          <w:sz w:val="24"/>
          <w:szCs w:val="24"/>
        </w:rPr>
      </w:pPr>
      <w:r w:rsidRPr="00A90090">
        <w:rPr>
          <w:rFonts w:cs="Arial"/>
          <w:sz w:val="24"/>
          <w:szCs w:val="24"/>
        </w:rPr>
        <w:t xml:space="preserve">The income guidelines used by the Board of Review have been established </w:t>
      </w:r>
      <w:r w:rsidR="00A26789" w:rsidRPr="00A90090">
        <w:rPr>
          <w:rFonts w:cs="Arial"/>
          <w:sz w:val="24"/>
          <w:szCs w:val="24"/>
        </w:rPr>
        <w:t>in</w:t>
      </w:r>
      <w:r w:rsidRPr="00A90090">
        <w:rPr>
          <w:rFonts w:cs="Arial"/>
          <w:sz w:val="24"/>
          <w:szCs w:val="24"/>
        </w:rPr>
        <w:t xml:space="preserve"> accordance with P.A. 390 of 1994 and shall be adhered to unless accompanied by special circumstances.  In determining qualifications for tax exemption, the Board of Review shall consider every variable on the application, including total household income, the nature and duration of the income stream, the state equalized value of the subject property, the quality and accuracy of the information submitted and any other such evidence as they feel appropriate in making their decision.  In </w:t>
      </w:r>
      <w:proofErr w:type="gramStart"/>
      <w:r w:rsidRPr="00A90090">
        <w:rPr>
          <w:rFonts w:cs="Arial"/>
          <w:sz w:val="24"/>
          <w:szCs w:val="24"/>
        </w:rPr>
        <w:t>general</w:t>
      </w:r>
      <w:proofErr w:type="gramEnd"/>
      <w:r w:rsidRPr="00A90090">
        <w:rPr>
          <w:rFonts w:cs="Arial"/>
          <w:sz w:val="24"/>
          <w:szCs w:val="24"/>
        </w:rPr>
        <w:t xml:space="preserve"> however these guidelines shall assist the Board of Review in their decisions.</w:t>
      </w:r>
    </w:p>
    <w:p w14:paraId="2C97E747" w14:textId="063BA1E9" w:rsidR="00C82F51" w:rsidRDefault="00C82F51" w:rsidP="0059427A">
      <w:pPr>
        <w:tabs>
          <w:tab w:val="left" w:pos="0"/>
        </w:tabs>
        <w:rPr>
          <w:rFonts w:cs="Arial"/>
          <w:sz w:val="24"/>
          <w:szCs w:val="24"/>
        </w:rPr>
      </w:pPr>
      <w:r w:rsidRPr="00A90090">
        <w:rPr>
          <w:rFonts w:cs="Arial"/>
          <w:sz w:val="24"/>
          <w:szCs w:val="24"/>
        </w:rPr>
        <w:t>Income guide, as adopted ann</w:t>
      </w:r>
      <w:r w:rsidR="00A26789" w:rsidRPr="00A90090">
        <w:rPr>
          <w:rFonts w:cs="Arial"/>
          <w:sz w:val="24"/>
          <w:szCs w:val="24"/>
        </w:rPr>
        <w:t>ually by</w:t>
      </w:r>
      <w:r w:rsidR="00E37E4F" w:rsidRPr="00A90090">
        <w:rPr>
          <w:rFonts w:cs="Arial"/>
          <w:sz w:val="24"/>
          <w:szCs w:val="24"/>
        </w:rPr>
        <w:t xml:space="preserve"> Raisin Charter</w:t>
      </w:r>
      <w:r w:rsidR="00A26789" w:rsidRPr="00A90090">
        <w:rPr>
          <w:rFonts w:cs="Arial"/>
          <w:sz w:val="24"/>
          <w:szCs w:val="24"/>
        </w:rPr>
        <w:t xml:space="preserve"> Township Board, based on Federal Income Levels provided:</w:t>
      </w:r>
      <w:r w:rsidR="00B4644F" w:rsidRPr="00A90090">
        <w:rPr>
          <w:rFonts w:cs="Arial"/>
          <w:sz w:val="24"/>
          <w:szCs w:val="24"/>
        </w:rPr>
        <w:t xml:space="preserve"> </w:t>
      </w:r>
    </w:p>
    <w:p w14:paraId="38BF1A86" w14:textId="77777777" w:rsidR="00120F18" w:rsidRPr="00A90090" w:rsidRDefault="00120F18" w:rsidP="0059427A">
      <w:pPr>
        <w:tabs>
          <w:tab w:val="left" w:pos="0"/>
        </w:tabs>
        <w:rPr>
          <w:rFonts w:cs="Arial"/>
          <w:sz w:val="24"/>
          <w:szCs w:val="24"/>
        </w:rPr>
      </w:pPr>
    </w:p>
    <w:tbl>
      <w:tblPr>
        <w:tblStyle w:val="TableGrid"/>
        <w:tblW w:w="0" w:type="auto"/>
        <w:tblLook w:val="04A0" w:firstRow="1" w:lastRow="0" w:firstColumn="1" w:lastColumn="0" w:noHBand="0" w:noVBand="1"/>
      </w:tblPr>
      <w:tblGrid>
        <w:gridCol w:w="2808"/>
        <w:gridCol w:w="2280"/>
        <w:gridCol w:w="3840"/>
      </w:tblGrid>
      <w:tr w:rsidR="0047295A" w:rsidRPr="00A90090" w14:paraId="61779F74" w14:textId="77777777" w:rsidTr="009F138A">
        <w:trPr>
          <w:trHeight w:val="728"/>
        </w:trPr>
        <w:tc>
          <w:tcPr>
            <w:tcW w:w="2808" w:type="dxa"/>
            <w:vAlign w:val="center"/>
          </w:tcPr>
          <w:p w14:paraId="6EEE78D6" w14:textId="77777777" w:rsidR="0047295A" w:rsidRPr="00A90090" w:rsidRDefault="0047295A" w:rsidP="00EC280F">
            <w:pPr>
              <w:tabs>
                <w:tab w:val="left" w:pos="0"/>
              </w:tabs>
              <w:jc w:val="center"/>
              <w:rPr>
                <w:rFonts w:cs="Arial"/>
                <w:sz w:val="24"/>
                <w:szCs w:val="24"/>
              </w:rPr>
            </w:pPr>
            <w:r w:rsidRPr="00A90090">
              <w:rPr>
                <w:rFonts w:cs="Arial"/>
                <w:sz w:val="24"/>
                <w:szCs w:val="24"/>
              </w:rPr>
              <w:t>Size of Family Unit</w:t>
            </w:r>
          </w:p>
        </w:tc>
        <w:tc>
          <w:tcPr>
            <w:tcW w:w="2280" w:type="dxa"/>
          </w:tcPr>
          <w:p w14:paraId="4D9E8AA0" w14:textId="3B92256D" w:rsidR="00CF462B" w:rsidRPr="00A90090" w:rsidRDefault="009F138A" w:rsidP="009E18AD">
            <w:pPr>
              <w:tabs>
                <w:tab w:val="left" w:pos="0"/>
              </w:tabs>
              <w:jc w:val="center"/>
              <w:rPr>
                <w:rFonts w:cs="Arial"/>
                <w:sz w:val="24"/>
                <w:szCs w:val="24"/>
              </w:rPr>
            </w:pPr>
            <w:r>
              <w:rPr>
                <w:rFonts w:cs="Arial"/>
                <w:sz w:val="24"/>
                <w:szCs w:val="24"/>
              </w:rPr>
              <w:t>20</w:t>
            </w:r>
            <w:r w:rsidR="00764F2F">
              <w:rPr>
                <w:rFonts w:cs="Arial"/>
                <w:sz w:val="24"/>
                <w:szCs w:val="24"/>
              </w:rPr>
              <w:t>2</w:t>
            </w:r>
            <w:r w:rsidR="00FD0FDC">
              <w:rPr>
                <w:rFonts w:cs="Arial"/>
                <w:sz w:val="24"/>
                <w:szCs w:val="24"/>
              </w:rPr>
              <w:t>1</w:t>
            </w:r>
            <w:r>
              <w:rPr>
                <w:rFonts w:cs="Arial"/>
                <w:sz w:val="24"/>
                <w:szCs w:val="24"/>
              </w:rPr>
              <w:t xml:space="preserve"> </w:t>
            </w:r>
            <w:r w:rsidR="0047295A" w:rsidRPr="00A90090">
              <w:rPr>
                <w:rFonts w:cs="Arial"/>
                <w:sz w:val="24"/>
                <w:szCs w:val="24"/>
              </w:rPr>
              <w:t>Federal Poverty Guideline</w:t>
            </w:r>
          </w:p>
        </w:tc>
        <w:tc>
          <w:tcPr>
            <w:tcW w:w="3840" w:type="dxa"/>
          </w:tcPr>
          <w:p w14:paraId="5638F0B8" w14:textId="1176A6B4" w:rsidR="0047295A" w:rsidRPr="00A90090" w:rsidRDefault="009F138A" w:rsidP="009E18AD">
            <w:pPr>
              <w:tabs>
                <w:tab w:val="left" w:pos="0"/>
              </w:tabs>
              <w:jc w:val="center"/>
              <w:rPr>
                <w:rFonts w:cs="Arial"/>
                <w:sz w:val="24"/>
                <w:szCs w:val="24"/>
              </w:rPr>
            </w:pPr>
            <w:r>
              <w:rPr>
                <w:rFonts w:cs="Arial"/>
                <w:sz w:val="24"/>
                <w:szCs w:val="24"/>
              </w:rPr>
              <w:t>20</w:t>
            </w:r>
            <w:r w:rsidR="00764F2F">
              <w:rPr>
                <w:rFonts w:cs="Arial"/>
                <w:sz w:val="24"/>
                <w:szCs w:val="24"/>
              </w:rPr>
              <w:t>2</w:t>
            </w:r>
            <w:r w:rsidR="00FD0FDC">
              <w:rPr>
                <w:rFonts w:cs="Arial"/>
                <w:sz w:val="24"/>
                <w:szCs w:val="24"/>
              </w:rPr>
              <w:t>1</w:t>
            </w:r>
            <w:r>
              <w:rPr>
                <w:rFonts w:cs="Arial"/>
                <w:sz w:val="24"/>
                <w:szCs w:val="24"/>
              </w:rPr>
              <w:t xml:space="preserve"> </w:t>
            </w:r>
            <w:r w:rsidR="0047295A" w:rsidRPr="00A90090">
              <w:rPr>
                <w:rFonts w:cs="Arial"/>
                <w:sz w:val="24"/>
                <w:szCs w:val="24"/>
              </w:rPr>
              <w:t>Raisin Township Approved Poverty Guideline</w:t>
            </w:r>
          </w:p>
        </w:tc>
      </w:tr>
      <w:tr w:rsidR="0047295A" w:rsidRPr="00A90090" w14:paraId="1DA4C34D" w14:textId="77777777" w:rsidTr="00E55FE4">
        <w:tc>
          <w:tcPr>
            <w:tcW w:w="2808" w:type="dxa"/>
          </w:tcPr>
          <w:p w14:paraId="452D1276" w14:textId="77777777" w:rsidR="0047295A" w:rsidRPr="00A90090" w:rsidRDefault="0047295A" w:rsidP="0047295A">
            <w:pPr>
              <w:tabs>
                <w:tab w:val="left" w:pos="0"/>
              </w:tabs>
              <w:jc w:val="center"/>
              <w:rPr>
                <w:rFonts w:cs="Arial"/>
                <w:sz w:val="24"/>
                <w:szCs w:val="24"/>
              </w:rPr>
            </w:pPr>
            <w:r w:rsidRPr="00A90090">
              <w:rPr>
                <w:rFonts w:cs="Arial"/>
                <w:sz w:val="24"/>
                <w:szCs w:val="24"/>
              </w:rPr>
              <w:t>1</w:t>
            </w:r>
          </w:p>
        </w:tc>
        <w:tc>
          <w:tcPr>
            <w:tcW w:w="2280" w:type="dxa"/>
            <w:vAlign w:val="center"/>
          </w:tcPr>
          <w:p w14:paraId="6D2A133A" w14:textId="023518B9" w:rsidR="0047295A" w:rsidRPr="00A90090" w:rsidRDefault="00C7172E" w:rsidP="00562CBE">
            <w:pPr>
              <w:tabs>
                <w:tab w:val="left" w:pos="0"/>
              </w:tabs>
              <w:jc w:val="center"/>
              <w:rPr>
                <w:rFonts w:cs="Arial"/>
                <w:sz w:val="24"/>
                <w:szCs w:val="24"/>
              </w:rPr>
            </w:pPr>
            <w:r w:rsidRPr="00A90090">
              <w:rPr>
                <w:rFonts w:cs="Arial"/>
                <w:sz w:val="24"/>
                <w:szCs w:val="24"/>
              </w:rPr>
              <w:t>$ 1</w:t>
            </w:r>
            <w:r w:rsidR="005744BF">
              <w:rPr>
                <w:rFonts w:cs="Arial"/>
                <w:sz w:val="24"/>
                <w:szCs w:val="24"/>
              </w:rPr>
              <w:t>2,</w:t>
            </w:r>
            <w:r w:rsidR="00FD0FDC">
              <w:rPr>
                <w:rFonts w:cs="Arial"/>
                <w:sz w:val="24"/>
                <w:szCs w:val="24"/>
              </w:rPr>
              <w:t>760</w:t>
            </w:r>
          </w:p>
        </w:tc>
        <w:tc>
          <w:tcPr>
            <w:tcW w:w="3840" w:type="dxa"/>
            <w:vAlign w:val="center"/>
          </w:tcPr>
          <w:p w14:paraId="02309A86" w14:textId="2AD0BD81" w:rsidR="00EC3A8E" w:rsidRPr="00A90090" w:rsidRDefault="00E55FE4" w:rsidP="00EC3A8E">
            <w:pPr>
              <w:tabs>
                <w:tab w:val="left" w:pos="0"/>
              </w:tabs>
              <w:jc w:val="center"/>
              <w:rPr>
                <w:rFonts w:cs="Arial"/>
                <w:sz w:val="24"/>
                <w:szCs w:val="24"/>
              </w:rPr>
            </w:pPr>
            <w:r w:rsidRPr="00A90090">
              <w:rPr>
                <w:rFonts w:cs="Arial"/>
                <w:sz w:val="24"/>
                <w:szCs w:val="24"/>
              </w:rPr>
              <w:t xml:space="preserve">$ </w:t>
            </w:r>
            <w:r w:rsidR="00EC3A8E">
              <w:rPr>
                <w:rFonts w:cs="Arial"/>
                <w:sz w:val="24"/>
                <w:szCs w:val="24"/>
              </w:rPr>
              <w:t>14,</w:t>
            </w:r>
            <w:r w:rsidR="00FD0FDC">
              <w:rPr>
                <w:rFonts w:cs="Arial"/>
                <w:sz w:val="24"/>
                <w:szCs w:val="24"/>
              </w:rPr>
              <w:t>674</w:t>
            </w:r>
          </w:p>
        </w:tc>
      </w:tr>
      <w:tr w:rsidR="0047295A" w:rsidRPr="00A90090" w14:paraId="1ACE00E2" w14:textId="77777777" w:rsidTr="00E55FE4">
        <w:tc>
          <w:tcPr>
            <w:tcW w:w="2808" w:type="dxa"/>
          </w:tcPr>
          <w:p w14:paraId="54E5126D" w14:textId="77777777" w:rsidR="0047295A" w:rsidRPr="00A90090" w:rsidRDefault="0047295A" w:rsidP="0047295A">
            <w:pPr>
              <w:tabs>
                <w:tab w:val="left" w:pos="0"/>
              </w:tabs>
              <w:jc w:val="center"/>
              <w:rPr>
                <w:rFonts w:cs="Arial"/>
                <w:sz w:val="24"/>
                <w:szCs w:val="24"/>
              </w:rPr>
            </w:pPr>
            <w:r w:rsidRPr="00A90090">
              <w:rPr>
                <w:rFonts w:cs="Arial"/>
                <w:sz w:val="24"/>
                <w:szCs w:val="24"/>
              </w:rPr>
              <w:t>2</w:t>
            </w:r>
          </w:p>
        </w:tc>
        <w:tc>
          <w:tcPr>
            <w:tcW w:w="2280" w:type="dxa"/>
            <w:vAlign w:val="center"/>
          </w:tcPr>
          <w:p w14:paraId="7300CBF1" w14:textId="07369A4C" w:rsidR="0047295A" w:rsidRPr="00A90090" w:rsidRDefault="00C7172E" w:rsidP="00562CBE">
            <w:pPr>
              <w:tabs>
                <w:tab w:val="left" w:pos="0"/>
              </w:tabs>
              <w:jc w:val="center"/>
              <w:rPr>
                <w:rFonts w:cs="Arial"/>
                <w:sz w:val="24"/>
                <w:szCs w:val="24"/>
              </w:rPr>
            </w:pPr>
            <w:r w:rsidRPr="00A90090">
              <w:rPr>
                <w:rFonts w:cs="Arial"/>
                <w:sz w:val="24"/>
                <w:szCs w:val="24"/>
              </w:rPr>
              <w:t>$ 1</w:t>
            </w:r>
            <w:r w:rsidR="00120F18">
              <w:rPr>
                <w:rFonts w:cs="Arial"/>
                <w:sz w:val="24"/>
                <w:szCs w:val="24"/>
              </w:rPr>
              <w:t>7,240</w:t>
            </w:r>
          </w:p>
        </w:tc>
        <w:tc>
          <w:tcPr>
            <w:tcW w:w="3840" w:type="dxa"/>
            <w:vAlign w:val="center"/>
          </w:tcPr>
          <w:p w14:paraId="009CCF6C" w14:textId="7C5A0CF2" w:rsidR="0047295A" w:rsidRPr="00A90090" w:rsidRDefault="00E55FE4" w:rsidP="00562CBE">
            <w:pPr>
              <w:tabs>
                <w:tab w:val="left" w:pos="0"/>
              </w:tabs>
              <w:jc w:val="center"/>
              <w:rPr>
                <w:rFonts w:cs="Arial"/>
                <w:sz w:val="24"/>
                <w:szCs w:val="24"/>
              </w:rPr>
            </w:pPr>
            <w:r w:rsidRPr="00A90090">
              <w:rPr>
                <w:rFonts w:cs="Arial"/>
                <w:sz w:val="24"/>
                <w:szCs w:val="24"/>
              </w:rPr>
              <w:t>$</w:t>
            </w:r>
            <w:r w:rsidR="00C639A7">
              <w:rPr>
                <w:rFonts w:cs="Arial"/>
                <w:sz w:val="24"/>
                <w:szCs w:val="24"/>
              </w:rPr>
              <w:t xml:space="preserve"> </w:t>
            </w:r>
            <w:r w:rsidR="00EC3A8E">
              <w:rPr>
                <w:rFonts w:cs="Arial"/>
                <w:sz w:val="24"/>
                <w:szCs w:val="24"/>
              </w:rPr>
              <w:t>19,</w:t>
            </w:r>
            <w:r w:rsidR="00120F18">
              <w:rPr>
                <w:rFonts w:cs="Arial"/>
                <w:sz w:val="24"/>
                <w:szCs w:val="24"/>
              </w:rPr>
              <w:t>826</w:t>
            </w:r>
          </w:p>
        </w:tc>
      </w:tr>
      <w:tr w:rsidR="0047295A" w:rsidRPr="00A90090" w14:paraId="7BA32FB9" w14:textId="77777777" w:rsidTr="00E55FE4">
        <w:tc>
          <w:tcPr>
            <w:tcW w:w="2808" w:type="dxa"/>
          </w:tcPr>
          <w:p w14:paraId="6C049CBE" w14:textId="77777777" w:rsidR="0047295A" w:rsidRPr="00A90090" w:rsidRDefault="0047295A" w:rsidP="0047295A">
            <w:pPr>
              <w:tabs>
                <w:tab w:val="left" w:pos="0"/>
              </w:tabs>
              <w:jc w:val="center"/>
              <w:rPr>
                <w:rFonts w:cs="Arial"/>
                <w:sz w:val="24"/>
                <w:szCs w:val="24"/>
              </w:rPr>
            </w:pPr>
            <w:r w:rsidRPr="00A90090">
              <w:rPr>
                <w:rFonts w:cs="Arial"/>
                <w:sz w:val="24"/>
                <w:szCs w:val="24"/>
              </w:rPr>
              <w:t>3</w:t>
            </w:r>
          </w:p>
        </w:tc>
        <w:tc>
          <w:tcPr>
            <w:tcW w:w="2280" w:type="dxa"/>
            <w:vAlign w:val="center"/>
          </w:tcPr>
          <w:p w14:paraId="07FE04AC" w14:textId="1D50B5D1" w:rsidR="0047295A" w:rsidRPr="00A90090" w:rsidRDefault="00C7172E" w:rsidP="00562CBE">
            <w:pPr>
              <w:tabs>
                <w:tab w:val="left" w:pos="0"/>
              </w:tabs>
              <w:jc w:val="center"/>
              <w:rPr>
                <w:rFonts w:cs="Arial"/>
                <w:sz w:val="24"/>
                <w:szCs w:val="24"/>
              </w:rPr>
            </w:pPr>
            <w:r w:rsidRPr="00A90090">
              <w:rPr>
                <w:rFonts w:cs="Arial"/>
                <w:sz w:val="24"/>
                <w:szCs w:val="24"/>
              </w:rPr>
              <w:t xml:space="preserve">$ </w:t>
            </w:r>
            <w:r w:rsidR="00562CBE">
              <w:rPr>
                <w:rFonts w:cs="Arial"/>
                <w:sz w:val="24"/>
                <w:szCs w:val="24"/>
              </w:rPr>
              <w:t>2</w:t>
            </w:r>
            <w:r w:rsidR="00764F2F">
              <w:rPr>
                <w:rFonts w:cs="Arial"/>
                <w:sz w:val="24"/>
                <w:szCs w:val="24"/>
              </w:rPr>
              <w:t>1,</w:t>
            </w:r>
            <w:r w:rsidR="00120F18">
              <w:rPr>
                <w:rFonts w:cs="Arial"/>
                <w:sz w:val="24"/>
                <w:szCs w:val="24"/>
              </w:rPr>
              <w:t>720</w:t>
            </w:r>
          </w:p>
        </w:tc>
        <w:tc>
          <w:tcPr>
            <w:tcW w:w="3840" w:type="dxa"/>
            <w:vAlign w:val="center"/>
          </w:tcPr>
          <w:p w14:paraId="3705FC0C" w14:textId="302C8055" w:rsidR="0047295A" w:rsidRPr="00A90090" w:rsidRDefault="00E55FE4" w:rsidP="00562CBE">
            <w:pPr>
              <w:tabs>
                <w:tab w:val="left" w:pos="0"/>
              </w:tabs>
              <w:jc w:val="center"/>
              <w:rPr>
                <w:rFonts w:cs="Arial"/>
                <w:sz w:val="24"/>
                <w:szCs w:val="24"/>
              </w:rPr>
            </w:pPr>
            <w:r w:rsidRPr="00A90090">
              <w:rPr>
                <w:rFonts w:cs="Arial"/>
                <w:sz w:val="24"/>
                <w:szCs w:val="24"/>
              </w:rPr>
              <w:t xml:space="preserve">$ </w:t>
            </w:r>
            <w:r w:rsidR="00EC3A8E">
              <w:rPr>
                <w:rFonts w:cs="Arial"/>
                <w:sz w:val="24"/>
                <w:szCs w:val="24"/>
              </w:rPr>
              <w:t>24,</w:t>
            </w:r>
            <w:r w:rsidR="00120F18">
              <w:rPr>
                <w:rFonts w:cs="Arial"/>
                <w:sz w:val="24"/>
                <w:szCs w:val="24"/>
              </w:rPr>
              <w:t>978</w:t>
            </w:r>
          </w:p>
        </w:tc>
      </w:tr>
      <w:tr w:rsidR="0047295A" w:rsidRPr="00A90090" w14:paraId="752D760C" w14:textId="77777777" w:rsidTr="00E55FE4">
        <w:tc>
          <w:tcPr>
            <w:tcW w:w="2808" w:type="dxa"/>
          </w:tcPr>
          <w:p w14:paraId="3E6AC478" w14:textId="77777777" w:rsidR="0047295A" w:rsidRPr="00A90090" w:rsidRDefault="0047295A" w:rsidP="0047295A">
            <w:pPr>
              <w:tabs>
                <w:tab w:val="left" w:pos="0"/>
              </w:tabs>
              <w:jc w:val="center"/>
              <w:rPr>
                <w:rFonts w:cs="Arial"/>
                <w:sz w:val="24"/>
                <w:szCs w:val="24"/>
              </w:rPr>
            </w:pPr>
            <w:r w:rsidRPr="00A90090">
              <w:rPr>
                <w:rFonts w:cs="Arial"/>
                <w:sz w:val="24"/>
                <w:szCs w:val="24"/>
              </w:rPr>
              <w:t>4</w:t>
            </w:r>
          </w:p>
        </w:tc>
        <w:tc>
          <w:tcPr>
            <w:tcW w:w="2280" w:type="dxa"/>
            <w:vAlign w:val="center"/>
          </w:tcPr>
          <w:p w14:paraId="20FFF79A" w14:textId="1E7EA2AA" w:rsidR="0047295A" w:rsidRPr="00A90090" w:rsidRDefault="00C7172E" w:rsidP="00562CBE">
            <w:pPr>
              <w:tabs>
                <w:tab w:val="left" w:pos="0"/>
              </w:tabs>
              <w:jc w:val="center"/>
              <w:rPr>
                <w:rFonts w:cs="Arial"/>
                <w:sz w:val="24"/>
                <w:szCs w:val="24"/>
              </w:rPr>
            </w:pPr>
            <w:r w:rsidRPr="00A90090">
              <w:rPr>
                <w:rFonts w:cs="Arial"/>
                <w:sz w:val="24"/>
                <w:szCs w:val="24"/>
              </w:rPr>
              <w:t xml:space="preserve">$ </w:t>
            </w:r>
            <w:r w:rsidR="00562CBE">
              <w:rPr>
                <w:rFonts w:cs="Arial"/>
                <w:sz w:val="24"/>
                <w:szCs w:val="24"/>
              </w:rPr>
              <w:t>2</w:t>
            </w:r>
            <w:r w:rsidR="00120F18">
              <w:rPr>
                <w:rFonts w:cs="Arial"/>
                <w:sz w:val="24"/>
                <w:szCs w:val="24"/>
              </w:rPr>
              <w:t>6,200</w:t>
            </w:r>
          </w:p>
        </w:tc>
        <w:tc>
          <w:tcPr>
            <w:tcW w:w="3840" w:type="dxa"/>
            <w:vAlign w:val="center"/>
          </w:tcPr>
          <w:p w14:paraId="16CA97C7" w14:textId="67ED3EDA" w:rsidR="0047295A" w:rsidRPr="00A90090" w:rsidRDefault="00E55FE4" w:rsidP="00562CBE">
            <w:pPr>
              <w:tabs>
                <w:tab w:val="left" w:pos="0"/>
              </w:tabs>
              <w:jc w:val="center"/>
              <w:rPr>
                <w:rFonts w:cs="Arial"/>
                <w:sz w:val="24"/>
                <w:szCs w:val="24"/>
              </w:rPr>
            </w:pPr>
            <w:r w:rsidRPr="00A90090">
              <w:rPr>
                <w:rFonts w:cs="Arial"/>
                <w:sz w:val="24"/>
                <w:szCs w:val="24"/>
              </w:rPr>
              <w:t xml:space="preserve">$ </w:t>
            </w:r>
            <w:r w:rsidR="00120F18">
              <w:rPr>
                <w:rFonts w:cs="Arial"/>
                <w:sz w:val="24"/>
                <w:szCs w:val="24"/>
              </w:rPr>
              <w:t>30,130</w:t>
            </w:r>
          </w:p>
        </w:tc>
      </w:tr>
      <w:tr w:rsidR="0047295A" w:rsidRPr="00A90090" w14:paraId="366E32FA" w14:textId="77777777" w:rsidTr="00E55FE4">
        <w:tc>
          <w:tcPr>
            <w:tcW w:w="2808" w:type="dxa"/>
          </w:tcPr>
          <w:p w14:paraId="6C169282" w14:textId="77777777" w:rsidR="0047295A" w:rsidRPr="00A90090" w:rsidRDefault="0047295A" w:rsidP="0047295A">
            <w:pPr>
              <w:tabs>
                <w:tab w:val="left" w:pos="0"/>
              </w:tabs>
              <w:jc w:val="center"/>
              <w:rPr>
                <w:rFonts w:cs="Arial"/>
                <w:sz w:val="24"/>
                <w:szCs w:val="24"/>
              </w:rPr>
            </w:pPr>
            <w:r w:rsidRPr="00A90090">
              <w:rPr>
                <w:rFonts w:cs="Arial"/>
                <w:sz w:val="24"/>
                <w:szCs w:val="24"/>
              </w:rPr>
              <w:t>5</w:t>
            </w:r>
          </w:p>
        </w:tc>
        <w:tc>
          <w:tcPr>
            <w:tcW w:w="2280" w:type="dxa"/>
            <w:vAlign w:val="center"/>
          </w:tcPr>
          <w:p w14:paraId="38FF71A6" w14:textId="00316805" w:rsidR="0047295A" w:rsidRPr="00A90090" w:rsidRDefault="00C7172E" w:rsidP="00562CBE">
            <w:pPr>
              <w:tabs>
                <w:tab w:val="left" w:pos="0"/>
              </w:tabs>
              <w:jc w:val="center"/>
              <w:rPr>
                <w:rFonts w:cs="Arial"/>
                <w:sz w:val="24"/>
                <w:szCs w:val="24"/>
              </w:rPr>
            </w:pPr>
            <w:r w:rsidRPr="00A90090">
              <w:rPr>
                <w:rFonts w:cs="Arial"/>
                <w:sz w:val="24"/>
                <w:szCs w:val="24"/>
              </w:rPr>
              <w:t xml:space="preserve">$ </w:t>
            </w:r>
            <w:r w:rsidR="00764F2F">
              <w:rPr>
                <w:rFonts w:cs="Arial"/>
                <w:sz w:val="24"/>
                <w:szCs w:val="24"/>
              </w:rPr>
              <w:t>30,</w:t>
            </w:r>
            <w:r w:rsidR="00120F18">
              <w:rPr>
                <w:rFonts w:cs="Arial"/>
                <w:sz w:val="24"/>
                <w:szCs w:val="24"/>
              </w:rPr>
              <w:t>680</w:t>
            </w:r>
          </w:p>
        </w:tc>
        <w:tc>
          <w:tcPr>
            <w:tcW w:w="3840" w:type="dxa"/>
            <w:vAlign w:val="center"/>
          </w:tcPr>
          <w:p w14:paraId="3AB7C0DA" w14:textId="046FE342" w:rsidR="0047295A" w:rsidRPr="00A90090" w:rsidRDefault="00E55FE4" w:rsidP="00562CBE">
            <w:pPr>
              <w:tabs>
                <w:tab w:val="left" w:pos="0"/>
              </w:tabs>
              <w:jc w:val="center"/>
              <w:rPr>
                <w:rFonts w:cs="Arial"/>
                <w:sz w:val="24"/>
                <w:szCs w:val="24"/>
              </w:rPr>
            </w:pPr>
            <w:r w:rsidRPr="00A90090">
              <w:rPr>
                <w:rFonts w:cs="Arial"/>
                <w:sz w:val="24"/>
                <w:szCs w:val="24"/>
              </w:rPr>
              <w:t>$</w:t>
            </w:r>
            <w:r w:rsidR="00C639A7">
              <w:rPr>
                <w:rFonts w:cs="Arial"/>
                <w:sz w:val="24"/>
                <w:szCs w:val="24"/>
              </w:rPr>
              <w:t xml:space="preserve"> </w:t>
            </w:r>
            <w:r w:rsidR="00EC3A8E">
              <w:rPr>
                <w:rFonts w:cs="Arial"/>
                <w:sz w:val="24"/>
                <w:szCs w:val="24"/>
              </w:rPr>
              <w:t>3</w:t>
            </w:r>
            <w:r w:rsidR="00120F18">
              <w:rPr>
                <w:rFonts w:cs="Arial"/>
                <w:sz w:val="24"/>
                <w:szCs w:val="24"/>
              </w:rPr>
              <w:t>5,282</w:t>
            </w:r>
          </w:p>
        </w:tc>
      </w:tr>
      <w:tr w:rsidR="0047295A" w:rsidRPr="00A90090" w14:paraId="2E568A1E" w14:textId="77777777" w:rsidTr="00E55FE4">
        <w:tc>
          <w:tcPr>
            <w:tcW w:w="2808" w:type="dxa"/>
          </w:tcPr>
          <w:p w14:paraId="3CA67B1C" w14:textId="77777777" w:rsidR="0047295A" w:rsidRPr="00A90090" w:rsidRDefault="0047295A" w:rsidP="0047295A">
            <w:pPr>
              <w:tabs>
                <w:tab w:val="left" w:pos="0"/>
              </w:tabs>
              <w:jc w:val="center"/>
              <w:rPr>
                <w:rFonts w:cs="Arial"/>
                <w:sz w:val="24"/>
                <w:szCs w:val="24"/>
              </w:rPr>
            </w:pPr>
            <w:r w:rsidRPr="00A90090">
              <w:rPr>
                <w:rFonts w:cs="Arial"/>
                <w:sz w:val="24"/>
                <w:szCs w:val="24"/>
              </w:rPr>
              <w:t>6</w:t>
            </w:r>
          </w:p>
        </w:tc>
        <w:tc>
          <w:tcPr>
            <w:tcW w:w="2280" w:type="dxa"/>
            <w:vAlign w:val="center"/>
          </w:tcPr>
          <w:p w14:paraId="59CDB64A" w14:textId="2F2B8872" w:rsidR="0047295A" w:rsidRPr="00A90090" w:rsidRDefault="00C7172E" w:rsidP="00562CBE">
            <w:pPr>
              <w:tabs>
                <w:tab w:val="left" w:pos="0"/>
              </w:tabs>
              <w:jc w:val="center"/>
              <w:rPr>
                <w:rFonts w:cs="Arial"/>
                <w:sz w:val="24"/>
                <w:szCs w:val="24"/>
              </w:rPr>
            </w:pPr>
            <w:r w:rsidRPr="00A90090">
              <w:rPr>
                <w:rFonts w:cs="Arial"/>
                <w:sz w:val="24"/>
                <w:szCs w:val="24"/>
              </w:rPr>
              <w:t>$ 3</w:t>
            </w:r>
            <w:r w:rsidR="00120F18">
              <w:rPr>
                <w:rFonts w:cs="Arial"/>
                <w:sz w:val="24"/>
                <w:szCs w:val="24"/>
              </w:rPr>
              <w:t>5,160</w:t>
            </w:r>
          </w:p>
        </w:tc>
        <w:tc>
          <w:tcPr>
            <w:tcW w:w="3840" w:type="dxa"/>
            <w:vAlign w:val="center"/>
          </w:tcPr>
          <w:p w14:paraId="43D71BE9" w14:textId="6E4DBC61" w:rsidR="0047295A" w:rsidRPr="00A90090" w:rsidRDefault="00E55FE4" w:rsidP="00562CBE">
            <w:pPr>
              <w:tabs>
                <w:tab w:val="left" w:pos="0"/>
              </w:tabs>
              <w:jc w:val="center"/>
              <w:rPr>
                <w:rFonts w:cs="Arial"/>
                <w:sz w:val="24"/>
                <w:szCs w:val="24"/>
              </w:rPr>
            </w:pPr>
            <w:r w:rsidRPr="00A90090">
              <w:rPr>
                <w:rFonts w:cs="Arial"/>
                <w:sz w:val="24"/>
                <w:szCs w:val="24"/>
              </w:rPr>
              <w:t>$</w:t>
            </w:r>
            <w:r w:rsidR="00C639A7">
              <w:rPr>
                <w:rFonts w:cs="Arial"/>
                <w:sz w:val="24"/>
                <w:szCs w:val="24"/>
              </w:rPr>
              <w:t xml:space="preserve"> </w:t>
            </w:r>
            <w:r w:rsidR="00120F18">
              <w:rPr>
                <w:rFonts w:cs="Arial"/>
                <w:sz w:val="24"/>
                <w:szCs w:val="24"/>
              </w:rPr>
              <w:t>40,434</w:t>
            </w:r>
            <w:r w:rsidR="00C639A7">
              <w:rPr>
                <w:rFonts w:cs="Arial"/>
                <w:sz w:val="24"/>
                <w:szCs w:val="24"/>
              </w:rPr>
              <w:t xml:space="preserve"> </w:t>
            </w:r>
            <w:r w:rsidRPr="00A90090">
              <w:rPr>
                <w:rFonts w:cs="Arial"/>
                <w:sz w:val="24"/>
                <w:szCs w:val="24"/>
              </w:rPr>
              <w:t xml:space="preserve"> </w:t>
            </w:r>
          </w:p>
        </w:tc>
      </w:tr>
      <w:tr w:rsidR="0047295A" w:rsidRPr="00A90090" w14:paraId="5B5071CE" w14:textId="77777777" w:rsidTr="00E55FE4">
        <w:tc>
          <w:tcPr>
            <w:tcW w:w="2808" w:type="dxa"/>
          </w:tcPr>
          <w:p w14:paraId="48FD7DE2" w14:textId="77777777" w:rsidR="0047295A" w:rsidRPr="00A90090" w:rsidRDefault="0047295A" w:rsidP="0047295A">
            <w:pPr>
              <w:tabs>
                <w:tab w:val="left" w:pos="0"/>
              </w:tabs>
              <w:jc w:val="center"/>
              <w:rPr>
                <w:rFonts w:cs="Arial"/>
                <w:sz w:val="24"/>
                <w:szCs w:val="24"/>
              </w:rPr>
            </w:pPr>
            <w:r w:rsidRPr="00A90090">
              <w:rPr>
                <w:rFonts w:cs="Arial"/>
                <w:sz w:val="24"/>
                <w:szCs w:val="24"/>
              </w:rPr>
              <w:t>7</w:t>
            </w:r>
          </w:p>
        </w:tc>
        <w:tc>
          <w:tcPr>
            <w:tcW w:w="2280" w:type="dxa"/>
            <w:vAlign w:val="center"/>
          </w:tcPr>
          <w:p w14:paraId="3FD330E7" w14:textId="62CB2DF0" w:rsidR="0047295A" w:rsidRPr="00A90090" w:rsidRDefault="00C7172E" w:rsidP="00562CBE">
            <w:pPr>
              <w:tabs>
                <w:tab w:val="left" w:pos="0"/>
              </w:tabs>
              <w:jc w:val="center"/>
              <w:rPr>
                <w:rFonts w:cs="Arial"/>
                <w:sz w:val="24"/>
                <w:szCs w:val="24"/>
              </w:rPr>
            </w:pPr>
            <w:r w:rsidRPr="00A90090">
              <w:rPr>
                <w:rFonts w:cs="Arial"/>
                <w:sz w:val="24"/>
                <w:szCs w:val="24"/>
              </w:rPr>
              <w:t>$ 3</w:t>
            </w:r>
            <w:r w:rsidR="00764F2F">
              <w:rPr>
                <w:rFonts w:cs="Arial"/>
                <w:sz w:val="24"/>
                <w:szCs w:val="24"/>
              </w:rPr>
              <w:t>9,</w:t>
            </w:r>
            <w:r w:rsidR="00120F18">
              <w:rPr>
                <w:rFonts w:cs="Arial"/>
                <w:sz w:val="24"/>
                <w:szCs w:val="24"/>
              </w:rPr>
              <w:t>640</w:t>
            </w:r>
          </w:p>
        </w:tc>
        <w:tc>
          <w:tcPr>
            <w:tcW w:w="3840" w:type="dxa"/>
            <w:vAlign w:val="center"/>
          </w:tcPr>
          <w:p w14:paraId="2407D3AE" w14:textId="09510BBB" w:rsidR="0047295A" w:rsidRPr="00A90090" w:rsidRDefault="00E55FE4" w:rsidP="00562CBE">
            <w:pPr>
              <w:tabs>
                <w:tab w:val="left" w:pos="0"/>
              </w:tabs>
              <w:jc w:val="center"/>
              <w:rPr>
                <w:rFonts w:cs="Arial"/>
                <w:sz w:val="24"/>
                <w:szCs w:val="24"/>
              </w:rPr>
            </w:pPr>
            <w:r w:rsidRPr="00A90090">
              <w:rPr>
                <w:rFonts w:cs="Arial"/>
                <w:sz w:val="24"/>
                <w:szCs w:val="24"/>
              </w:rPr>
              <w:t>$</w:t>
            </w:r>
            <w:r w:rsidR="00C639A7">
              <w:rPr>
                <w:rFonts w:cs="Arial"/>
                <w:sz w:val="24"/>
                <w:szCs w:val="24"/>
              </w:rPr>
              <w:t xml:space="preserve"> </w:t>
            </w:r>
            <w:r w:rsidR="00EC3A8E">
              <w:rPr>
                <w:rFonts w:cs="Arial"/>
                <w:sz w:val="24"/>
                <w:szCs w:val="24"/>
              </w:rPr>
              <w:t>4</w:t>
            </w:r>
            <w:r w:rsidR="00120F18">
              <w:rPr>
                <w:rFonts w:cs="Arial"/>
                <w:sz w:val="24"/>
                <w:szCs w:val="24"/>
              </w:rPr>
              <w:t>5,586</w:t>
            </w:r>
          </w:p>
        </w:tc>
      </w:tr>
      <w:tr w:rsidR="0047295A" w:rsidRPr="00A90090" w14:paraId="03ADF0AF" w14:textId="77777777" w:rsidTr="00E55FE4">
        <w:tc>
          <w:tcPr>
            <w:tcW w:w="2808" w:type="dxa"/>
          </w:tcPr>
          <w:p w14:paraId="382AE37F" w14:textId="77777777" w:rsidR="0047295A" w:rsidRPr="00A90090" w:rsidRDefault="0047295A" w:rsidP="0047295A">
            <w:pPr>
              <w:tabs>
                <w:tab w:val="left" w:pos="0"/>
              </w:tabs>
              <w:jc w:val="center"/>
              <w:rPr>
                <w:rFonts w:cs="Arial"/>
                <w:sz w:val="24"/>
                <w:szCs w:val="24"/>
              </w:rPr>
            </w:pPr>
            <w:r w:rsidRPr="00A90090">
              <w:rPr>
                <w:rFonts w:cs="Arial"/>
                <w:sz w:val="24"/>
                <w:szCs w:val="24"/>
              </w:rPr>
              <w:t>8</w:t>
            </w:r>
          </w:p>
        </w:tc>
        <w:tc>
          <w:tcPr>
            <w:tcW w:w="2280" w:type="dxa"/>
            <w:vAlign w:val="center"/>
          </w:tcPr>
          <w:p w14:paraId="60665C0C" w14:textId="582E506F" w:rsidR="0047295A" w:rsidRPr="00A90090" w:rsidRDefault="00C7172E" w:rsidP="00562CBE">
            <w:pPr>
              <w:tabs>
                <w:tab w:val="left" w:pos="0"/>
              </w:tabs>
              <w:jc w:val="center"/>
              <w:rPr>
                <w:rFonts w:cs="Arial"/>
                <w:sz w:val="24"/>
                <w:szCs w:val="24"/>
              </w:rPr>
            </w:pPr>
            <w:r w:rsidRPr="00A90090">
              <w:rPr>
                <w:rFonts w:cs="Arial"/>
                <w:sz w:val="24"/>
                <w:szCs w:val="24"/>
              </w:rPr>
              <w:t xml:space="preserve">$ </w:t>
            </w:r>
            <w:r w:rsidR="00E83AFF">
              <w:rPr>
                <w:rFonts w:cs="Arial"/>
                <w:sz w:val="24"/>
                <w:szCs w:val="24"/>
              </w:rPr>
              <w:t>4</w:t>
            </w:r>
            <w:r w:rsidR="00120F18">
              <w:rPr>
                <w:rFonts w:cs="Arial"/>
                <w:sz w:val="24"/>
                <w:szCs w:val="24"/>
              </w:rPr>
              <w:t>4,120</w:t>
            </w:r>
          </w:p>
        </w:tc>
        <w:tc>
          <w:tcPr>
            <w:tcW w:w="3840" w:type="dxa"/>
            <w:vAlign w:val="center"/>
          </w:tcPr>
          <w:p w14:paraId="51E61B30" w14:textId="1632E8D0" w:rsidR="0047295A" w:rsidRPr="00A90090" w:rsidRDefault="00E55FE4" w:rsidP="00562CBE">
            <w:pPr>
              <w:tabs>
                <w:tab w:val="left" w:pos="0"/>
              </w:tabs>
              <w:jc w:val="center"/>
              <w:rPr>
                <w:rFonts w:cs="Arial"/>
                <w:sz w:val="24"/>
                <w:szCs w:val="24"/>
              </w:rPr>
            </w:pPr>
            <w:r w:rsidRPr="00A90090">
              <w:rPr>
                <w:rFonts w:cs="Arial"/>
                <w:sz w:val="24"/>
                <w:szCs w:val="24"/>
              </w:rPr>
              <w:t>$</w:t>
            </w:r>
            <w:r w:rsidR="00C639A7">
              <w:rPr>
                <w:rFonts w:cs="Arial"/>
                <w:sz w:val="24"/>
                <w:szCs w:val="24"/>
              </w:rPr>
              <w:t xml:space="preserve"> </w:t>
            </w:r>
            <w:r w:rsidR="00120F18">
              <w:rPr>
                <w:rFonts w:cs="Arial"/>
                <w:sz w:val="24"/>
                <w:szCs w:val="24"/>
              </w:rPr>
              <w:t>50,738</w:t>
            </w:r>
          </w:p>
        </w:tc>
      </w:tr>
      <w:tr w:rsidR="0047295A" w:rsidRPr="00A90090" w14:paraId="66519EFE" w14:textId="77777777" w:rsidTr="00E55FE4">
        <w:tc>
          <w:tcPr>
            <w:tcW w:w="2808" w:type="dxa"/>
          </w:tcPr>
          <w:p w14:paraId="42F720CC" w14:textId="77777777" w:rsidR="0047295A" w:rsidRPr="00A90090" w:rsidRDefault="00EC744A" w:rsidP="00EC744A">
            <w:pPr>
              <w:tabs>
                <w:tab w:val="left" w:pos="0"/>
              </w:tabs>
              <w:rPr>
                <w:rFonts w:cs="Arial"/>
                <w:sz w:val="20"/>
                <w:szCs w:val="20"/>
              </w:rPr>
            </w:pPr>
            <w:r w:rsidRPr="00A90090">
              <w:rPr>
                <w:rFonts w:cs="Arial"/>
                <w:sz w:val="20"/>
                <w:szCs w:val="20"/>
              </w:rPr>
              <w:t>For e</w:t>
            </w:r>
            <w:r w:rsidR="0047295A" w:rsidRPr="00A90090">
              <w:rPr>
                <w:rFonts w:cs="Arial"/>
                <w:sz w:val="20"/>
                <w:szCs w:val="20"/>
              </w:rPr>
              <w:t xml:space="preserve">ach </w:t>
            </w:r>
            <w:r w:rsidRPr="00A90090">
              <w:rPr>
                <w:rFonts w:cs="Arial"/>
                <w:sz w:val="20"/>
                <w:szCs w:val="20"/>
              </w:rPr>
              <w:t>a</w:t>
            </w:r>
            <w:r w:rsidR="0047295A" w:rsidRPr="00A90090">
              <w:rPr>
                <w:rFonts w:cs="Arial"/>
                <w:sz w:val="20"/>
                <w:szCs w:val="20"/>
              </w:rPr>
              <w:t xml:space="preserve">dditional </w:t>
            </w:r>
            <w:r w:rsidRPr="00A90090">
              <w:rPr>
                <w:rFonts w:cs="Arial"/>
                <w:sz w:val="20"/>
                <w:szCs w:val="20"/>
              </w:rPr>
              <w:t>p</w:t>
            </w:r>
            <w:r w:rsidR="0047295A" w:rsidRPr="00A90090">
              <w:rPr>
                <w:rFonts w:cs="Arial"/>
                <w:sz w:val="20"/>
                <w:szCs w:val="20"/>
              </w:rPr>
              <w:t>erson</w:t>
            </w:r>
          </w:p>
        </w:tc>
        <w:tc>
          <w:tcPr>
            <w:tcW w:w="2280" w:type="dxa"/>
            <w:vAlign w:val="center"/>
          </w:tcPr>
          <w:p w14:paraId="1DB206EE" w14:textId="20ACAF42" w:rsidR="0047295A" w:rsidRPr="00A90090" w:rsidRDefault="00C7172E" w:rsidP="00562CBE">
            <w:pPr>
              <w:tabs>
                <w:tab w:val="left" w:pos="0"/>
              </w:tabs>
              <w:jc w:val="center"/>
              <w:rPr>
                <w:rFonts w:cs="Arial"/>
                <w:sz w:val="24"/>
                <w:szCs w:val="24"/>
              </w:rPr>
            </w:pPr>
            <w:r w:rsidRPr="00A90090">
              <w:rPr>
                <w:rFonts w:cs="Arial"/>
                <w:sz w:val="24"/>
                <w:szCs w:val="24"/>
              </w:rPr>
              <w:t>$ 4,</w:t>
            </w:r>
            <w:r w:rsidR="00764F2F">
              <w:rPr>
                <w:rFonts w:cs="Arial"/>
                <w:sz w:val="24"/>
                <w:szCs w:val="24"/>
              </w:rPr>
              <w:t>4</w:t>
            </w:r>
            <w:r w:rsidR="00120F18">
              <w:rPr>
                <w:rFonts w:cs="Arial"/>
                <w:sz w:val="24"/>
                <w:szCs w:val="24"/>
              </w:rPr>
              <w:t>80</w:t>
            </w:r>
          </w:p>
        </w:tc>
        <w:tc>
          <w:tcPr>
            <w:tcW w:w="3840" w:type="dxa"/>
            <w:vAlign w:val="center"/>
          </w:tcPr>
          <w:p w14:paraId="51C0A39D" w14:textId="7A7DBD8C" w:rsidR="0047295A" w:rsidRPr="00A90090" w:rsidRDefault="00E55FE4" w:rsidP="00562CBE">
            <w:pPr>
              <w:tabs>
                <w:tab w:val="left" w:pos="0"/>
              </w:tabs>
              <w:jc w:val="center"/>
              <w:rPr>
                <w:rFonts w:cs="Arial"/>
                <w:sz w:val="24"/>
                <w:szCs w:val="24"/>
              </w:rPr>
            </w:pPr>
            <w:r w:rsidRPr="00A90090">
              <w:rPr>
                <w:rFonts w:cs="Arial"/>
                <w:sz w:val="24"/>
                <w:szCs w:val="24"/>
              </w:rPr>
              <w:t>$</w:t>
            </w:r>
            <w:r w:rsidR="00C639A7">
              <w:rPr>
                <w:rFonts w:cs="Arial"/>
                <w:sz w:val="24"/>
                <w:szCs w:val="24"/>
              </w:rPr>
              <w:t xml:space="preserve"> </w:t>
            </w:r>
            <w:r w:rsidR="00AE5198">
              <w:rPr>
                <w:rFonts w:cs="Arial"/>
                <w:sz w:val="24"/>
                <w:szCs w:val="24"/>
              </w:rPr>
              <w:t>5,152</w:t>
            </w:r>
          </w:p>
        </w:tc>
      </w:tr>
    </w:tbl>
    <w:p w14:paraId="644D51C2" w14:textId="77777777" w:rsidR="00CF462B" w:rsidRPr="00A90090" w:rsidRDefault="00CF462B" w:rsidP="0059427A">
      <w:pPr>
        <w:tabs>
          <w:tab w:val="left" w:pos="0"/>
        </w:tabs>
        <w:rPr>
          <w:rFonts w:cs="Arial"/>
          <w:sz w:val="24"/>
          <w:szCs w:val="24"/>
        </w:rPr>
      </w:pPr>
    </w:p>
    <w:p w14:paraId="0546775E" w14:textId="7E9C310D" w:rsidR="00310ADC" w:rsidRDefault="00DA613B" w:rsidP="0059427A">
      <w:pPr>
        <w:tabs>
          <w:tab w:val="left" w:pos="0"/>
        </w:tabs>
        <w:rPr>
          <w:rFonts w:cs="Arial"/>
          <w:sz w:val="24"/>
          <w:szCs w:val="24"/>
        </w:rPr>
      </w:pPr>
      <w:r w:rsidRPr="009F138A">
        <w:rPr>
          <w:rFonts w:cs="Arial"/>
          <w:b/>
          <w:sz w:val="24"/>
          <w:szCs w:val="24"/>
        </w:rPr>
        <w:t>N</w:t>
      </w:r>
      <w:r w:rsidR="00E55FE4" w:rsidRPr="009F138A">
        <w:rPr>
          <w:rFonts w:cs="Arial"/>
          <w:b/>
          <w:sz w:val="24"/>
          <w:szCs w:val="24"/>
        </w:rPr>
        <w:t>OTE:</w:t>
      </w:r>
      <w:r w:rsidR="00E55FE4" w:rsidRPr="00A90090">
        <w:rPr>
          <w:rFonts w:cs="Arial"/>
          <w:sz w:val="24"/>
          <w:szCs w:val="24"/>
        </w:rPr>
        <w:t xml:space="preserve"> The </w:t>
      </w:r>
      <w:r w:rsidR="00455EC9" w:rsidRPr="00A90090">
        <w:rPr>
          <w:rFonts w:cs="Arial"/>
          <w:sz w:val="24"/>
          <w:szCs w:val="24"/>
        </w:rPr>
        <w:t xml:space="preserve">Poverty Guideline for Raisin Charter Township </w:t>
      </w:r>
      <w:r w:rsidR="002814BE">
        <w:rPr>
          <w:rFonts w:cs="Arial"/>
          <w:sz w:val="24"/>
          <w:szCs w:val="24"/>
        </w:rPr>
        <w:t xml:space="preserve">was adopted </w:t>
      </w:r>
      <w:r w:rsidR="00455EC9" w:rsidRPr="00A90090">
        <w:rPr>
          <w:rFonts w:cs="Arial"/>
          <w:sz w:val="24"/>
          <w:szCs w:val="24"/>
        </w:rPr>
        <w:t xml:space="preserve">on </w:t>
      </w:r>
      <w:r w:rsidR="00120F18">
        <w:rPr>
          <w:rFonts w:cs="Arial"/>
          <w:sz w:val="24"/>
          <w:szCs w:val="24"/>
        </w:rPr>
        <w:t>2</w:t>
      </w:r>
      <w:r w:rsidR="00EC3A8E">
        <w:rPr>
          <w:rFonts w:cs="Arial"/>
          <w:sz w:val="24"/>
          <w:szCs w:val="24"/>
        </w:rPr>
        <w:t>/9</w:t>
      </w:r>
      <w:r w:rsidR="00151BF2">
        <w:rPr>
          <w:rFonts w:cs="Arial"/>
          <w:sz w:val="24"/>
          <w:szCs w:val="24"/>
        </w:rPr>
        <w:t>/20</w:t>
      </w:r>
      <w:r w:rsidR="00971673">
        <w:rPr>
          <w:rFonts w:cs="Arial"/>
          <w:sz w:val="24"/>
          <w:szCs w:val="24"/>
        </w:rPr>
        <w:t>1</w:t>
      </w:r>
      <w:r w:rsidR="00151BF2">
        <w:rPr>
          <w:rFonts w:cs="Arial"/>
          <w:sz w:val="24"/>
          <w:szCs w:val="24"/>
        </w:rPr>
        <w:t>9</w:t>
      </w:r>
      <w:r w:rsidR="00455EC9" w:rsidRPr="00A90090">
        <w:rPr>
          <w:rFonts w:cs="Arial"/>
          <w:sz w:val="24"/>
          <w:szCs w:val="24"/>
        </w:rPr>
        <w:t xml:space="preserve">. The Township Board adopted a </w:t>
      </w:r>
      <w:r w:rsidR="00C639A7" w:rsidRPr="00C639A7">
        <w:rPr>
          <w:rFonts w:cs="Arial"/>
          <w:b/>
          <w:sz w:val="24"/>
          <w:szCs w:val="24"/>
        </w:rPr>
        <w:t>1</w:t>
      </w:r>
      <w:r w:rsidR="00455EC9" w:rsidRPr="00C639A7">
        <w:rPr>
          <w:rFonts w:cs="Arial"/>
          <w:b/>
          <w:sz w:val="24"/>
          <w:szCs w:val="24"/>
        </w:rPr>
        <w:t>5%</w:t>
      </w:r>
      <w:r w:rsidR="00455EC9" w:rsidRPr="00A90090">
        <w:rPr>
          <w:rFonts w:cs="Arial"/>
          <w:sz w:val="24"/>
          <w:szCs w:val="24"/>
        </w:rPr>
        <w:t xml:space="preserve"> increase above the Federal Poverty Guideline. </w:t>
      </w:r>
    </w:p>
    <w:p w14:paraId="7B5DF63C" w14:textId="77777777" w:rsidR="00A90090" w:rsidRDefault="00A90090" w:rsidP="0059427A">
      <w:pPr>
        <w:tabs>
          <w:tab w:val="left" w:pos="0"/>
        </w:tabs>
        <w:rPr>
          <w:rFonts w:cs="Arial"/>
          <w:sz w:val="24"/>
          <w:szCs w:val="24"/>
        </w:rPr>
      </w:pPr>
    </w:p>
    <w:p w14:paraId="5EBC58A0" w14:textId="77777777" w:rsidR="00A90090" w:rsidRDefault="00A90090" w:rsidP="0059427A">
      <w:pPr>
        <w:tabs>
          <w:tab w:val="left" w:pos="0"/>
        </w:tabs>
        <w:rPr>
          <w:rFonts w:cs="Arial"/>
          <w:sz w:val="24"/>
          <w:szCs w:val="24"/>
        </w:rPr>
      </w:pPr>
    </w:p>
    <w:p w14:paraId="7AA0E3A3" w14:textId="77777777" w:rsidR="006F14B3" w:rsidRDefault="006F14B3" w:rsidP="0059427A">
      <w:pPr>
        <w:tabs>
          <w:tab w:val="left" w:pos="0"/>
        </w:tabs>
        <w:rPr>
          <w:rFonts w:cs="Arial"/>
          <w:b/>
          <w:sz w:val="24"/>
          <w:szCs w:val="24"/>
        </w:rPr>
      </w:pPr>
    </w:p>
    <w:p w14:paraId="0949EB8A" w14:textId="77777777" w:rsidR="006F14B3" w:rsidRDefault="006F14B3" w:rsidP="0059427A">
      <w:pPr>
        <w:tabs>
          <w:tab w:val="left" w:pos="0"/>
        </w:tabs>
        <w:rPr>
          <w:rFonts w:cs="Arial"/>
          <w:b/>
          <w:sz w:val="24"/>
          <w:szCs w:val="24"/>
        </w:rPr>
      </w:pPr>
    </w:p>
    <w:p w14:paraId="73DDC267" w14:textId="77777777" w:rsidR="006F14B3" w:rsidRDefault="006F14B3" w:rsidP="0059427A">
      <w:pPr>
        <w:tabs>
          <w:tab w:val="left" w:pos="0"/>
        </w:tabs>
        <w:rPr>
          <w:rFonts w:cs="Arial"/>
          <w:b/>
          <w:sz w:val="24"/>
          <w:szCs w:val="24"/>
        </w:rPr>
      </w:pPr>
    </w:p>
    <w:p w14:paraId="1D77EF3E" w14:textId="77777777" w:rsidR="006F14B3" w:rsidRDefault="006F14B3" w:rsidP="0059427A">
      <w:pPr>
        <w:tabs>
          <w:tab w:val="left" w:pos="0"/>
        </w:tabs>
        <w:rPr>
          <w:rFonts w:cs="Arial"/>
          <w:b/>
          <w:sz w:val="24"/>
          <w:szCs w:val="24"/>
        </w:rPr>
      </w:pPr>
    </w:p>
    <w:p w14:paraId="1D21E0E3" w14:textId="77777777" w:rsidR="006F14B3" w:rsidRDefault="006F14B3" w:rsidP="0059427A">
      <w:pPr>
        <w:tabs>
          <w:tab w:val="left" w:pos="0"/>
        </w:tabs>
        <w:rPr>
          <w:rFonts w:cs="Arial"/>
          <w:b/>
          <w:sz w:val="24"/>
          <w:szCs w:val="24"/>
        </w:rPr>
      </w:pPr>
    </w:p>
    <w:p w14:paraId="37BD2341" w14:textId="77777777" w:rsidR="00A26789" w:rsidRPr="00A90090" w:rsidRDefault="00F4464D" w:rsidP="0059427A">
      <w:pPr>
        <w:tabs>
          <w:tab w:val="left" w:pos="0"/>
        </w:tabs>
        <w:rPr>
          <w:rFonts w:cs="Arial"/>
          <w:b/>
          <w:sz w:val="24"/>
          <w:szCs w:val="24"/>
          <w:u w:val="single"/>
        </w:rPr>
      </w:pPr>
      <w:r w:rsidRPr="00A90090">
        <w:rPr>
          <w:rFonts w:cs="Arial"/>
          <w:b/>
          <w:sz w:val="24"/>
          <w:szCs w:val="24"/>
        </w:rPr>
        <w:t>F.</w:t>
      </w:r>
      <w:r w:rsidR="00600CB4" w:rsidRPr="00A90090">
        <w:rPr>
          <w:rFonts w:cs="Arial"/>
          <w:b/>
          <w:sz w:val="24"/>
          <w:szCs w:val="24"/>
        </w:rPr>
        <w:t xml:space="preserve">  </w:t>
      </w:r>
      <w:r w:rsidRPr="00A90090">
        <w:rPr>
          <w:rFonts w:cs="Arial"/>
          <w:b/>
          <w:sz w:val="24"/>
          <w:szCs w:val="24"/>
          <w:u w:val="single"/>
        </w:rPr>
        <w:t>Asset Guidelines</w:t>
      </w:r>
    </w:p>
    <w:p w14:paraId="6DFE56B1" w14:textId="77777777" w:rsidR="00D17A1D" w:rsidRPr="00A90090" w:rsidRDefault="004A1574" w:rsidP="00D452C3">
      <w:pPr>
        <w:tabs>
          <w:tab w:val="left" w:pos="0"/>
        </w:tabs>
        <w:spacing w:line="276" w:lineRule="auto"/>
        <w:rPr>
          <w:rFonts w:cs="Arial"/>
          <w:sz w:val="24"/>
          <w:szCs w:val="24"/>
        </w:rPr>
      </w:pPr>
      <w:r w:rsidRPr="00A90090">
        <w:rPr>
          <w:rFonts w:cs="Arial"/>
          <w:sz w:val="24"/>
          <w:szCs w:val="24"/>
        </w:rPr>
        <w:t xml:space="preserve">As required by P.A. 390 of 1994, all guidelines for poverty exemptions as established by the governing body of the local assessing unit </w:t>
      </w:r>
      <w:r w:rsidR="00C66F1A" w:rsidRPr="00C66F1A">
        <w:rPr>
          <w:rFonts w:cs="Arial"/>
          <w:b/>
          <w:sz w:val="24"/>
          <w:szCs w:val="24"/>
        </w:rPr>
        <w:t>SHALL</w:t>
      </w:r>
      <w:r w:rsidRPr="00A90090">
        <w:rPr>
          <w:rFonts w:cs="Arial"/>
          <w:sz w:val="24"/>
          <w:szCs w:val="24"/>
        </w:rPr>
        <w:t xml:space="preserve"> also include an asset level test.  The following assets shall be considered when applying an asset test to determine qualification for</w:t>
      </w:r>
      <w:r w:rsidR="00C66F1A">
        <w:rPr>
          <w:rFonts w:cs="Arial"/>
          <w:sz w:val="24"/>
          <w:szCs w:val="24"/>
        </w:rPr>
        <w:t xml:space="preserve"> property </w:t>
      </w:r>
      <w:r w:rsidRPr="00A90090">
        <w:rPr>
          <w:rFonts w:cs="Arial"/>
          <w:sz w:val="24"/>
          <w:szCs w:val="24"/>
        </w:rPr>
        <w:t xml:space="preserve">tax </w:t>
      </w:r>
      <w:r w:rsidR="00C66F1A">
        <w:rPr>
          <w:rFonts w:cs="Arial"/>
          <w:sz w:val="24"/>
          <w:szCs w:val="24"/>
        </w:rPr>
        <w:t>relief</w:t>
      </w:r>
      <w:r w:rsidR="00817F11" w:rsidRPr="00A90090">
        <w:rPr>
          <w:rFonts w:cs="Arial"/>
          <w:sz w:val="24"/>
          <w:szCs w:val="24"/>
        </w:rPr>
        <w:t>:</w:t>
      </w:r>
    </w:p>
    <w:p w14:paraId="5150BB96" w14:textId="77777777" w:rsidR="00817F11" w:rsidRDefault="00817F11" w:rsidP="004035D0">
      <w:pPr>
        <w:tabs>
          <w:tab w:val="left" w:pos="0"/>
        </w:tabs>
        <w:spacing w:after="0"/>
        <w:rPr>
          <w:rFonts w:cs="Arial"/>
          <w:sz w:val="24"/>
          <w:szCs w:val="24"/>
        </w:rPr>
      </w:pPr>
      <w:r w:rsidRPr="00A90090">
        <w:rPr>
          <w:rFonts w:cs="Arial"/>
          <w:sz w:val="24"/>
          <w:szCs w:val="24"/>
        </w:rPr>
        <w:t xml:space="preserve">1.  </w:t>
      </w:r>
      <w:r w:rsidR="009E34BE" w:rsidRPr="00B477EC">
        <w:rPr>
          <w:rFonts w:cs="Arial"/>
          <w:sz w:val="24"/>
          <w:szCs w:val="24"/>
        </w:rPr>
        <w:t>T</w:t>
      </w:r>
      <w:r w:rsidRPr="00B477EC">
        <w:rPr>
          <w:rFonts w:cs="Arial"/>
          <w:sz w:val="24"/>
          <w:szCs w:val="24"/>
        </w:rPr>
        <w:t xml:space="preserve">he value of all </w:t>
      </w:r>
      <w:r w:rsidRPr="00D452C3">
        <w:rPr>
          <w:rFonts w:cs="Arial"/>
          <w:b/>
          <w:sz w:val="24"/>
          <w:szCs w:val="24"/>
        </w:rPr>
        <w:t>“liquid” assets</w:t>
      </w:r>
      <w:r w:rsidR="009E34BE" w:rsidRPr="00B477EC">
        <w:rPr>
          <w:rFonts w:cs="Arial"/>
          <w:sz w:val="24"/>
          <w:szCs w:val="24"/>
        </w:rPr>
        <w:t xml:space="preserve"> of the applicant </w:t>
      </w:r>
      <w:r w:rsidRPr="00B477EC">
        <w:rPr>
          <w:rFonts w:cs="Arial"/>
          <w:sz w:val="24"/>
          <w:szCs w:val="24"/>
        </w:rPr>
        <w:t xml:space="preserve">(excluding the value of the principal residence subject to the exemption request) shall not exceed </w:t>
      </w:r>
      <w:r w:rsidR="00C66F1A" w:rsidRPr="00D452C3">
        <w:rPr>
          <w:rFonts w:cs="Arial"/>
          <w:b/>
          <w:sz w:val="24"/>
          <w:szCs w:val="24"/>
        </w:rPr>
        <w:t>two (2)</w:t>
      </w:r>
      <w:r w:rsidRPr="00B477EC">
        <w:rPr>
          <w:rFonts w:cs="Arial"/>
          <w:sz w:val="24"/>
          <w:szCs w:val="24"/>
        </w:rPr>
        <w:t xml:space="preserve"> times the estimated annual property tax</w:t>
      </w:r>
      <w:r w:rsidR="00C66F1A" w:rsidRPr="00B477EC">
        <w:rPr>
          <w:rFonts w:cs="Arial"/>
          <w:sz w:val="24"/>
          <w:szCs w:val="24"/>
        </w:rPr>
        <w:t xml:space="preserve"> obligation of the current assessment.</w:t>
      </w:r>
      <w:r w:rsidR="00D452C3">
        <w:rPr>
          <w:rFonts w:cs="Arial"/>
          <w:sz w:val="24"/>
          <w:szCs w:val="24"/>
        </w:rPr>
        <w:t xml:space="preserve"> </w:t>
      </w:r>
    </w:p>
    <w:p w14:paraId="213949ED" w14:textId="77777777" w:rsidR="00817F11" w:rsidRDefault="00817F11" w:rsidP="001B040D">
      <w:pPr>
        <w:tabs>
          <w:tab w:val="left" w:pos="0"/>
        </w:tabs>
        <w:spacing w:before="240"/>
        <w:rPr>
          <w:rFonts w:cs="Arial"/>
          <w:sz w:val="24"/>
          <w:szCs w:val="24"/>
        </w:rPr>
      </w:pPr>
      <w:r w:rsidRPr="00A90090">
        <w:rPr>
          <w:rFonts w:cs="Arial"/>
          <w:sz w:val="24"/>
          <w:szCs w:val="24"/>
        </w:rPr>
        <w:t xml:space="preserve">Examples of “liquid” assets may include, but is not limited to, the cash value of life insurance policies, pensions, IRA’s mutual funds, </w:t>
      </w:r>
      <w:proofErr w:type="gramStart"/>
      <w:r w:rsidRPr="00A90090">
        <w:rPr>
          <w:rFonts w:cs="Arial"/>
          <w:sz w:val="24"/>
          <w:szCs w:val="24"/>
        </w:rPr>
        <w:t>bonds</w:t>
      </w:r>
      <w:proofErr w:type="gramEnd"/>
      <w:r w:rsidRPr="00A90090">
        <w:rPr>
          <w:rFonts w:cs="Arial"/>
          <w:sz w:val="24"/>
          <w:szCs w:val="24"/>
        </w:rPr>
        <w:t xml:space="preserve"> or stocks as well as money market accounts, savings accounts, or checking accounts.</w:t>
      </w:r>
    </w:p>
    <w:p w14:paraId="2DD5DA2C" w14:textId="77777777" w:rsidR="00D17A1D" w:rsidRPr="00A90090" w:rsidRDefault="00D17A1D" w:rsidP="0059427A">
      <w:pPr>
        <w:tabs>
          <w:tab w:val="left" w:pos="0"/>
        </w:tabs>
        <w:rPr>
          <w:rFonts w:cs="Arial"/>
          <w:sz w:val="24"/>
          <w:szCs w:val="24"/>
        </w:rPr>
      </w:pPr>
    </w:p>
    <w:p w14:paraId="001F91FF" w14:textId="77777777" w:rsidR="00D452C3" w:rsidRDefault="009E34BE" w:rsidP="00D452C3">
      <w:pPr>
        <w:tabs>
          <w:tab w:val="left" w:pos="0"/>
        </w:tabs>
        <w:rPr>
          <w:rFonts w:cs="Arial"/>
          <w:sz w:val="24"/>
          <w:szCs w:val="24"/>
        </w:rPr>
      </w:pPr>
      <w:r w:rsidRPr="00A90090">
        <w:rPr>
          <w:rFonts w:cs="Arial"/>
          <w:sz w:val="24"/>
          <w:szCs w:val="24"/>
        </w:rPr>
        <w:t xml:space="preserve">2.  </w:t>
      </w:r>
      <w:r w:rsidRPr="00D452C3">
        <w:rPr>
          <w:rFonts w:cs="Arial"/>
          <w:sz w:val="24"/>
          <w:szCs w:val="24"/>
        </w:rPr>
        <w:t xml:space="preserve">The value of the </w:t>
      </w:r>
      <w:r w:rsidRPr="00D452C3">
        <w:rPr>
          <w:rFonts w:cs="Arial"/>
          <w:b/>
          <w:sz w:val="24"/>
          <w:szCs w:val="24"/>
        </w:rPr>
        <w:t>total assets</w:t>
      </w:r>
      <w:r w:rsidRPr="00D452C3">
        <w:rPr>
          <w:rFonts w:cs="Arial"/>
          <w:sz w:val="24"/>
          <w:szCs w:val="24"/>
        </w:rPr>
        <w:t xml:space="preserve"> of the applicant (excluding the value of the principal residence subject to the exemption request) </w:t>
      </w:r>
      <w:r w:rsidR="00D26B06" w:rsidRPr="00D452C3">
        <w:rPr>
          <w:rFonts w:cs="Arial"/>
          <w:sz w:val="24"/>
          <w:szCs w:val="24"/>
        </w:rPr>
        <w:t>shall not exceed</w:t>
      </w:r>
      <w:r w:rsidR="00B477EC" w:rsidRPr="00D452C3">
        <w:rPr>
          <w:rFonts w:cs="Arial"/>
          <w:sz w:val="24"/>
          <w:szCs w:val="24"/>
        </w:rPr>
        <w:t xml:space="preserve"> </w:t>
      </w:r>
      <w:r w:rsidR="00B477EC" w:rsidRPr="00D452C3">
        <w:rPr>
          <w:rFonts w:cs="Arial"/>
          <w:b/>
          <w:sz w:val="24"/>
          <w:szCs w:val="24"/>
        </w:rPr>
        <w:t>ten (10)</w:t>
      </w:r>
      <w:r w:rsidR="00B477EC" w:rsidRPr="00D452C3">
        <w:rPr>
          <w:rFonts w:cs="Arial"/>
          <w:sz w:val="24"/>
          <w:szCs w:val="24"/>
        </w:rPr>
        <w:t xml:space="preserve"> times the estimated annual property tax obligation of the current assessment.</w:t>
      </w:r>
      <w:r w:rsidR="00D452C3">
        <w:rPr>
          <w:rFonts w:cs="Arial"/>
          <w:sz w:val="24"/>
          <w:szCs w:val="24"/>
        </w:rPr>
        <w:t xml:space="preserve">  </w:t>
      </w:r>
    </w:p>
    <w:p w14:paraId="5630861A" w14:textId="77777777" w:rsidR="00B477EC" w:rsidRDefault="00D452C3" w:rsidP="00C37784">
      <w:pPr>
        <w:tabs>
          <w:tab w:val="left" w:pos="0"/>
        </w:tabs>
        <w:spacing w:before="240"/>
        <w:rPr>
          <w:rFonts w:cs="Arial"/>
          <w:b/>
          <w:sz w:val="24"/>
          <w:szCs w:val="24"/>
        </w:rPr>
      </w:pPr>
      <w:r w:rsidRPr="00A90090">
        <w:rPr>
          <w:rFonts w:cs="Arial"/>
          <w:b/>
          <w:sz w:val="24"/>
          <w:szCs w:val="24"/>
        </w:rPr>
        <w:t>NOTE: A land footprint of more than 3 acres will be considered an asset.</w:t>
      </w:r>
    </w:p>
    <w:p w14:paraId="1E958291" w14:textId="77777777" w:rsidR="00D452C3" w:rsidRDefault="009E34BE" w:rsidP="001B040D">
      <w:pPr>
        <w:tabs>
          <w:tab w:val="left" w:pos="0"/>
        </w:tabs>
        <w:spacing w:before="240"/>
        <w:rPr>
          <w:rFonts w:cs="Arial"/>
          <w:sz w:val="24"/>
          <w:szCs w:val="24"/>
        </w:rPr>
      </w:pPr>
      <w:r w:rsidRPr="00A90090">
        <w:rPr>
          <w:rFonts w:cs="Arial"/>
          <w:sz w:val="24"/>
          <w:szCs w:val="24"/>
        </w:rPr>
        <w:t xml:space="preserve">Total assets may include, but is not limited to, cars, </w:t>
      </w:r>
      <w:r w:rsidR="00D452C3">
        <w:rPr>
          <w:rFonts w:cs="Arial"/>
          <w:sz w:val="24"/>
          <w:szCs w:val="24"/>
        </w:rPr>
        <w:t>recreational vehicles*</w:t>
      </w:r>
      <w:r w:rsidRPr="00A90090">
        <w:rPr>
          <w:rFonts w:cs="Arial"/>
          <w:sz w:val="24"/>
          <w:szCs w:val="24"/>
        </w:rPr>
        <w:t>, real estate that is not the homestead (including rental properties and vacant properties), and</w:t>
      </w:r>
      <w:r w:rsidR="00D452C3">
        <w:rPr>
          <w:rFonts w:cs="Arial"/>
          <w:sz w:val="24"/>
          <w:szCs w:val="24"/>
        </w:rPr>
        <w:t xml:space="preserve"> other personal property of value. </w:t>
      </w:r>
    </w:p>
    <w:p w14:paraId="68BEC4D9" w14:textId="77777777" w:rsidR="009E34BE" w:rsidRPr="00A90090" w:rsidRDefault="00D452C3" w:rsidP="00C37784">
      <w:pPr>
        <w:tabs>
          <w:tab w:val="left" w:pos="0"/>
        </w:tabs>
        <w:spacing w:after="0"/>
        <w:rPr>
          <w:rFonts w:cs="Arial"/>
          <w:sz w:val="24"/>
          <w:szCs w:val="24"/>
        </w:rPr>
      </w:pPr>
      <w:r>
        <w:rPr>
          <w:rFonts w:cs="Arial"/>
          <w:sz w:val="24"/>
          <w:szCs w:val="24"/>
        </w:rPr>
        <w:t xml:space="preserve">*note: </w:t>
      </w:r>
      <w:r w:rsidR="004035D0">
        <w:rPr>
          <w:rFonts w:cs="Arial"/>
          <w:sz w:val="24"/>
          <w:szCs w:val="24"/>
        </w:rPr>
        <w:t>Recreational vehicles may include snowmobiles, boats, camping or travel trailers, motor home, jet ski, motorcycles, ORV’s, or anything which may be considered a recreational vehicle.</w:t>
      </w:r>
      <w:r w:rsidR="009E34BE" w:rsidRPr="00A90090">
        <w:rPr>
          <w:rFonts w:cs="Arial"/>
          <w:sz w:val="24"/>
          <w:szCs w:val="24"/>
        </w:rPr>
        <w:t xml:space="preserve"> </w:t>
      </w:r>
    </w:p>
    <w:p w14:paraId="7992A04E" w14:textId="77777777" w:rsidR="00D17A1D" w:rsidRPr="00A90090" w:rsidRDefault="00D17A1D" w:rsidP="0059427A">
      <w:pPr>
        <w:tabs>
          <w:tab w:val="left" w:pos="0"/>
        </w:tabs>
        <w:rPr>
          <w:rFonts w:cs="Arial"/>
          <w:b/>
          <w:sz w:val="24"/>
          <w:szCs w:val="24"/>
        </w:rPr>
      </w:pPr>
    </w:p>
    <w:p w14:paraId="091CCA9F" w14:textId="77777777" w:rsidR="000422D8" w:rsidRDefault="000422D8" w:rsidP="0059427A">
      <w:pPr>
        <w:tabs>
          <w:tab w:val="left" w:pos="0"/>
        </w:tabs>
        <w:rPr>
          <w:rFonts w:cs="Arial"/>
          <w:sz w:val="24"/>
          <w:szCs w:val="24"/>
        </w:rPr>
      </w:pPr>
      <w:r w:rsidRPr="00A90090">
        <w:rPr>
          <w:rFonts w:cs="Arial"/>
          <w:sz w:val="24"/>
          <w:szCs w:val="24"/>
        </w:rPr>
        <w:t xml:space="preserve">All asset information, as requested in the </w:t>
      </w:r>
      <w:r w:rsidRPr="009A32FD">
        <w:rPr>
          <w:rFonts w:cs="Arial"/>
          <w:b/>
          <w:sz w:val="24"/>
          <w:szCs w:val="24"/>
        </w:rPr>
        <w:t>Application for Property Tax Relief</w:t>
      </w:r>
      <w:r w:rsidR="004365C0" w:rsidRPr="00A90090">
        <w:rPr>
          <w:rFonts w:cs="Arial"/>
          <w:sz w:val="24"/>
          <w:szCs w:val="24"/>
        </w:rPr>
        <w:t xml:space="preserve"> </w:t>
      </w:r>
      <w:r w:rsidRPr="00A90090">
        <w:rPr>
          <w:rFonts w:cs="Arial"/>
          <w:sz w:val="24"/>
          <w:szCs w:val="24"/>
        </w:rPr>
        <w:t xml:space="preserve">must be completed in total.  The Board of Review may request additional information and verification of assets if they determine it to be necessary and </w:t>
      </w:r>
      <w:r w:rsidRPr="00ED265E">
        <w:rPr>
          <w:rFonts w:cs="Arial"/>
          <w:sz w:val="24"/>
          <w:szCs w:val="24"/>
        </w:rPr>
        <w:t>may reject</w:t>
      </w:r>
      <w:r w:rsidRPr="00A90090">
        <w:rPr>
          <w:rFonts w:cs="Arial"/>
          <w:sz w:val="24"/>
          <w:szCs w:val="24"/>
        </w:rPr>
        <w:t xml:space="preserve"> any application if assets are not properly identified.</w:t>
      </w:r>
    </w:p>
    <w:p w14:paraId="3095FA06" w14:textId="77777777" w:rsidR="00A90090" w:rsidRPr="00A90090" w:rsidRDefault="00A90090" w:rsidP="0059427A">
      <w:pPr>
        <w:tabs>
          <w:tab w:val="left" w:pos="0"/>
        </w:tabs>
        <w:rPr>
          <w:rFonts w:cs="Arial"/>
          <w:sz w:val="24"/>
          <w:szCs w:val="24"/>
        </w:rPr>
      </w:pPr>
    </w:p>
    <w:p w14:paraId="04A57DDE" w14:textId="77777777" w:rsidR="000422D8" w:rsidRPr="00A90090" w:rsidRDefault="000422D8" w:rsidP="0059427A">
      <w:pPr>
        <w:tabs>
          <w:tab w:val="left" w:pos="0"/>
        </w:tabs>
        <w:rPr>
          <w:rFonts w:cs="Arial"/>
          <w:b/>
          <w:sz w:val="24"/>
          <w:szCs w:val="24"/>
          <w:u w:val="single"/>
        </w:rPr>
      </w:pPr>
      <w:r w:rsidRPr="00A90090">
        <w:rPr>
          <w:rFonts w:cs="Arial"/>
          <w:b/>
          <w:sz w:val="24"/>
          <w:szCs w:val="24"/>
        </w:rPr>
        <w:t xml:space="preserve">G.  </w:t>
      </w:r>
      <w:r w:rsidRPr="00A90090">
        <w:rPr>
          <w:rFonts w:cs="Arial"/>
          <w:b/>
          <w:sz w:val="24"/>
          <w:szCs w:val="24"/>
          <w:u w:val="single"/>
        </w:rPr>
        <w:t>Summary</w:t>
      </w:r>
    </w:p>
    <w:p w14:paraId="5BDA5E47" w14:textId="77777777" w:rsidR="000422D8" w:rsidRPr="00A90090" w:rsidRDefault="00795B23" w:rsidP="0059427A">
      <w:pPr>
        <w:tabs>
          <w:tab w:val="left" w:pos="0"/>
        </w:tabs>
        <w:rPr>
          <w:rFonts w:cs="Arial"/>
          <w:sz w:val="24"/>
          <w:szCs w:val="24"/>
        </w:rPr>
      </w:pPr>
      <w:r w:rsidRPr="00A90090">
        <w:rPr>
          <w:rFonts w:cs="Arial"/>
          <w:sz w:val="24"/>
          <w:szCs w:val="24"/>
        </w:rPr>
        <w:t>In conclusion, the Board of Review and the Township Supervisor by vote has been given exclusive jurisdiction over the granting of property tax relief due to financial hardship.  The Board of Review and the Township Supervisor for Raisin Charter Township takes this task seriously and attempts to provide relief to all deserving residents within the Township.</w:t>
      </w:r>
    </w:p>
    <w:p w14:paraId="635F9F36" w14:textId="77777777" w:rsidR="00600CB4" w:rsidRPr="00A90090" w:rsidRDefault="00795B23" w:rsidP="0059427A">
      <w:pPr>
        <w:tabs>
          <w:tab w:val="left" w:pos="0"/>
        </w:tabs>
        <w:rPr>
          <w:rFonts w:cs="Arial"/>
          <w:sz w:val="24"/>
          <w:szCs w:val="24"/>
        </w:rPr>
      </w:pPr>
      <w:r w:rsidRPr="00A90090">
        <w:rPr>
          <w:rFonts w:cs="Arial"/>
          <w:sz w:val="24"/>
          <w:szCs w:val="24"/>
        </w:rPr>
        <w:t>The estimated property tax liability will be determined for the applicable tax year and the estimated State homestead credit for each applicant.  The exemption shall not exceed the tax liability minus the homestead credit refund.  (Example: if the tax liability is $1,000 and the homestead credit is $300, the exemption shall not exceed $700.)</w:t>
      </w:r>
    </w:p>
    <w:p w14:paraId="4D5E3985" w14:textId="77F1B87B" w:rsidR="00FA6DB3" w:rsidRPr="00A90090" w:rsidRDefault="00795B23" w:rsidP="00975E17">
      <w:pPr>
        <w:tabs>
          <w:tab w:val="left" w:pos="0"/>
        </w:tabs>
        <w:rPr>
          <w:rFonts w:cs="Arial"/>
          <w:b/>
          <w:sz w:val="24"/>
          <w:szCs w:val="24"/>
        </w:rPr>
      </w:pPr>
      <w:r w:rsidRPr="00A90090">
        <w:rPr>
          <w:rFonts w:cs="Arial"/>
          <w:b/>
          <w:sz w:val="24"/>
          <w:szCs w:val="24"/>
        </w:rPr>
        <w:lastRenderedPageBreak/>
        <w:t>The Board of Review and the Township Supervisor may deny any appeal, and/or regardless of income, and/or if the financial hardship appears to be self-created by the actions of the person or persons making the application.</w:t>
      </w:r>
      <w:r w:rsidR="0038576F">
        <w:rPr>
          <w:rFonts w:cs="Arial"/>
          <w:b/>
          <w:sz w:val="24"/>
          <w:szCs w:val="24"/>
        </w:rPr>
        <w:t xml:space="preserve">  </w:t>
      </w:r>
      <w:r w:rsidRPr="00A90090">
        <w:rPr>
          <w:rFonts w:cs="Arial"/>
          <w:b/>
          <w:sz w:val="24"/>
          <w:szCs w:val="24"/>
        </w:rPr>
        <w:t xml:space="preserve">The Board of Review reserves the right to modify these </w:t>
      </w:r>
      <w:proofErr w:type="gramStart"/>
      <w:r w:rsidRPr="00A90090">
        <w:rPr>
          <w:rFonts w:cs="Arial"/>
          <w:b/>
          <w:sz w:val="24"/>
          <w:szCs w:val="24"/>
        </w:rPr>
        <w:t>guidelines</w:t>
      </w:r>
      <w:proofErr w:type="gramEnd"/>
      <w:r w:rsidRPr="00A90090">
        <w:rPr>
          <w:rFonts w:cs="Arial"/>
          <w:b/>
          <w:sz w:val="24"/>
          <w:szCs w:val="24"/>
        </w:rPr>
        <w:t xml:space="preserve"> as necessary.</w:t>
      </w:r>
    </w:p>
    <w:sectPr w:rsidR="00FA6DB3" w:rsidRPr="00A90090" w:rsidSect="00562CBE">
      <w:headerReference w:type="even" r:id="rId8"/>
      <w:headerReference w:type="default" r:id="rId9"/>
      <w:footerReference w:type="even" r:id="rId10"/>
      <w:footerReference w:type="default" r:id="rId11"/>
      <w:headerReference w:type="first" r:id="rId12"/>
      <w:footerReference w:type="first" r:id="rId13"/>
      <w:pgSz w:w="12240" w:h="15840" w:code="1"/>
      <w:pgMar w:top="720" w:right="1440" w:bottom="72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8C5481" w14:textId="77777777" w:rsidR="004050C6" w:rsidRDefault="004050C6" w:rsidP="00975E17">
      <w:pPr>
        <w:spacing w:after="0"/>
      </w:pPr>
      <w:r>
        <w:separator/>
      </w:r>
    </w:p>
  </w:endnote>
  <w:endnote w:type="continuationSeparator" w:id="0">
    <w:p w14:paraId="75A4A0B3" w14:textId="77777777" w:rsidR="004050C6" w:rsidRDefault="004050C6" w:rsidP="00975E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E9821" w14:textId="77777777" w:rsidR="00A90EDD" w:rsidRDefault="00A90E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8986451"/>
      <w:docPartObj>
        <w:docPartGallery w:val="Page Numbers (Bottom of Page)"/>
        <w:docPartUnique/>
      </w:docPartObj>
    </w:sdtPr>
    <w:sdtEndPr>
      <w:rPr>
        <w:noProof/>
      </w:rPr>
    </w:sdtEndPr>
    <w:sdtContent>
      <w:p w14:paraId="15CAA56A" w14:textId="77777777" w:rsidR="002814BE" w:rsidRDefault="002814BE">
        <w:pPr>
          <w:pStyle w:val="Footer"/>
          <w:jc w:val="right"/>
        </w:pPr>
        <w:r>
          <w:fldChar w:fldCharType="begin"/>
        </w:r>
        <w:r>
          <w:instrText xml:space="preserve"> PAGE   \* MERGEFORMAT </w:instrText>
        </w:r>
        <w:r>
          <w:fldChar w:fldCharType="separate"/>
        </w:r>
        <w:r w:rsidR="005744BF">
          <w:rPr>
            <w:noProof/>
          </w:rPr>
          <w:t>3</w:t>
        </w:r>
        <w:r>
          <w:rPr>
            <w:noProof/>
          </w:rPr>
          <w:fldChar w:fldCharType="end"/>
        </w:r>
      </w:p>
    </w:sdtContent>
  </w:sdt>
  <w:p w14:paraId="1A388B56" w14:textId="77777777" w:rsidR="005F0EF2" w:rsidRDefault="005F0E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EE015" w14:textId="77777777" w:rsidR="00A90EDD" w:rsidRDefault="00A90E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EA07D" w14:textId="77777777" w:rsidR="004050C6" w:rsidRDefault="004050C6" w:rsidP="00975E17">
      <w:pPr>
        <w:spacing w:after="0"/>
      </w:pPr>
      <w:r>
        <w:separator/>
      </w:r>
    </w:p>
  </w:footnote>
  <w:footnote w:type="continuationSeparator" w:id="0">
    <w:p w14:paraId="5D62C431" w14:textId="77777777" w:rsidR="004050C6" w:rsidRDefault="004050C6" w:rsidP="00975E1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BF90A" w14:textId="1BF47645" w:rsidR="00A90EDD" w:rsidRDefault="00A90E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341DF" w14:textId="0C6A064B" w:rsidR="00A90EDD" w:rsidRDefault="00A90E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90AB0" w14:textId="236605AD" w:rsidR="00A90EDD" w:rsidRDefault="00A90E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C0C88"/>
    <w:multiLevelType w:val="hybridMultilevel"/>
    <w:tmpl w:val="EFA40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D536D"/>
    <w:multiLevelType w:val="hybridMultilevel"/>
    <w:tmpl w:val="8A488B54"/>
    <w:lvl w:ilvl="0" w:tplc="7360C1B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D6CF3"/>
    <w:multiLevelType w:val="hybridMultilevel"/>
    <w:tmpl w:val="D966D718"/>
    <w:lvl w:ilvl="0" w:tplc="AA040AD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653717"/>
    <w:multiLevelType w:val="hybridMultilevel"/>
    <w:tmpl w:val="3EC0C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327D8C"/>
    <w:multiLevelType w:val="hybridMultilevel"/>
    <w:tmpl w:val="A308F6F2"/>
    <w:lvl w:ilvl="0" w:tplc="7360C1B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8B19A3"/>
    <w:multiLevelType w:val="hybridMultilevel"/>
    <w:tmpl w:val="BE3EE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44F"/>
    <w:rsid w:val="00005486"/>
    <w:rsid w:val="00023EB5"/>
    <w:rsid w:val="00024B9E"/>
    <w:rsid w:val="00030741"/>
    <w:rsid w:val="000422D8"/>
    <w:rsid w:val="00073F98"/>
    <w:rsid w:val="00075381"/>
    <w:rsid w:val="00081C48"/>
    <w:rsid w:val="000875E2"/>
    <w:rsid w:val="00092255"/>
    <w:rsid w:val="000A1391"/>
    <w:rsid w:val="000A1C27"/>
    <w:rsid w:val="000A28FA"/>
    <w:rsid w:val="000B2610"/>
    <w:rsid w:val="000F58AB"/>
    <w:rsid w:val="0011320C"/>
    <w:rsid w:val="00117D28"/>
    <w:rsid w:val="00120F18"/>
    <w:rsid w:val="00151BF2"/>
    <w:rsid w:val="0017451F"/>
    <w:rsid w:val="00174CCC"/>
    <w:rsid w:val="001B040D"/>
    <w:rsid w:val="001B443A"/>
    <w:rsid w:val="001B451E"/>
    <w:rsid w:val="001E3E5F"/>
    <w:rsid w:val="001E5210"/>
    <w:rsid w:val="001F643F"/>
    <w:rsid w:val="0020081F"/>
    <w:rsid w:val="002106DA"/>
    <w:rsid w:val="0023209F"/>
    <w:rsid w:val="002339BB"/>
    <w:rsid w:val="00237337"/>
    <w:rsid w:val="002443C3"/>
    <w:rsid w:val="002511AD"/>
    <w:rsid w:val="0027255F"/>
    <w:rsid w:val="002814BE"/>
    <w:rsid w:val="0029325F"/>
    <w:rsid w:val="002B0D5D"/>
    <w:rsid w:val="002F6A03"/>
    <w:rsid w:val="00310ADC"/>
    <w:rsid w:val="0031798E"/>
    <w:rsid w:val="00333A3A"/>
    <w:rsid w:val="003343B5"/>
    <w:rsid w:val="003405FB"/>
    <w:rsid w:val="0037680E"/>
    <w:rsid w:val="0038421A"/>
    <w:rsid w:val="003843BC"/>
    <w:rsid w:val="0038576F"/>
    <w:rsid w:val="003933CB"/>
    <w:rsid w:val="003A6C0C"/>
    <w:rsid w:val="003C1F0D"/>
    <w:rsid w:val="003D60C4"/>
    <w:rsid w:val="003F34DC"/>
    <w:rsid w:val="003F405A"/>
    <w:rsid w:val="003F494F"/>
    <w:rsid w:val="004035D0"/>
    <w:rsid w:val="00404424"/>
    <w:rsid w:val="004050C6"/>
    <w:rsid w:val="004053D3"/>
    <w:rsid w:val="00434926"/>
    <w:rsid w:val="00434FE2"/>
    <w:rsid w:val="00435704"/>
    <w:rsid w:val="004365C0"/>
    <w:rsid w:val="00441107"/>
    <w:rsid w:val="00446F00"/>
    <w:rsid w:val="004518DA"/>
    <w:rsid w:val="0045209D"/>
    <w:rsid w:val="00455EC9"/>
    <w:rsid w:val="0047295A"/>
    <w:rsid w:val="00473D40"/>
    <w:rsid w:val="00481855"/>
    <w:rsid w:val="004905D5"/>
    <w:rsid w:val="004966E0"/>
    <w:rsid w:val="004A1574"/>
    <w:rsid w:val="004A61F7"/>
    <w:rsid w:val="004B3751"/>
    <w:rsid w:val="004E1892"/>
    <w:rsid w:val="004F17AE"/>
    <w:rsid w:val="004F5CEE"/>
    <w:rsid w:val="005055CA"/>
    <w:rsid w:val="0052662B"/>
    <w:rsid w:val="00530A75"/>
    <w:rsid w:val="005346A2"/>
    <w:rsid w:val="00536403"/>
    <w:rsid w:val="00542D90"/>
    <w:rsid w:val="00560566"/>
    <w:rsid w:val="00562CBE"/>
    <w:rsid w:val="005721EC"/>
    <w:rsid w:val="005744BF"/>
    <w:rsid w:val="0059199D"/>
    <w:rsid w:val="0059427A"/>
    <w:rsid w:val="005A739E"/>
    <w:rsid w:val="005A7FDF"/>
    <w:rsid w:val="005C4C98"/>
    <w:rsid w:val="005D250C"/>
    <w:rsid w:val="005E1AEB"/>
    <w:rsid w:val="005F0EF2"/>
    <w:rsid w:val="005F144F"/>
    <w:rsid w:val="005F4EEF"/>
    <w:rsid w:val="005F7D09"/>
    <w:rsid w:val="00600CB4"/>
    <w:rsid w:val="00642874"/>
    <w:rsid w:val="00645B3F"/>
    <w:rsid w:val="00654196"/>
    <w:rsid w:val="00674F9E"/>
    <w:rsid w:val="006A3A01"/>
    <w:rsid w:val="006C1BCE"/>
    <w:rsid w:val="006E7229"/>
    <w:rsid w:val="006F14B3"/>
    <w:rsid w:val="00713E2D"/>
    <w:rsid w:val="007237CD"/>
    <w:rsid w:val="00732447"/>
    <w:rsid w:val="00733902"/>
    <w:rsid w:val="00751665"/>
    <w:rsid w:val="00761A9A"/>
    <w:rsid w:val="00764F2F"/>
    <w:rsid w:val="00795B23"/>
    <w:rsid w:val="007B6E05"/>
    <w:rsid w:val="007C1FC5"/>
    <w:rsid w:val="007C41DB"/>
    <w:rsid w:val="007D7821"/>
    <w:rsid w:val="007E140C"/>
    <w:rsid w:val="007E6866"/>
    <w:rsid w:val="007E695E"/>
    <w:rsid w:val="007F6E81"/>
    <w:rsid w:val="007F7720"/>
    <w:rsid w:val="00817F11"/>
    <w:rsid w:val="008403FD"/>
    <w:rsid w:val="00887564"/>
    <w:rsid w:val="008A166F"/>
    <w:rsid w:val="008A5137"/>
    <w:rsid w:val="008A7CB7"/>
    <w:rsid w:val="008C609A"/>
    <w:rsid w:val="008F697C"/>
    <w:rsid w:val="00903E11"/>
    <w:rsid w:val="00921087"/>
    <w:rsid w:val="00934519"/>
    <w:rsid w:val="00944CDB"/>
    <w:rsid w:val="00945AA0"/>
    <w:rsid w:val="00952CBE"/>
    <w:rsid w:val="009636CB"/>
    <w:rsid w:val="0096672E"/>
    <w:rsid w:val="00970CC2"/>
    <w:rsid w:val="00971673"/>
    <w:rsid w:val="00973889"/>
    <w:rsid w:val="00975E17"/>
    <w:rsid w:val="00991016"/>
    <w:rsid w:val="009A042C"/>
    <w:rsid w:val="009A32FD"/>
    <w:rsid w:val="009A3FEF"/>
    <w:rsid w:val="009E18AD"/>
    <w:rsid w:val="009E34BE"/>
    <w:rsid w:val="009F138A"/>
    <w:rsid w:val="009F526D"/>
    <w:rsid w:val="009F56E1"/>
    <w:rsid w:val="00A0214C"/>
    <w:rsid w:val="00A03DEE"/>
    <w:rsid w:val="00A04B02"/>
    <w:rsid w:val="00A26789"/>
    <w:rsid w:val="00A373A6"/>
    <w:rsid w:val="00A419EE"/>
    <w:rsid w:val="00A46784"/>
    <w:rsid w:val="00A50360"/>
    <w:rsid w:val="00A63029"/>
    <w:rsid w:val="00A644D0"/>
    <w:rsid w:val="00A71CFF"/>
    <w:rsid w:val="00A75760"/>
    <w:rsid w:val="00A80C42"/>
    <w:rsid w:val="00A83195"/>
    <w:rsid w:val="00A90090"/>
    <w:rsid w:val="00A90176"/>
    <w:rsid w:val="00A90EDD"/>
    <w:rsid w:val="00A94D6C"/>
    <w:rsid w:val="00A96524"/>
    <w:rsid w:val="00A96D53"/>
    <w:rsid w:val="00AA5856"/>
    <w:rsid w:val="00AA5A9B"/>
    <w:rsid w:val="00AB2A25"/>
    <w:rsid w:val="00AC2829"/>
    <w:rsid w:val="00AD2213"/>
    <w:rsid w:val="00AD25B8"/>
    <w:rsid w:val="00AE02CE"/>
    <w:rsid w:val="00AE5198"/>
    <w:rsid w:val="00B0013B"/>
    <w:rsid w:val="00B15DA6"/>
    <w:rsid w:val="00B4011B"/>
    <w:rsid w:val="00B4644F"/>
    <w:rsid w:val="00B477EC"/>
    <w:rsid w:val="00B47BAF"/>
    <w:rsid w:val="00B63271"/>
    <w:rsid w:val="00B909FD"/>
    <w:rsid w:val="00B934C5"/>
    <w:rsid w:val="00B93F28"/>
    <w:rsid w:val="00B957F8"/>
    <w:rsid w:val="00BA127D"/>
    <w:rsid w:val="00BA3192"/>
    <w:rsid w:val="00BA6558"/>
    <w:rsid w:val="00BA70CE"/>
    <w:rsid w:val="00BC3309"/>
    <w:rsid w:val="00BD75FA"/>
    <w:rsid w:val="00BE35A1"/>
    <w:rsid w:val="00BE6331"/>
    <w:rsid w:val="00BF2B16"/>
    <w:rsid w:val="00BF4A04"/>
    <w:rsid w:val="00BF7CB9"/>
    <w:rsid w:val="00C106FF"/>
    <w:rsid w:val="00C175D1"/>
    <w:rsid w:val="00C201BE"/>
    <w:rsid w:val="00C31889"/>
    <w:rsid w:val="00C31994"/>
    <w:rsid w:val="00C31BFF"/>
    <w:rsid w:val="00C37784"/>
    <w:rsid w:val="00C41977"/>
    <w:rsid w:val="00C41C6B"/>
    <w:rsid w:val="00C43DC0"/>
    <w:rsid w:val="00C639A7"/>
    <w:rsid w:val="00C66F1A"/>
    <w:rsid w:val="00C71392"/>
    <w:rsid w:val="00C7172E"/>
    <w:rsid w:val="00C82F51"/>
    <w:rsid w:val="00CA5CD8"/>
    <w:rsid w:val="00CB7F75"/>
    <w:rsid w:val="00CC4560"/>
    <w:rsid w:val="00CD4B7A"/>
    <w:rsid w:val="00CF462B"/>
    <w:rsid w:val="00D13B1B"/>
    <w:rsid w:val="00D147F2"/>
    <w:rsid w:val="00D157D7"/>
    <w:rsid w:val="00D1612F"/>
    <w:rsid w:val="00D17A1D"/>
    <w:rsid w:val="00D26B06"/>
    <w:rsid w:val="00D34374"/>
    <w:rsid w:val="00D452C3"/>
    <w:rsid w:val="00D4568A"/>
    <w:rsid w:val="00D4589B"/>
    <w:rsid w:val="00D46E94"/>
    <w:rsid w:val="00D944ED"/>
    <w:rsid w:val="00DA1275"/>
    <w:rsid w:val="00DA5B97"/>
    <w:rsid w:val="00DA613B"/>
    <w:rsid w:val="00DD1D76"/>
    <w:rsid w:val="00E05B21"/>
    <w:rsid w:val="00E05D67"/>
    <w:rsid w:val="00E17488"/>
    <w:rsid w:val="00E22633"/>
    <w:rsid w:val="00E35261"/>
    <w:rsid w:val="00E36E1B"/>
    <w:rsid w:val="00E37E4F"/>
    <w:rsid w:val="00E402CE"/>
    <w:rsid w:val="00E55FE4"/>
    <w:rsid w:val="00E63812"/>
    <w:rsid w:val="00E708BC"/>
    <w:rsid w:val="00E83025"/>
    <w:rsid w:val="00E83AFF"/>
    <w:rsid w:val="00E95761"/>
    <w:rsid w:val="00EB0334"/>
    <w:rsid w:val="00EB1FDB"/>
    <w:rsid w:val="00EB54B8"/>
    <w:rsid w:val="00EC00AB"/>
    <w:rsid w:val="00EC280F"/>
    <w:rsid w:val="00EC3A8E"/>
    <w:rsid w:val="00EC744A"/>
    <w:rsid w:val="00ED265E"/>
    <w:rsid w:val="00ED40E1"/>
    <w:rsid w:val="00EE6758"/>
    <w:rsid w:val="00EF4D33"/>
    <w:rsid w:val="00EF61DD"/>
    <w:rsid w:val="00F0764A"/>
    <w:rsid w:val="00F35722"/>
    <w:rsid w:val="00F4464D"/>
    <w:rsid w:val="00F777F4"/>
    <w:rsid w:val="00F86F7F"/>
    <w:rsid w:val="00F96F5D"/>
    <w:rsid w:val="00FA6DB3"/>
    <w:rsid w:val="00FB350E"/>
    <w:rsid w:val="00FC193C"/>
    <w:rsid w:val="00FD0FDC"/>
    <w:rsid w:val="00FD5D0B"/>
    <w:rsid w:val="00FE7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F0B894"/>
  <w15:docId w15:val="{A35636B1-D822-4EEE-A818-D21881716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D28"/>
  </w:style>
  <w:style w:type="paragraph" w:styleId="Heading1">
    <w:name w:val="heading 1"/>
    <w:basedOn w:val="Normal"/>
    <w:next w:val="Normal"/>
    <w:link w:val="Heading1Char"/>
    <w:uiPriority w:val="9"/>
    <w:qFormat/>
    <w:rsid w:val="00117D2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17D28"/>
    <w:pPr>
      <w:keepNext/>
      <w:keepLines/>
      <w:spacing w:before="40" w:after="0"/>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semiHidden/>
    <w:unhideWhenUsed/>
    <w:qFormat/>
    <w:rsid w:val="00117D28"/>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uiPriority w:val="9"/>
    <w:semiHidden/>
    <w:unhideWhenUsed/>
    <w:qFormat/>
    <w:rsid w:val="00117D2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17D28"/>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17D28"/>
    <w:pPr>
      <w:keepNext/>
      <w:keepLines/>
      <w:spacing w:before="40" w:after="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semiHidden/>
    <w:unhideWhenUsed/>
    <w:qFormat/>
    <w:rsid w:val="00117D28"/>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Heading8">
    <w:name w:val="heading 8"/>
    <w:basedOn w:val="Normal"/>
    <w:next w:val="Normal"/>
    <w:link w:val="Heading8Char"/>
    <w:uiPriority w:val="9"/>
    <w:semiHidden/>
    <w:unhideWhenUsed/>
    <w:qFormat/>
    <w:rsid w:val="00117D28"/>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117D28"/>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05D5"/>
    <w:pPr>
      <w:ind w:left="720"/>
      <w:contextualSpacing/>
    </w:pPr>
  </w:style>
  <w:style w:type="table" w:styleId="TableGrid">
    <w:name w:val="Table Grid"/>
    <w:basedOn w:val="TableNormal"/>
    <w:uiPriority w:val="59"/>
    <w:rsid w:val="0047295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5E17"/>
    <w:pPr>
      <w:tabs>
        <w:tab w:val="center" w:pos="4680"/>
        <w:tab w:val="right" w:pos="9360"/>
      </w:tabs>
      <w:spacing w:after="0"/>
    </w:pPr>
  </w:style>
  <w:style w:type="character" w:customStyle="1" w:styleId="HeaderChar">
    <w:name w:val="Header Char"/>
    <w:basedOn w:val="DefaultParagraphFont"/>
    <w:link w:val="Header"/>
    <w:uiPriority w:val="99"/>
    <w:rsid w:val="00975E17"/>
  </w:style>
  <w:style w:type="paragraph" w:styleId="Footer">
    <w:name w:val="footer"/>
    <w:basedOn w:val="Normal"/>
    <w:link w:val="FooterChar"/>
    <w:uiPriority w:val="99"/>
    <w:unhideWhenUsed/>
    <w:rsid w:val="00975E17"/>
    <w:pPr>
      <w:tabs>
        <w:tab w:val="center" w:pos="4680"/>
        <w:tab w:val="right" w:pos="9360"/>
      </w:tabs>
      <w:spacing w:after="0"/>
    </w:pPr>
  </w:style>
  <w:style w:type="character" w:customStyle="1" w:styleId="FooterChar">
    <w:name w:val="Footer Char"/>
    <w:basedOn w:val="DefaultParagraphFont"/>
    <w:link w:val="Footer"/>
    <w:uiPriority w:val="99"/>
    <w:rsid w:val="00975E17"/>
  </w:style>
  <w:style w:type="paragraph" w:styleId="BalloonText">
    <w:name w:val="Balloon Text"/>
    <w:basedOn w:val="Normal"/>
    <w:link w:val="BalloonTextChar"/>
    <w:uiPriority w:val="99"/>
    <w:semiHidden/>
    <w:unhideWhenUsed/>
    <w:rsid w:val="00CC456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560"/>
    <w:rPr>
      <w:rFonts w:ascii="Segoe UI" w:hAnsi="Segoe UI" w:cs="Segoe UI"/>
      <w:sz w:val="18"/>
      <w:szCs w:val="18"/>
    </w:rPr>
  </w:style>
  <w:style w:type="character" w:customStyle="1" w:styleId="Heading1Char">
    <w:name w:val="Heading 1 Char"/>
    <w:basedOn w:val="DefaultParagraphFont"/>
    <w:link w:val="Heading1"/>
    <w:uiPriority w:val="9"/>
    <w:rsid w:val="00117D2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117D28"/>
    <w:rPr>
      <w:rFonts w:asciiTheme="majorHAnsi" w:eastAsiaTheme="majorEastAsia" w:hAnsiTheme="majorHAnsi" w:cstheme="majorBidi"/>
      <w:color w:val="365F91" w:themeColor="accent1" w:themeShade="BF"/>
      <w:sz w:val="28"/>
      <w:szCs w:val="28"/>
    </w:rPr>
  </w:style>
  <w:style w:type="character" w:customStyle="1" w:styleId="Heading3Char">
    <w:name w:val="Heading 3 Char"/>
    <w:basedOn w:val="DefaultParagraphFont"/>
    <w:link w:val="Heading3"/>
    <w:uiPriority w:val="9"/>
    <w:semiHidden/>
    <w:rsid w:val="00117D28"/>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uiPriority w:val="9"/>
    <w:semiHidden/>
    <w:rsid w:val="00117D28"/>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117D28"/>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117D28"/>
    <w:rPr>
      <w:rFonts w:asciiTheme="majorHAnsi" w:eastAsiaTheme="majorEastAsia" w:hAnsiTheme="majorHAnsi" w:cstheme="majorBidi"/>
      <w:color w:val="244061" w:themeColor="accent1" w:themeShade="80"/>
    </w:rPr>
  </w:style>
  <w:style w:type="character" w:customStyle="1" w:styleId="Heading7Char">
    <w:name w:val="Heading 7 Char"/>
    <w:basedOn w:val="DefaultParagraphFont"/>
    <w:link w:val="Heading7"/>
    <w:uiPriority w:val="9"/>
    <w:semiHidden/>
    <w:rsid w:val="00117D28"/>
    <w:rPr>
      <w:rFonts w:asciiTheme="majorHAnsi" w:eastAsiaTheme="majorEastAsia" w:hAnsiTheme="majorHAnsi" w:cstheme="majorBidi"/>
      <w:i/>
      <w:iCs/>
      <w:color w:val="244061" w:themeColor="accent1" w:themeShade="80"/>
    </w:rPr>
  </w:style>
  <w:style w:type="character" w:customStyle="1" w:styleId="Heading8Char">
    <w:name w:val="Heading 8 Char"/>
    <w:basedOn w:val="DefaultParagraphFont"/>
    <w:link w:val="Heading8"/>
    <w:uiPriority w:val="9"/>
    <w:semiHidden/>
    <w:rsid w:val="00117D28"/>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117D28"/>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117D28"/>
    <w:pPr>
      <w:spacing w:after="200"/>
    </w:pPr>
    <w:rPr>
      <w:i/>
      <w:iCs/>
      <w:color w:val="1F497D" w:themeColor="text2"/>
      <w:sz w:val="18"/>
      <w:szCs w:val="18"/>
    </w:rPr>
  </w:style>
  <w:style w:type="paragraph" w:styleId="Title">
    <w:name w:val="Title"/>
    <w:basedOn w:val="Normal"/>
    <w:next w:val="Normal"/>
    <w:link w:val="TitleChar"/>
    <w:uiPriority w:val="10"/>
    <w:qFormat/>
    <w:rsid w:val="00117D28"/>
    <w:pPr>
      <w:spacing w:after="0"/>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117D28"/>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117D28"/>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117D28"/>
    <w:rPr>
      <w:color w:val="5A5A5A" w:themeColor="text1" w:themeTint="A5"/>
      <w:spacing w:val="15"/>
    </w:rPr>
  </w:style>
  <w:style w:type="character" w:styleId="Strong">
    <w:name w:val="Strong"/>
    <w:basedOn w:val="DefaultParagraphFont"/>
    <w:uiPriority w:val="22"/>
    <w:qFormat/>
    <w:rsid w:val="00117D28"/>
    <w:rPr>
      <w:b/>
      <w:bCs/>
      <w:color w:val="auto"/>
    </w:rPr>
  </w:style>
  <w:style w:type="character" w:styleId="Emphasis">
    <w:name w:val="Emphasis"/>
    <w:basedOn w:val="DefaultParagraphFont"/>
    <w:uiPriority w:val="20"/>
    <w:qFormat/>
    <w:rsid w:val="00117D28"/>
    <w:rPr>
      <w:i/>
      <w:iCs/>
      <w:color w:val="auto"/>
    </w:rPr>
  </w:style>
  <w:style w:type="paragraph" w:styleId="NoSpacing">
    <w:name w:val="No Spacing"/>
    <w:uiPriority w:val="1"/>
    <w:qFormat/>
    <w:rsid w:val="00117D28"/>
    <w:pPr>
      <w:spacing w:after="0"/>
    </w:pPr>
  </w:style>
  <w:style w:type="paragraph" w:styleId="Quote">
    <w:name w:val="Quote"/>
    <w:basedOn w:val="Normal"/>
    <w:next w:val="Normal"/>
    <w:link w:val="QuoteChar"/>
    <w:uiPriority w:val="29"/>
    <w:qFormat/>
    <w:rsid w:val="00117D28"/>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117D28"/>
    <w:rPr>
      <w:i/>
      <w:iCs/>
      <w:color w:val="404040" w:themeColor="text1" w:themeTint="BF"/>
    </w:rPr>
  </w:style>
  <w:style w:type="paragraph" w:styleId="IntenseQuote">
    <w:name w:val="Intense Quote"/>
    <w:basedOn w:val="Normal"/>
    <w:next w:val="Normal"/>
    <w:link w:val="IntenseQuoteChar"/>
    <w:uiPriority w:val="30"/>
    <w:qFormat/>
    <w:rsid w:val="00117D2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17D28"/>
    <w:rPr>
      <w:i/>
      <w:iCs/>
      <w:color w:val="4F81BD" w:themeColor="accent1"/>
    </w:rPr>
  </w:style>
  <w:style w:type="character" w:styleId="SubtleEmphasis">
    <w:name w:val="Subtle Emphasis"/>
    <w:basedOn w:val="DefaultParagraphFont"/>
    <w:uiPriority w:val="19"/>
    <w:qFormat/>
    <w:rsid w:val="00117D28"/>
    <w:rPr>
      <w:i/>
      <w:iCs/>
      <w:color w:val="404040" w:themeColor="text1" w:themeTint="BF"/>
    </w:rPr>
  </w:style>
  <w:style w:type="character" w:styleId="IntenseEmphasis">
    <w:name w:val="Intense Emphasis"/>
    <w:basedOn w:val="DefaultParagraphFont"/>
    <w:uiPriority w:val="21"/>
    <w:qFormat/>
    <w:rsid w:val="00117D28"/>
    <w:rPr>
      <w:i/>
      <w:iCs/>
      <w:color w:val="4F81BD" w:themeColor="accent1"/>
    </w:rPr>
  </w:style>
  <w:style w:type="character" w:styleId="SubtleReference">
    <w:name w:val="Subtle Reference"/>
    <w:basedOn w:val="DefaultParagraphFont"/>
    <w:uiPriority w:val="31"/>
    <w:qFormat/>
    <w:rsid w:val="00117D28"/>
    <w:rPr>
      <w:smallCaps/>
      <w:color w:val="404040" w:themeColor="text1" w:themeTint="BF"/>
    </w:rPr>
  </w:style>
  <w:style w:type="character" w:styleId="IntenseReference">
    <w:name w:val="Intense Reference"/>
    <w:basedOn w:val="DefaultParagraphFont"/>
    <w:uiPriority w:val="32"/>
    <w:qFormat/>
    <w:rsid w:val="00117D28"/>
    <w:rPr>
      <w:b/>
      <w:bCs/>
      <w:smallCaps/>
      <w:color w:val="4F81BD" w:themeColor="accent1"/>
      <w:spacing w:val="5"/>
    </w:rPr>
  </w:style>
  <w:style w:type="character" w:styleId="BookTitle">
    <w:name w:val="Book Title"/>
    <w:basedOn w:val="DefaultParagraphFont"/>
    <w:uiPriority w:val="33"/>
    <w:qFormat/>
    <w:rsid w:val="00117D28"/>
    <w:rPr>
      <w:b/>
      <w:bCs/>
      <w:i/>
      <w:iCs/>
      <w:spacing w:val="5"/>
    </w:rPr>
  </w:style>
  <w:style w:type="paragraph" w:styleId="TOCHeading">
    <w:name w:val="TOC Heading"/>
    <w:basedOn w:val="Heading1"/>
    <w:next w:val="Normal"/>
    <w:uiPriority w:val="39"/>
    <w:semiHidden/>
    <w:unhideWhenUsed/>
    <w:qFormat/>
    <w:rsid w:val="00117D2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023C9-D192-4B65-9C9C-1811DE1AB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1112</Words>
  <Characters>6341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dc:creator>
  <cp:lastModifiedBy>Tom Hawkins</cp:lastModifiedBy>
  <cp:revision>6</cp:revision>
  <cp:lastPrinted>2019-12-07T21:09:00Z</cp:lastPrinted>
  <dcterms:created xsi:type="dcterms:W3CDTF">2021-01-20T18:38:00Z</dcterms:created>
  <dcterms:modified xsi:type="dcterms:W3CDTF">2021-02-04T14:41:00Z</dcterms:modified>
</cp:coreProperties>
</file>